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B86" w:rsidRDefault="001C5B86" w:rsidP="001C5B86">
      <w:pPr>
        <w:tabs>
          <w:tab w:val="left" w:pos="567"/>
        </w:tabs>
        <w:spacing w:after="0" w:line="240" w:lineRule="auto"/>
        <w:jc w:val="center"/>
        <w:rPr>
          <w:rFonts w:ascii="Verdana" w:hAnsi="Verdana"/>
          <w:b/>
          <w:sz w:val="20"/>
          <w:lang w:val="es-CR"/>
        </w:rPr>
      </w:pPr>
    </w:p>
    <w:p w:rsidR="00004A63" w:rsidRDefault="00004A63" w:rsidP="001C5B86">
      <w:pPr>
        <w:tabs>
          <w:tab w:val="left" w:pos="567"/>
        </w:tabs>
        <w:spacing w:after="0" w:line="240" w:lineRule="auto"/>
        <w:jc w:val="center"/>
        <w:rPr>
          <w:rFonts w:ascii="Verdana" w:hAnsi="Verdana"/>
          <w:b/>
          <w:sz w:val="20"/>
          <w:lang w:val="es-CR"/>
        </w:rPr>
      </w:pPr>
    </w:p>
    <w:p w:rsidR="00004A63" w:rsidRDefault="00004A63" w:rsidP="001C5B86">
      <w:pPr>
        <w:tabs>
          <w:tab w:val="left" w:pos="567"/>
        </w:tabs>
        <w:spacing w:after="0" w:line="240" w:lineRule="auto"/>
        <w:jc w:val="center"/>
        <w:rPr>
          <w:rFonts w:ascii="Verdana" w:hAnsi="Verdana"/>
          <w:b/>
          <w:sz w:val="20"/>
          <w:lang w:val="es-CR"/>
        </w:rPr>
      </w:pPr>
    </w:p>
    <w:p w:rsidR="00004A63" w:rsidRDefault="00004A63" w:rsidP="001C5B86">
      <w:pPr>
        <w:tabs>
          <w:tab w:val="left" w:pos="567"/>
        </w:tabs>
        <w:spacing w:after="0" w:line="240" w:lineRule="auto"/>
        <w:jc w:val="center"/>
        <w:rPr>
          <w:rFonts w:ascii="Verdana" w:hAnsi="Verdana"/>
          <w:b/>
          <w:sz w:val="20"/>
          <w:lang w:val="es-CR"/>
        </w:rPr>
      </w:pPr>
    </w:p>
    <w:p w:rsidR="00004A63" w:rsidRDefault="00004A63" w:rsidP="001C5B86">
      <w:pPr>
        <w:tabs>
          <w:tab w:val="left" w:pos="567"/>
        </w:tabs>
        <w:spacing w:after="0" w:line="240" w:lineRule="auto"/>
        <w:jc w:val="center"/>
        <w:rPr>
          <w:rFonts w:ascii="Verdana" w:hAnsi="Verdana"/>
          <w:b/>
          <w:sz w:val="20"/>
          <w:lang w:val="es-CR"/>
        </w:rPr>
      </w:pPr>
    </w:p>
    <w:p w:rsidR="00004A63" w:rsidRDefault="00004A63" w:rsidP="001C5B86">
      <w:pPr>
        <w:tabs>
          <w:tab w:val="left" w:pos="567"/>
        </w:tabs>
        <w:spacing w:after="0" w:line="240" w:lineRule="auto"/>
        <w:jc w:val="center"/>
        <w:rPr>
          <w:rFonts w:ascii="Verdana" w:hAnsi="Verdana"/>
          <w:b/>
          <w:sz w:val="20"/>
          <w:lang w:val="es-CR"/>
        </w:rPr>
      </w:pPr>
    </w:p>
    <w:p w:rsidR="00004A63" w:rsidRDefault="00004A63" w:rsidP="001C5B86">
      <w:pPr>
        <w:tabs>
          <w:tab w:val="left" w:pos="567"/>
        </w:tabs>
        <w:spacing w:after="0" w:line="240" w:lineRule="auto"/>
        <w:jc w:val="center"/>
        <w:rPr>
          <w:rFonts w:ascii="Verdana" w:hAnsi="Verdana"/>
          <w:b/>
          <w:sz w:val="20"/>
          <w:lang w:val="es-CR"/>
        </w:rPr>
      </w:pPr>
    </w:p>
    <w:p w:rsidR="00004A63" w:rsidRPr="009756CD" w:rsidRDefault="00004A63" w:rsidP="001C5B86">
      <w:pPr>
        <w:tabs>
          <w:tab w:val="left" w:pos="567"/>
        </w:tabs>
        <w:spacing w:after="0" w:line="240" w:lineRule="auto"/>
        <w:jc w:val="center"/>
        <w:rPr>
          <w:rFonts w:ascii="Verdana" w:hAnsi="Verdana"/>
          <w:b/>
          <w:sz w:val="20"/>
          <w:lang w:val="es-CR"/>
        </w:rPr>
      </w:pPr>
    </w:p>
    <w:p w:rsidR="001C5B86" w:rsidRPr="009756CD" w:rsidRDefault="001C5B86" w:rsidP="001C5B86">
      <w:pPr>
        <w:tabs>
          <w:tab w:val="left" w:pos="567"/>
        </w:tabs>
        <w:spacing w:after="0" w:line="240" w:lineRule="auto"/>
        <w:jc w:val="center"/>
        <w:rPr>
          <w:rFonts w:ascii="Verdana" w:hAnsi="Verdana"/>
          <w:b/>
          <w:sz w:val="20"/>
          <w:lang w:val="es-CR"/>
        </w:rPr>
      </w:pPr>
      <w:r w:rsidRPr="009756CD">
        <w:rPr>
          <w:rFonts w:ascii="Verdana" w:hAnsi="Verdana"/>
          <w:b/>
          <w:sz w:val="20"/>
          <w:lang w:val="es-CR"/>
        </w:rPr>
        <w:t xml:space="preserve">RESOLUCIÓN DE LA </w:t>
      </w:r>
    </w:p>
    <w:p w:rsidR="001C5B86" w:rsidRPr="009756CD" w:rsidRDefault="001C5B86" w:rsidP="001C5B86">
      <w:pPr>
        <w:tabs>
          <w:tab w:val="left" w:pos="567"/>
        </w:tabs>
        <w:spacing w:after="0" w:line="240" w:lineRule="auto"/>
        <w:jc w:val="center"/>
        <w:rPr>
          <w:rFonts w:ascii="Verdana" w:hAnsi="Verdana"/>
          <w:b/>
          <w:sz w:val="20"/>
          <w:lang w:val="es-CR"/>
        </w:rPr>
      </w:pPr>
      <w:r w:rsidRPr="009756CD">
        <w:rPr>
          <w:rFonts w:ascii="Verdana" w:hAnsi="Verdana"/>
          <w:b/>
          <w:sz w:val="20"/>
          <w:lang w:val="es-CR"/>
        </w:rPr>
        <w:t>CORTE INTERAMERICANA DE DERECHOS HUMANOS</w:t>
      </w:r>
      <w:r w:rsidR="00140AFE">
        <w:rPr>
          <w:rStyle w:val="FootnoteReference"/>
          <w:rFonts w:ascii="Verdana" w:hAnsi="Verdana"/>
          <w:b/>
          <w:sz w:val="20"/>
          <w:lang w:val="es-CR"/>
        </w:rPr>
        <w:footnoteReference w:customMarkFollows="1" w:id="1"/>
        <w:t>*</w:t>
      </w:r>
    </w:p>
    <w:p w:rsidR="001C5B86" w:rsidRPr="009756CD" w:rsidRDefault="001C5B86" w:rsidP="001C5B86">
      <w:pPr>
        <w:tabs>
          <w:tab w:val="left" w:pos="567"/>
        </w:tabs>
        <w:spacing w:after="0" w:line="240" w:lineRule="auto"/>
        <w:jc w:val="center"/>
        <w:rPr>
          <w:rFonts w:ascii="Garamond" w:hAnsi="Garamond"/>
          <w:b/>
          <w:sz w:val="24"/>
          <w:lang w:val="es-CR"/>
        </w:rPr>
      </w:pPr>
    </w:p>
    <w:p w:rsidR="001C5B86" w:rsidRPr="009756CD" w:rsidRDefault="001C5B86" w:rsidP="001C5B86">
      <w:pPr>
        <w:tabs>
          <w:tab w:val="left" w:pos="567"/>
        </w:tabs>
        <w:spacing w:after="0" w:line="240" w:lineRule="auto"/>
        <w:jc w:val="center"/>
        <w:rPr>
          <w:rFonts w:ascii="Verdana" w:hAnsi="Verdana"/>
          <w:b/>
          <w:sz w:val="20"/>
          <w:lang w:val="es-CR"/>
        </w:rPr>
      </w:pPr>
      <w:r w:rsidRPr="009756CD">
        <w:rPr>
          <w:rFonts w:ascii="Verdana" w:hAnsi="Verdana"/>
          <w:b/>
          <w:sz w:val="20"/>
          <w:lang w:val="es-CR"/>
        </w:rPr>
        <w:t>DE</w:t>
      </w:r>
      <w:r w:rsidR="009F6A6E">
        <w:rPr>
          <w:rFonts w:ascii="Verdana" w:hAnsi="Verdana"/>
          <w:b/>
          <w:sz w:val="20"/>
          <w:lang w:val="es-CR"/>
        </w:rPr>
        <w:t xml:space="preserve"> 22 </w:t>
      </w:r>
      <w:r w:rsidRPr="009756CD">
        <w:rPr>
          <w:rFonts w:ascii="Verdana" w:hAnsi="Verdana"/>
          <w:b/>
          <w:sz w:val="20"/>
          <w:lang w:val="es-CR"/>
        </w:rPr>
        <w:t>DE</w:t>
      </w:r>
      <w:r w:rsidR="009F6A6E">
        <w:rPr>
          <w:rFonts w:ascii="Verdana" w:hAnsi="Verdana"/>
          <w:b/>
          <w:sz w:val="20"/>
          <w:lang w:val="es-CR"/>
        </w:rPr>
        <w:t xml:space="preserve"> AGOSTO </w:t>
      </w:r>
      <w:r w:rsidRPr="009756CD">
        <w:rPr>
          <w:rFonts w:ascii="Verdana" w:hAnsi="Verdana"/>
          <w:b/>
          <w:sz w:val="20"/>
          <w:lang w:val="es-CR"/>
        </w:rPr>
        <w:t>DE 2017</w:t>
      </w:r>
    </w:p>
    <w:p w:rsidR="001C5B86" w:rsidRPr="009756CD" w:rsidRDefault="001C5B86" w:rsidP="001C5B86">
      <w:pPr>
        <w:tabs>
          <w:tab w:val="left" w:pos="567"/>
        </w:tabs>
        <w:spacing w:after="0" w:line="240" w:lineRule="auto"/>
        <w:jc w:val="center"/>
        <w:rPr>
          <w:rFonts w:ascii="Verdana" w:hAnsi="Verdana"/>
          <w:b/>
          <w:sz w:val="20"/>
          <w:lang w:val="es-CR"/>
        </w:rPr>
      </w:pPr>
    </w:p>
    <w:p w:rsidR="001C5B86" w:rsidRPr="009756CD" w:rsidRDefault="001C5B86" w:rsidP="001C5B86">
      <w:pPr>
        <w:tabs>
          <w:tab w:val="left" w:pos="567"/>
        </w:tabs>
        <w:spacing w:after="0" w:line="240" w:lineRule="auto"/>
        <w:jc w:val="center"/>
        <w:rPr>
          <w:rFonts w:ascii="Verdana" w:hAnsi="Verdana"/>
          <w:b/>
          <w:sz w:val="20"/>
          <w:lang w:val="es-CR"/>
        </w:rPr>
      </w:pPr>
      <w:r w:rsidRPr="009756CD">
        <w:rPr>
          <w:rFonts w:ascii="Verdana" w:hAnsi="Verdana"/>
          <w:b/>
          <w:sz w:val="20"/>
          <w:lang w:val="es-CR"/>
        </w:rPr>
        <w:t xml:space="preserve">SOLICITUD DE MEDIDAS PROVISIONALES </w:t>
      </w:r>
      <w:bookmarkStart w:id="0" w:name="_GoBack"/>
      <w:bookmarkEnd w:id="0"/>
    </w:p>
    <w:p w:rsidR="001C5B86" w:rsidRPr="009756CD" w:rsidRDefault="001C5B86" w:rsidP="001C5B86">
      <w:pPr>
        <w:tabs>
          <w:tab w:val="left" w:pos="567"/>
        </w:tabs>
        <w:spacing w:after="0" w:line="240" w:lineRule="auto"/>
        <w:jc w:val="center"/>
        <w:rPr>
          <w:rFonts w:ascii="Verdana" w:hAnsi="Verdana"/>
          <w:b/>
          <w:sz w:val="20"/>
          <w:lang w:val="es-CR"/>
        </w:rPr>
      </w:pPr>
      <w:r w:rsidRPr="009756CD">
        <w:rPr>
          <w:rFonts w:ascii="Verdana" w:hAnsi="Verdana"/>
          <w:b/>
          <w:sz w:val="20"/>
          <w:lang w:val="es-CR"/>
        </w:rPr>
        <w:t xml:space="preserve">RESPECTO DE </w:t>
      </w:r>
      <w:r w:rsidR="009F6A6E">
        <w:rPr>
          <w:rFonts w:ascii="Verdana" w:hAnsi="Verdana"/>
          <w:b/>
          <w:sz w:val="20"/>
          <w:lang w:val="es-CR"/>
        </w:rPr>
        <w:t xml:space="preserve">LA REPÚBLICA DE </w:t>
      </w:r>
      <w:r>
        <w:rPr>
          <w:rFonts w:ascii="Verdana" w:hAnsi="Verdana"/>
          <w:b/>
          <w:sz w:val="20"/>
          <w:lang w:val="es-CR"/>
        </w:rPr>
        <w:t>COLOMBIA</w:t>
      </w:r>
    </w:p>
    <w:p w:rsidR="001C5B86" w:rsidRPr="009756CD" w:rsidRDefault="001C5B86" w:rsidP="001C5B86">
      <w:pPr>
        <w:tabs>
          <w:tab w:val="left" w:pos="567"/>
        </w:tabs>
        <w:spacing w:after="0" w:line="240" w:lineRule="auto"/>
        <w:jc w:val="center"/>
        <w:rPr>
          <w:rFonts w:ascii="Verdana" w:hAnsi="Verdana"/>
          <w:b/>
          <w:sz w:val="20"/>
          <w:lang w:val="es-CR"/>
        </w:rPr>
      </w:pPr>
    </w:p>
    <w:p w:rsidR="001C5B86" w:rsidRPr="009756CD" w:rsidRDefault="001C5B86" w:rsidP="001C5B86">
      <w:pPr>
        <w:tabs>
          <w:tab w:val="left" w:pos="567"/>
        </w:tabs>
        <w:spacing w:after="0" w:line="240" w:lineRule="auto"/>
        <w:jc w:val="center"/>
        <w:rPr>
          <w:rFonts w:ascii="Verdana" w:hAnsi="Verdana"/>
          <w:b/>
          <w:sz w:val="20"/>
          <w:lang w:val="es-CR"/>
        </w:rPr>
      </w:pPr>
      <w:r w:rsidRPr="009756CD">
        <w:rPr>
          <w:rFonts w:ascii="Verdana" w:hAnsi="Verdana"/>
          <w:b/>
          <w:sz w:val="20"/>
          <w:lang w:val="es-CR"/>
        </w:rPr>
        <w:t xml:space="preserve">CASO </w:t>
      </w:r>
      <w:r w:rsidR="00140AFE">
        <w:rPr>
          <w:rFonts w:ascii="Verdana" w:hAnsi="Verdana"/>
          <w:b/>
          <w:sz w:val="20"/>
          <w:lang w:val="es-CR"/>
        </w:rPr>
        <w:t xml:space="preserve">GUTIÉRREZ SOLER </w:t>
      </w:r>
    </w:p>
    <w:p w:rsidR="001C5B86" w:rsidRPr="009756CD" w:rsidRDefault="001C5B86" w:rsidP="001C5B86">
      <w:pPr>
        <w:tabs>
          <w:tab w:val="left" w:pos="567"/>
        </w:tabs>
        <w:spacing w:after="0" w:line="240" w:lineRule="auto"/>
        <w:jc w:val="both"/>
        <w:rPr>
          <w:lang w:val="es-CR"/>
        </w:rPr>
      </w:pPr>
    </w:p>
    <w:p w:rsidR="001C5B86" w:rsidRPr="009756CD" w:rsidRDefault="001C5B86" w:rsidP="001C5B86">
      <w:pPr>
        <w:tabs>
          <w:tab w:val="left" w:pos="567"/>
        </w:tabs>
        <w:spacing w:after="0" w:line="240" w:lineRule="auto"/>
        <w:jc w:val="both"/>
        <w:rPr>
          <w:rFonts w:ascii="Verdana" w:hAnsi="Verdana"/>
          <w:b/>
          <w:sz w:val="20"/>
          <w:lang w:val="es-CR"/>
        </w:rPr>
      </w:pPr>
      <w:r w:rsidRPr="009756CD">
        <w:rPr>
          <w:rFonts w:ascii="Verdana" w:hAnsi="Verdana"/>
          <w:b/>
          <w:sz w:val="20"/>
          <w:lang w:val="es-CR"/>
        </w:rPr>
        <w:t>VISTO:</w:t>
      </w:r>
    </w:p>
    <w:p w:rsidR="001C5B86" w:rsidRDefault="001C5B86" w:rsidP="001C5B86">
      <w:pPr>
        <w:tabs>
          <w:tab w:val="left" w:pos="567"/>
        </w:tabs>
        <w:spacing w:after="0" w:line="240" w:lineRule="auto"/>
        <w:jc w:val="both"/>
        <w:rPr>
          <w:rFonts w:ascii="Verdana" w:hAnsi="Verdana"/>
          <w:b/>
          <w:sz w:val="20"/>
          <w:lang w:val="es-CR"/>
        </w:rPr>
      </w:pPr>
    </w:p>
    <w:p w:rsidR="002F2709" w:rsidRDefault="001C5B86" w:rsidP="002F2709">
      <w:pPr>
        <w:pStyle w:val="ListParagraph"/>
        <w:numPr>
          <w:ilvl w:val="0"/>
          <w:numId w:val="7"/>
        </w:numPr>
        <w:tabs>
          <w:tab w:val="left" w:pos="567"/>
        </w:tabs>
        <w:spacing w:after="0" w:line="240" w:lineRule="auto"/>
        <w:ind w:left="0" w:firstLine="0"/>
        <w:jc w:val="both"/>
        <w:rPr>
          <w:rFonts w:ascii="Verdana" w:hAnsi="Verdana"/>
          <w:sz w:val="20"/>
          <w:lang w:val="es-ES_tradnl"/>
        </w:rPr>
      </w:pPr>
      <w:r w:rsidRPr="00A00669">
        <w:rPr>
          <w:rFonts w:ascii="Verdana" w:hAnsi="Verdana"/>
          <w:sz w:val="20"/>
          <w:lang w:val="es-CR"/>
        </w:rPr>
        <w:t>La Sentencia de fondo, reparaciones y costas de 12 de septiembre de 2005, mediante la cual la Corte Interamericana de Derechos Humanos (en adelante</w:t>
      </w:r>
      <w:r w:rsidR="00536879">
        <w:rPr>
          <w:rFonts w:ascii="Verdana" w:hAnsi="Verdana"/>
          <w:sz w:val="20"/>
          <w:lang w:val="es-CR"/>
        </w:rPr>
        <w:t xml:space="preserve"> también</w:t>
      </w:r>
      <w:r w:rsidRPr="00A00669">
        <w:rPr>
          <w:rFonts w:ascii="Verdana" w:hAnsi="Verdana"/>
          <w:sz w:val="20"/>
          <w:lang w:val="es-CR"/>
        </w:rPr>
        <w:t xml:space="preserve"> “la Corte Interamericana”</w:t>
      </w:r>
      <w:r w:rsidR="009F6A6E">
        <w:rPr>
          <w:rFonts w:ascii="Verdana" w:hAnsi="Verdana"/>
          <w:sz w:val="20"/>
          <w:lang w:val="es-CR"/>
        </w:rPr>
        <w:t>,</w:t>
      </w:r>
      <w:r w:rsidRPr="00A00669">
        <w:rPr>
          <w:rFonts w:ascii="Verdana" w:hAnsi="Verdana"/>
          <w:sz w:val="20"/>
          <w:lang w:val="es-CR"/>
        </w:rPr>
        <w:t xml:space="preserve">  “la Corte”</w:t>
      </w:r>
      <w:r w:rsidR="009F6A6E">
        <w:rPr>
          <w:rFonts w:ascii="Verdana" w:hAnsi="Verdana"/>
          <w:sz w:val="20"/>
          <w:lang w:val="es-CR"/>
        </w:rPr>
        <w:t xml:space="preserve"> o “este Tribunal” </w:t>
      </w:r>
      <w:r w:rsidR="00AB65AC" w:rsidRPr="00A00669">
        <w:rPr>
          <w:rFonts w:ascii="Verdana" w:hAnsi="Verdana"/>
          <w:sz w:val="20"/>
          <w:lang w:val="es-CR"/>
        </w:rPr>
        <w:t>) declaró responsa</w:t>
      </w:r>
      <w:r w:rsidR="002423B4">
        <w:rPr>
          <w:rFonts w:ascii="Verdana" w:hAnsi="Verdana"/>
          <w:sz w:val="20"/>
          <w:lang w:val="es-CR"/>
        </w:rPr>
        <w:t>ble internacionalmente a la República</w:t>
      </w:r>
      <w:r w:rsidR="00AB65AC" w:rsidRPr="00A00669">
        <w:rPr>
          <w:rFonts w:ascii="Verdana" w:hAnsi="Verdana"/>
          <w:sz w:val="20"/>
          <w:lang w:val="es-CR"/>
        </w:rPr>
        <w:t xml:space="preserve"> de Colombia (en adelante “el Estado” o “Colombia”) por la violación de los derechos a </w:t>
      </w:r>
      <w:r w:rsidR="00EF17D8" w:rsidRPr="00A00669">
        <w:rPr>
          <w:rFonts w:ascii="Verdana" w:hAnsi="Verdana"/>
          <w:sz w:val="20"/>
          <w:lang w:val="es-CR"/>
        </w:rPr>
        <w:t xml:space="preserve">la integridad personal, a la libertad personal, a las garantías judiciales y a la protección judicial, reconocidos en los artículos 5.1, 5.2, 5.4, 7.1, 7.2, 7.3, 7.4, 7.5, 7.6, </w:t>
      </w:r>
      <w:r w:rsidR="00EF17D8" w:rsidRPr="00A00669">
        <w:rPr>
          <w:rFonts w:ascii="Verdana" w:hAnsi="Verdana"/>
          <w:sz w:val="20"/>
          <w:lang w:val="es-ES_tradnl"/>
        </w:rPr>
        <w:t xml:space="preserve">8.1, 8.2.d, 8.2.e, 8.2.g, 8.3 y 25 de la Convención Americana sobre Derechos Humanos (en adelante </w:t>
      </w:r>
      <w:r w:rsidR="004D0DD1">
        <w:rPr>
          <w:rFonts w:ascii="Verdana" w:hAnsi="Verdana"/>
          <w:sz w:val="20"/>
          <w:lang w:val="es-ES_tradnl"/>
        </w:rPr>
        <w:t xml:space="preserve">también </w:t>
      </w:r>
      <w:r w:rsidR="00EF17D8" w:rsidRPr="00A00669">
        <w:rPr>
          <w:rFonts w:ascii="Verdana" w:hAnsi="Verdana"/>
          <w:sz w:val="20"/>
          <w:lang w:val="es-ES_tradnl"/>
        </w:rPr>
        <w:t>“la Convención Americana” o “la Convención”)</w:t>
      </w:r>
      <w:r w:rsidR="00A00669" w:rsidRPr="00A00669">
        <w:rPr>
          <w:rFonts w:ascii="Verdana" w:hAnsi="Verdana"/>
          <w:sz w:val="20"/>
          <w:lang w:val="es-ES_tradnl"/>
        </w:rPr>
        <w:t xml:space="preserve">, en relación con el artículo 1.1 de la misma, así como por incumplir </w:t>
      </w:r>
      <w:r w:rsidR="00EF17D8" w:rsidRPr="00A00669">
        <w:rPr>
          <w:rFonts w:ascii="Verdana" w:hAnsi="Verdana"/>
          <w:sz w:val="20"/>
          <w:lang w:val="es-ES_tradnl"/>
        </w:rPr>
        <w:t>las obligaciones previstas en los artículos 1, 6 y 8 de la Convención Interamericana para Prevenir y Sancionar la Tortura</w:t>
      </w:r>
      <w:r w:rsidR="00A00669" w:rsidRPr="00A00669">
        <w:rPr>
          <w:rFonts w:ascii="Verdana" w:hAnsi="Verdana"/>
          <w:sz w:val="20"/>
          <w:lang w:val="es-ES_tradnl"/>
        </w:rPr>
        <w:t>, en perjuicio de</w:t>
      </w:r>
      <w:r w:rsidR="005961E4">
        <w:rPr>
          <w:rFonts w:ascii="Verdana" w:hAnsi="Verdana"/>
          <w:sz w:val="20"/>
          <w:lang w:val="es-ES_tradnl"/>
        </w:rPr>
        <w:t>l señor</w:t>
      </w:r>
      <w:r w:rsidR="00A00669" w:rsidRPr="00A00669">
        <w:rPr>
          <w:rFonts w:ascii="Verdana" w:hAnsi="Verdana"/>
          <w:sz w:val="20"/>
          <w:lang w:val="es-ES_tradnl"/>
        </w:rPr>
        <w:t xml:space="preserve"> Wilson Gutiérrez Soler, y por la violación </w:t>
      </w:r>
      <w:r w:rsidR="00F51C5D">
        <w:rPr>
          <w:rFonts w:ascii="Verdana" w:hAnsi="Verdana"/>
          <w:sz w:val="20"/>
          <w:lang w:val="es-ES_tradnl"/>
        </w:rPr>
        <w:t xml:space="preserve">del </w:t>
      </w:r>
      <w:r w:rsidR="00A00669" w:rsidRPr="00A00669">
        <w:rPr>
          <w:rFonts w:ascii="Verdana" w:hAnsi="Verdana"/>
          <w:sz w:val="20"/>
          <w:lang w:val="es-ES_tradnl"/>
        </w:rPr>
        <w:t xml:space="preserve">derecho a la integridad personal </w:t>
      </w:r>
      <w:r w:rsidR="00257245">
        <w:rPr>
          <w:rFonts w:ascii="Verdana" w:hAnsi="Verdana"/>
          <w:sz w:val="20"/>
          <w:lang w:val="es-ES_tradnl"/>
        </w:rPr>
        <w:t xml:space="preserve">reconocido en el artículo 5.1, </w:t>
      </w:r>
      <w:r w:rsidR="00A00669" w:rsidRPr="00A00669">
        <w:rPr>
          <w:rFonts w:ascii="Verdana" w:hAnsi="Verdana"/>
          <w:sz w:val="20"/>
          <w:lang w:val="es-ES_tradnl"/>
        </w:rPr>
        <w:t xml:space="preserve">en relación con el artículo 1.1 de la Convención Americana, en perjuicio de </w:t>
      </w:r>
      <w:r w:rsidR="00F51C5D">
        <w:rPr>
          <w:rFonts w:ascii="Verdana" w:hAnsi="Verdana"/>
          <w:sz w:val="20"/>
          <w:lang w:val="es-ES_tradnl"/>
        </w:rPr>
        <w:t xml:space="preserve">los señores </w:t>
      </w:r>
      <w:r w:rsidR="00EF17D8" w:rsidRPr="00A00669">
        <w:rPr>
          <w:rFonts w:ascii="Verdana" w:hAnsi="Verdana"/>
          <w:sz w:val="20"/>
          <w:lang w:val="es-ES_tradnl"/>
        </w:rPr>
        <w:t>Kevin Daniel Gutiérrez Niño, María Elena Soler de Gutiérrez, Álvaro Gutiérrez Hernández</w:t>
      </w:r>
      <w:r w:rsidR="000E517D">
        <w:rPr>
          <w:rFonts w:ascii="Verdana" w:hAnsi="Verdana"/>
          <w:sz w:val="20"/>
          <w:lang w:val="es-ES_tradnl"/>
        </w:rPr>
        <w:t xml:space="preserve"> (fallecido</w:t>
      </w:r>
      <w:r w:rsidR="00236EC8">
        <w:rPr>
          <w:rFonts w:ascii="Verdana" w:hAnsi="Verdana"/>
          <w:sz w:val="20"/>
          <w:lang w:val="es-ES_tradnl"/>
        </w:rPr>
        <w:t>)</w:t>
      </w:r>
      <w:r w:rsidR="00EF17D8" w:rsidRPr="00A00669">
        <w:rPr>
          <w:rFonts w:ascii="Verdana" w:hAnsi="Verdana"/>
          <w:sz w:val="20"/>
          <w:lang w:val="es-ES_tradnl"/>
        </w:rPr>
        <w:t xml:space="preserve">, Ricardo Gutiérrez Soler, </w:t>
      </w:r>
      <w:proofErr w:type="spellStart"/>
      <w:r w:rsidR="00EF17D8" w:rsidRPr="004D0DD1">
        <w:rPr>
          <w:rFonts w:ascii="Verdana" w:hAnsi="Verdana"/>
          <w:sz w:val="20"/>
          <w:lang w:val="es-ES_tradnl"/>
        </w:rPr>
        <w:t>Yaqueline</w:t>
      </w:r>
      <w:proofErr w:type="spellEnd"/>
      <w:r w:rsidR="00EF17D8" w:rsidRPr="004D0DD1">
        <w:rPr>
          <w:rFonts w:ascii="Verdana" w:hAnsi="Verdana"/>
          <w:sz w:val="20"/>
          <w:lang w:val="es-ES_tradnl"/>
        </w:rPr>
        <w:t xml:space="preserve"> Reyes, Luisa Fernanda Gutiérrez Reyes, Paula Camila Gutiérrez Reyes, Leonardo Gutiérrez Rubiano, </w:t>
      </w:r>
      <w:proofErr w:type="spellStart"/>
      <w:r w:rsidR="00EF17D8" w:rsidRPr="004D0DD1">
        <w:rPr>
          <w:rFonts w:ascii="Verdana" w:hAnsi="Verdana"/>
          <w:sz w:val="20"/>
          <w:lang w:val="es-ES_tradnl"/>
        </w:rPr>
        <w:t>Leydi</w:t>
      </w:r>
      <w:proofErr w:type="spellEnd"/>
      <w:r w:rsidR="00EF17D8" w:rsidRPr="004D0DD1">
        <w:rPr>
          <w:rFonts w:ascii="Verdana" w:hAnsi="Verdana"/>
          <w:sz w:val="20"/>
          <w:lang w:val="es-ES_tradnl"/>
        </w:rPr>
        <w:t xml:space="preserve"> </w:t>
      </w:r>
      <w:proofErr w:type="spellStart"/>
      <w:r w:rsidR="00EF17D8" w:rsidRPr="004D0DD1">
        <w:rPr>
          <w:rFonts w:ascii="Verdana" w:hAnsi="Verdana"/>
          <w:sz w:val="20"/>
          <w:lang w:val="es-ES_tradnl"/>
        </w:rPr>
        <w:t>Caterin</w:t>
      </w:r>
      <w:proofErr w:type="spellEnd"/>
      <w:r w:rsidR="00EF17D8" w:rsidRPr="004D0DD1">
        <w:rPr>
          <w:rFonts w:ascii="Verdana" w:hAnsi="Verdana"/>
          <w:sz w:val="20"/>
          <w:lang w:val="es-ES_tradnl"/>
        </w:rPr>
        <w:t xml:space="preserve"> Gutiérrez Peña,</w:t>
      </w:r>
      <w:r w:rsidR="00EF17D8" w:rsidRPr="00A00669">
        <w:rPr>
          <w:rFonts w:ascii="Verdana" w:hAnsi="Verdana"/>
          <w:sz w:val="20"/>
          <w:lang w:val="es-ES_tradnl"/>
        </w:rPr>
        <w:t xml:space="preserve"> </w:t>
      </w:r>
      <w:proofErr w:type="spellStart"/>
      <w:r w:rsidR="00EF17D8" w:rsidRPr="00A00669">
        <w:rPr>
          <w:rFonts w:ascii="Verdana" w:hAnsi="Verdana"/>
          <w:sz w:val="20"/>
          <w:lang w:val="es-ES_tradnl"/>
        </w:rPr>
        <w:t>Sulma</w:t>
      </w:r>
      <w:proofErr w:type="spellEnd"/>
      <w:r w:rsidR="00EF17D8" w:rsidRPr="00A00669">
        <w:rPr>
          <w:rFonts w:ascii="Verdana" w:hAnsi="Verdana"/>
          <w:sz w:val="20"/>
          <w:lang w:val="es-ES_tradnl"/>
        </w:rPr>
        <w:t xml:space="preserve"> Tatiana Gutiérrez Rubiano, Ricardo Alberto Gutiérrez Rubiano y Carlos Andrés Gutiérrez Rubiano</w:t>
      </w:r>
      <w:r w:rsidR="002F2709">
        <w:rPr>
          <w:rFonts w:ascii="Verdana" w:hAnsi="Verdana"/>
          <w:sz w:val="20"/>
          <w:lang w:val="es-ES_tradnl"/>
        </w:rPr>
        <w:t xml:space="preserve">. Ello, en razón de </w:t>
      </w:r>
      <w:r w:rsidR="00455A96">
        <w:rPr>
          <w:rFonts w:ascii="Verdana" w:hAnsi="Verdana"/>
          <w:sz w:val="20"/>
          <w:lang w:val="es-ES_tradnl"/>
        </w:rPr>
        <w:t>la detención ilegal y arbitraria y las torturas sufridas el 24 de agosto de 1994 por Wilson Gutiérrez Soler, por medio de las que se le obligó a rendir una declaración</w:t>
      </w:r>
      <w:r w:rsidR="00D17569">
        <w:rPr>
          <w:rFonts w:ascii="Verdana" w:hAnsi="Verdana"/>
          <w:sz w:val="20"/>
          <w:lang w:val="es-ES_tradnl"/>
        </w:rPr>
        <w:t>,</w:t>
      </w:r>
      <w:r w:rsidR="00455A96">
        <w:rPr>
          <w:rFonts w:ascii="Verdana" w:hAnsi="Verdana"/>
          <w:sz w:val="20"/>
          <w:lang w:val="es-ES_tradnl"/>
        </w:rPr>
        <w:t xml:space="preserve"> por </w:t>
      </w:r>
      <w:r w:rsidR="00D17569">
        <w:rPr>
          <w:rFonts w:ascii="Verdana" w:hAnsi="Verdana"/>
          <w:sz w:val="20"/>
          <w:lang w:val="es-ES_tradnl"/>
        </w:rPr>
        <w:t xml:space="preserve">defectos en la investigación de los hechos y </w:t>
      </w:r>
      <w:r w:rsidR="00D17569" w:rsidRPr="00010837">
        <w:rPr>
          <w:rFonts w:ascii="Verdana" w:hAnsi="Verdana"/>
          <w:sz w:val="20"/>
          <w:lang w:val="es-ES_tradnl"/>
        </w:rPr>
        <w:t>el proceso a que fue sometido,</w:t>
      </w:r>
      <w:r w:rsidR="00D17569">
        <w:rPr>
          <w:rFonts w:ascii="Verdana" w:hAnsi="Verdana"/>
          <w:sz w:val="20"/>
          <w:lang w:val="es-ES_tradnl"/>
        </w:rPr>
        <w:t xml:space="preserve"> y por la </w:t>
      </w:r>
      <w:r w:rsidR="00D17569" w:rsidRPr="00314C60">
        <w:rPr>
          <w:rFonts w:ascii="Verdana" w:hAnsi="Verdana"/>
          <w:sz w:val="20"/>
          <w:lang w:val="es-ES_tradnl"/>
        </w:rPr>
        <w:t xml:space="preserve">campaña de </w:t>
      </w:r>
      <w:r w:rsidR="0048139E">
        <w:rPr>
          <w:rFonts w:ascii="Verdana" w:hAnsi="Verdana"/>
          <w:sz w:val="20"/>
          <w:lang w:val="es-ES_tradnl"/>
        </w:rPr>
        <w:t>“</w:t>
      </w:r>
      <w:r w:rsidR="00D17569" w:rsidRPr="00314C60">
        <w:rPr>
          <w:rFonts w:ascii="Verdana" w:hAnsi="Verdana"/>
          <w:sz w:val="20"/>
          <w:lang w:val="es-ES_tradnl"/>
        </w:rPr>
        <w:t>amenazas, hostigamientos, vigilancia, detenciones, allanamientos y atentados contra la vida e integridad personal</w:t>
      </w:r>
      <w:r w:rsidR="00D17569">
        <w:rPr>
          <w:rFonts w:ascii="Verdana" w:hAnsi="Verdana"/>
          <w:sz w:val="20"/>
          <w:lang w:val="es-ES_tradnl"/>
        </w:rPr>
        <w:t>”</w:t>
      </w:r>
      <w:r w:rsidR="0007720F">
        <w:rPr>
          <w:rStyle w:val="FootnoteReference"/>
          <w:rFonts w:ascii="Verdana" w:hAnsi="Verdana"/>
          <w:sz w:val="20"/>
          <w:lang w:val="es-ES_tradnl"/>
        </w:rPr>
        <w:footnoteReference w:id="2"/>
      </w:r>
      <w:r w:rsidR="0069682E">
        <w:rPr>
          <w:rFonts w:ascii="Verdana" w:hAnsi="Verdana"/>
          <w:sz w:val="20"/>
          <w:lang w:val="es-ES_tradnl"/>
        </w:rPr>
        <w:t xml:space="preserve"> sufrida por el seño</w:t>
      </w:r>
      <w:r w:rsidR="00D17569">
        <w:rPr>
          <w:rFonts w:ascii="Verdana" w:hAnsi="Verdana"/>
          <w:sz w:val="20"/>
          <w:lang w:val="es-ES_tradnl"/>
        </w:rPr>
        <w:t>r Wilson Gutiérrez Soler y sus familiares desde 1994.</w:t>
      </w:r>
      <w:r w:rsidR="00010837">
        <w:rPr>
          <w:rFonts w:ascii="Verdana" w:hAnsi="Verdana"/>
          <w:sz w:val="20"/>
          <w:lang w:val="es-ES_tradnl"/>
        </w:rPr>
        <w:t xml:space="preserve">  </w:t>
      </w:r>
    </w:p>
    <w:p w:rsidR="00004A63" w:rsidRPr="00004A63" w:rsidRDefault="00004A63" w:rsidP="00004A63">
      <w:pPr>
        <w:tabs>
          <w:tab w:val="left" w:pos="567"/>
        </w:tabs>
        <w:spacing w:after="0" w:line="240" w:lineRule="auto"/>
        <w:jc w:val="both"/>
        <w:rPr>
          <w:rFonts w:ascii="Verdana" w:hAnsi="Verdana"/>
          <w:sz w:val="20"/>
          <w:lang w:val="es-ES_tradnl"/>
        </w:rPr>
      </w:pPr>
    </w:p>
    <w:p w:rsidR="00705133" w:rsidRPr="00314C60" w:rsidRDefault="00705133" w:rsidP="002F2709">
      <w:pPr>
        <w:pStyle w:val="ListParagraph"/>
        <w:tabs>
          <w:tab w:val="left" w:pos="567"/>
        </w:tabs>
        <w:spacing w:after="0" w:line="240" w:lineRule="auto"/>
        <w:ind w:left="0"/>
        <w:jc w:val="both"/>
        <w:rPr>
          <w:rFonts w:ascii="Verdana" w:hAnsi="Verdana"/>
          <w:sz w:val="20"/>
          <w:lang w:val="es-ES_tradnl"/>
        </w:rPr>
      </w:pPr>
    </w:p>
    <w:p w:rsidR="00563651" w:rsidRPr="00563651" w:rsidRDefault="00010837" w:rsidP="00563651">
      <w:pPr>
        <w:pStyle w:val="ListParagraph"/>
        <w:numPr>
          <w:ilvl w:val="0"/>
          <w:numId w:val="7"/>
        </w:numPr>
        <w:spacing w:afterLines="20" w:after="48"/>
        <w:ind w:left="0" w:right="4" w:firstLine="0"/>
        <w:jc w:val="both"/>
        <w:rPr>
          <w:rFonts w:ascii="Verdana" w:eastAsia="Times New Roman" w:hAnsi="Verdana"/>
          <w:sz w:val="20"/>
          <w:lang w:val="es-CR"/>
        </w:rPr>
      </w:pPr>
      <w:r w:rsidRPr="00563651">
        <w:rPr>
          <w:rFonts w:ascii="Verdana" w:hAnsi="Verdana"/>
          <w:sz w:val="20"/>
          <w:lang w:val="es-ES_tradnl"/>
        </w:rPr>
        <w:lastRenderedPageBreak/>
        <w:t xml:space="preserve">Las Resoluciones de </w:t>
      </w:r>
      <w:r w:rsidR="0027235F">
        <w:rPr>
          <w:rFonts w:ascii="Verdana" w:hAnsi="Verdana"/>
          <w:sz w:val="20"/>
          <w:lang w:val="es-ES_tradnl"/>
        </w:rPr>
        <w:t>s</w:t>
      </w:r>
      <w:r w:rsidRPr="00563651">
        <w:rPr>
          <w:rFonts w:ascii="Verdana" w:hAnsi="Verdana"/>
          <w:sz w:val="20"/>
          <w:lang w:val="es-ES_tradnl"/>
        </w:rPr>
        <w:t xml:space="preserve">upervisión de cumplimiento de </w:t>
      </w:r>
      <w:r w:rsidR="0027235F">
        <w:rPr>
          <w:rFonts w:ascii="Verdana" w:hAnsi="Verdana"/>
          <w:sz w:val="20"/>
          <w:lang w:val="es-ES_tradnl"/>
        </w:rPr>
        <w:t>s</w:t>
      </w:r>
      <w:r w:rsidRPr="00563651">
        <w:rPr>
          <w:rFonts w:ascii="Verdana" w:hAnsi="Verdana"/>
          <w:sz w:val="20"/>
          <w:lang w:val="es-ES_tradnl"/>
        </w:rPr>
        <w:t xml:space="preserve">entencia emitidas </w:t>
      </w:r>
      <w:r w:rsidR="00876AAE" w:rsidRPr="00563651">
        <w:rPr>
          <w:rFonts w:ascii="Verdana" w:hAnsi="Verdana"/>
          <w:sz w:val="20"/>
          <w:lang w:val="es-ES_tradnl"/>
        </w:rPr>
        <w:t xml:space="preserve">por la Corte </w:t>
      </w:r>
      <w:r w:rsidRPr="00563651">
        <w:rPr>
          <w:rFonts w:ascii="Verdana" w:hAnsi="Verdana"/>
          <w:sz w:val="20"/>
          <w:lang w:val="es-ES_tradnl"/>
        </w:rPr>
        <w:t>los días 31 de enero</w:t>
      </w:r>
      <w:r w:rsidR="00876AAE" w:rsidRPr="00563651">
        <w:rPr>
          <w:rFonts w:ascii="Verdana" w:hAnsi="Verdana"/>
          <w:sz w:val="20"/>
          <w:lang w:val="es-ES_tradnl"/>
        </w:rPr>
        <w:t xml:space="preserve"> de 2008 y 30 de junio de 2009, y </w:t>
      </w:r>
      <w:r w:rsidR="00876AAE" w:rsidRPr="0007720F">
        <w:rPr>
          <w:rFonts w:ascii="Verdana" w:hAnsi="Verdana"/>
          <w:sz w:val="20"/>
          <w:lang w:val="es-ES_tradnl"/>
        </w:rPr>
        <w:t>por su Presidencia</w:t>
      </w:r>
      <w:r w:rsidR="00876AAE" w:rsidRPr="00563651">
        <w:rPr>
          <w:rFonts w:ascii="Verdana" w:hAnsi="Verdana"/>
          <w:sz w:val="20"/>
          <w:lang w:val="es-ES_tradnl"/>
        </w:rPr>
        <w:t xml:space="preserve"> los días</w:t>
      </w:r>
      <w:r w:rsidRPr="00563651">
        <w:rPr>
          <w:rFonts w:ascii="Verdana" w:hAnsi="Verdana"/>
          <w:sz w:val="20"/>
          <w:lang w:val="es-ES_tradnl"/>
        </w:rPr>
        <w:t xml:space="preserve"> 3 de diciembre de 2008 y 8 de febrero de 2012</w:t>
      </w:r>
      <w:r w:rsidR="00563651">
        <w:rPr>
          <w:rStyle w:val="FootnoteReference"/>
          <w:rFonts w:ascii="Verdana" w:hAnsi="Verdana"/>
          <w:sz w:val="20"/>
          <w:lang w:val="es-ES_tradnl"/>
        </w:rPr>
        <w:footnoteReference w:id="3"/>
      </w:r>
      <w:r w:rsidRPr="00563651">
        <w:rPr>
          <w:rFonts w:ascii="Verdana" w:hAnsi="Verdana"/>
          <w:sz w:val="20"/>
          <w:lang w:val="es-ES_tradnl"/>
        </w:rPr>
        <w:t xml:space="preserve">. </w:t>
      </w:r>
    </w:p>
    <w:p w:rsidR="00563651" w:rsidRPr="00563651" w:rsidRDefault="00563651" w:rsidP="00563651">
      <w:pPr>
        <w:pStyle w:val="ListParagraph"/>
        <w:rPr>
          <w:rFonts w:ascii="Verdana" w:eastAsia="Times New Roman" w:hAnsi="Verdana"/>
          <w:sz w:val="20"/>
          <w:lang w:val="es-CR"/>
        </w:rPr>
      </w:pPr>
    </w:p>
    <w:p w:rsidR="00FD74B9" w:rsidRPr="00246DBD" w:rsidRDefault="001C3FF1" w:rsidP="000C4C92">
      <w:pPr>
        <w:pStyle w:val="ListParagraph"/>
        <w:numPr>
          <w:ilvl w:val="0"/>
          <w:numId w:val="7"/>
        </w:numPr>
        <w:spacing w:afterLines="20" w:after="48"/>
        <w:ind w:left="0" w:right="4" w:firstLine="0"/>
        <w:jc w:val="both"/>
        <w:rPr>
          <w:rFonts w:ascii="Verdana" w:eastAsia="Times New Roman" w:hAnsi="Verdana"/>
          <w:sz w:val="20"/>
          <w:lang w:val="es-CR"/>
        </w:rPr>
      </w:pPr>
      <w:r>
        <w:rPr>
          <w:rFonts w:ascii="Verdana" w:eastAsia="Times New Roman" w:hAnsi="Verdana"/>
          <w:sz w:val="20"/>
          <w:lang w:val="es-CR"/>
        </w:rPr>
        <w:t xml:space="preserve">Las Resoluciones de </w:t>
      </w:r>
      <w:r w:rsidR="0027235F">
        <w:rPr>
          <w:rFonts w:ascii="Verdana" w:eastAsia="Times New Roman" w:hAnsi="Verdana"/>
          <w:sz w:val="20"/>
          <w:lang w:val="es-CR"/>
        </w:rPr>
        <w:t>m</w:t>
      </w:r>
      <w:r>
        <w:rPr>
          <w:rFonts w:ascii="Verdana" w:eastAsia="Times New Roman" w:hAnsi="Verdana"/>
          <w:sz w:val="20"/>
          <w:lang w:val="es-CR"/>
        </w:rPr>
        <w:t xml:space="preserve">edidas </w:t>
      </w:r>
      <w:r w:rsidR="0027235F">
        <w:rPr>
          <w:rFonts w:ascii="Verdana" w:eastAsia="Times New Roman" w:hAnsi="Verdana"/>
          <w:sz w:val="20"/>
          <w:lang w:val="es-CR"/>
        </w:rPr>
        <w:t>p</w:t>
      </w:r>
      <w:r>
        <w:rPr>
          <w:rFonts w:ascii="Verdana" w:eastAsia="Times New Roman" w:hAnsi="Verdana"/>
          <w:sz w:val="20"/>
          <w:lang w:val="es-CR"/>
        </w:rPr>
        <w:t xml:space="preserve">rovisionales emitidas por la Corte los días 11 de marzo de 2005, 27 de noviembre de 2007, 9 de julio de 2009, 30 de junio de 2011 y 23 de octubre de 2012. </w:t>
      </w:r>
      <w:r w:rsidR="000B27AB">
        <w:rPr>
          <w:rFonts w:ascii="Verdana" w:eastAsia="Times New Roman" w:hAnsi="Verdana"/>
          <w:sz w:val="20"/>
          <w:lang w:val="es-CR"/>
        </w:rPr>
        <w:t xml:space="preserve">En su </w:t>
      </w:r>
      <w:r w:rsidR="000B27AB">
        <w:rPr>
          <w:rFonts w:ascii="Verdana" w:hAnsi="Verdana"/>
          <w:sz w:val="20"/>
          <w:lang w:val="es-CR"/>
        </w:rPr>
        <w:t>última Resolución resolvió</w:t>
      </w:r>
      <w:r w:rsidR="000B27AB" w:rsidRPr="000B27AB">
        <w:rPr>
          <w:rFonts w:ascii="Verdana" w:hAnsi="Verdana"/>
          <w:sz w:val="20"/>
          <w:lang w:val="es-CR"/>
        </w:rPr>
        <w:t xml:space="preserve"> “[a]</w:t>
      </w:r>
      <w:proofErr w:type="spellStart"/>
      <w:r w:rsidR="000B27AB" w:rsidRPr="000B27AB">
        <w:rPr>
          <w:rFonts w:ascii="Verdana" w:hAnsi="Verdana"/>
          <w:sz w:val="20"/>
          <w:lang w:val="es-CR"/>
        </w:rPr>
        <w:t>rchivar</w:t>
      </w:r>
      <w:proofErr w:type="spellEnd"/>
      <w:r w:rsidR="000B27AB" w:rsidRPr="000B27AB">
        <w:rPr>
          <w:rFonts w:ascii="Verdana" w:hAnsi="Verdana"/>
          <w:sz w:val="20"/>
          <w:lang w:val="es-CR"/>
        </w:rPr>
        <w:t xml:space="preserve"> el expediente del presente asunto”</w:t>
      </w:r>
      <w:r w:rsidR="00EC3F4F">
        <w:rPr>
          <w:rStyle w:val="FootnoteReference"/>
          <w:rFonts w:ascii="Verdana" w:hAnsi="Verdana"/>
          <w:sz w:val="20"/>
          <w:lang w:val="es-CR"/>
        </w:rPr>
        <w:footnoteReference w:id="4"/>
      </w:r>
      <w:r w:rsidR="000B27AB" w:rsidRPr="000B27AB">
        <w:rPr>
          <w:rFonts w:ascii="Verdana" w:hAnsi="Verdana"/>
          <w:sz w:val="20"/>
          <w:lang w:val="es-CR"/>
        </w:rPr>
        <w:t>.</w:t>
      </w:r>
    </w:p>
    <w:p w:rsidR="00246DBD" w:rsidRPr="000C4C92" w:rsidRDefault="00246DBD" w:rsidP="00816118">
      <w:pPr>
        <w:pStyle w:val="ListParagraph"/>
        <w:spacing w:afterLines="20" w:after="48"/>
        <w:ind w:left="0" w:right="4"/>
        <w:jc w:val="both"/>
        <w:rPr>
          <w:rFonts w:ascii="Verdana" w:eastAsia="Times New Roman" w:hAnsi="Verdana"/>
          <w:sz w:val="20"/>
          <w:lang w:val="es-CR"/>
        </w:rPr>
      </w:pPr>
    </w:p>
    <w:p w:rsidR="00FD74B9" w:rsidRPr="003E40B9" w:rsidRDefault="00062F47" w:rsidP="00257245">
      <w:pPr>
        <w:pStyle w:val="ListParagraph"/>
        <w:numPr>
          <w:ilvl w:val="0"/>
          <w:numId w:val="7"/>
        </w:numPr>
        <w:spacing w:after="0"/>
        <w:ind w:left="0" w:right="4" w:firstLine="0"/>
        <w:jc w:val="both"/>
        <w:rPr>
          <w:rFonts w:ascii="Verdana" w:eastAsia="Batang" w:hAnsi="Verdana" w:cs="Times New Roman"/>
          <w:sz w:val="20"/>
          <w:lang w:val="es-CR"/>
        </w:rPr>
      </w:pPr>
      <w:r w:rsidRPr="003E40B9">
        <w:rPr>
          <w:rFonts w:ascii="Verdana" w:eastAsia="Batang" w:hAnsi="Verdana" w:cs="Times New Roman"/>
          <w:sz w:val="20"/>
          <w:lang w:val="es-CR"/>
        </w:rPr>
        <w:t>Las comunicaciones del señor Ricardo Gutiérrez Soler (en adelante también “señor Gutiérrez Soler”</w:t>
      </w:r>
      <w:r w:rsidR="005B393C" w:rsidRPr="003E40B9">
        <w:rPr>
          <w:rFonts w:ascii="Verdana" w:eastAsia="Batang" w:hAnsi="Verdana" w:cs="Times New Roman"/>
          <w:sz w:val="20"/>
          <w:lang w:val="es-CR"/>
        </w:rPr>
        <w:t xml:space="preserve"> o “el representante”</w:t>
      </w:r>
      <w:r w:rsidRPr="003E40B9">
        <w:rPr>
          <w:rFonts w:ascii="Verdana" w:eastAsia="Batang" w:hAnsi="Verdana" w:cs="Times New Roman"/>
          <w:sz w:val="20"/>
          <w:lang w:val="es-CR"/>
        </w:rPr>
        <w:t xml:space="preserve">) de 4, 18, </w:t>
      </w:r>
      <w:r w:rsidR="00050275" w:rsidRPr="003E40B9">
        <w:rPr>
          <w:rFonts w:ascii="Verdana" w:eastAsia="Batang" w:hAnsi="Verdana" w:cs="Times New Roman"/>
          <w:sz w:val="20"/>
          <w:lang w:val="es-CR"/>
        </w:rPr>
        <w:t xml:space="preserve">22, 23, </w:t>
      </w:r>
      <w:r w:rsidR="00716C69" w:rsidRPr="003E40B9">
        <w:rPr>
          <w:rFonts w:ascii="Verdana" w:eastAsia="Batang" w:hAnsi="Verdana" w:cs="Times New Roman"/>
          <w:sz w:val="20"/>
          <w:lang w:val="es-CR"/>
        </w:rPr>
        <w:t xml:space="preserve">25 </w:t>
      </w:r>
      <w:r w:rsidR="00050275" w:rsidRPr="003E40B9">
        <w:rPr>
          <w:rFonts w:ascii="Verdana" w:eastAsia="Batang" w:hAnsi="Verdana" w:cs="Times New Roman"/>
          <w:sz w:val="20"/>
          <w:lang w:val="es-CR"/>
        </w:rPr>
        <w:t xml:space="preserve">y 30 </w:t>
      </w:r>
      <w:r w:rsidR="00716C69" w:rsidRPr="003E40B9">
        <w:rPr>
          <w:rFonts w:ascii="Verdana" w:eastAsia="Batang" w:hAnsi="Verdana" w:cs="Times New Roman"/>
          <w:sz w:val="20"/>
          <w:lang w:val="es-CR"/>
        </w:rPr>
        <w:t xml:space="preserve">de </w:t>
      </w:r>
      <w:r w:rsidRPr="003E40B9">
        <w:rPr>
          <w:rFonts w:ascii="Verdana" w:eastAsia="Batang" w:hAnsi="Verdana" w:cs="Times New Roman"/>
          <w:sz w:val="20"/>
          <w:lang w:val="es-CR"/>
        </w:rPr>
        <w:t>julio de 2017</w:t>
      </w:r>
      <w:r w:rsidR="00483780" w:rsidRPr="00257245">
        <w:rPr>
          <w:rStyle w:val="FootnoteReference"/>
          <w:rFonts w:ascii="Verdana" w:hAnsi="Verdana"/>
          <w:sz w:val="20"/>
          <w:szCs w:val="20"/>
        </w:rPr>
        <w:footnoteReference w:id="5"/>
      </w:r>
      <w:r w:rsidRPr="003E40B9">
        <w:rPr>
          <w:rFonts w:ascii="Verdana" w:eastAsia="Batang" w:hAnsi="Verdana" w:cs="Times New Roman"/>
          <w:sz w:val="20"/>
          <w:lang w:val="es-CR"/>
        </w:rPr>
        <w:t>, mediante las cuales</w:t>
      </w:r>
      <w:r w:rsidR="00A15F4B" w:rsidRPr="003E40B9">
        <w:rPr>
          <w:rFonts w:ascii="Verdana" w:eastAsia="Batang" w:hAnsi="Verdana" w:cs="Times New Roman"/>
          <w:sz w:val="20"/>
          <w:lang w:val="es-CR"/>
        </w:rPr>
        <w:t>, en su propio nombre y e</w:t>
      </w:r>
      <w:r w:rsidR="00FD74B9" w:rsidRPr="003E40B9">
        <w:rPr>
          <w:rFonts w:ascii="Verdana" w:eastAsia="Batang" w:hAnsi="Verdana" w:cs="Times New Roman"/>
          <w:sz w:val="20"/>
          <w:lang w:val="es-CR"/>
        </w:rPr>
        <w:t>jercie</w:t>
      </w:r>
      <w:r w:rsidR="00A15F4B" w:rsidRPr="003E40B9">
        <w:rPr>
          <w:rFonts w:ascii="Verdana" w:eastAsia="Batang" w:hAnsi="Verdana" w:cs="Times New Roman"/>
          <w:sz w:val="20"/>
          <w:lang w:val="es-CR"/>
        </w:rPr>
        <w:t>n</w:t>
      </w:r>
      <w:r w:rsidR="00FD74B9" w:rsidRPr="003E40B9">
        <w:rPr>
          <w:rFonts w:ascii="Verdana" w:eastAsia="Batang" w:hAnsi="Verdana" w:cs="Times New Roman"/>
          <w:sz w:val="20"/>
          <w:lang w:val="es-CR"/>
        </w:rPr>
        <w:t>do</w:t>
      </w:r>
      <w:r w:rsidR="00A15F4B" w:rsidRPr="003E40B9">
        <w:rPr>
          <w:rFonts w:ascii="Verdana" w:eastAsia="Batang" w:hAnsi="Verdana" w:cs="Times New Roman"/>
          <w:sz w:val="20"/>
          <w:lang w:val="es-CR"/>
        </w:rPr>
        <w:t xml:space="preserve"> </w:t>
      </w:r>
      <w:r w:rsidR="00FD74B9" w:rsidRPr="003E40B9">
        <w:rPr>
          <w:rFonts w:ascii="Verdana" w:eastAsia="Batang" w:hAnsi="Verdana" w:cs="Times New Roman"/>
          <w:sz w:val="20"/>
          <w:lang w:val="es-CR"/>
        </w:rPr>
        <w:t xml:space="preserve">la </w:t>
      </w:r>
      <w:r w:rsidR="00A15F4B" w:rsidRPr="003E40B9">
        <w:rPr>
          <w:rFonts w:ascii="Verdana" w:eastAsia="Batang" w:hAnsi="Verdana" w:cs="Times New Roman"/>
          <w:sz w:val="20"/>
          <w:lang w:val="es-CR"/>
        </w:rPr>
        <w:t xml:space="preserve">representación de </w:t>
      </w:r>
      <w:r w:rsidR="00D35BEF" w:rsidRPr="003E40B9">
        <w:rPr>
          <w:rFonts w:ascii="Verdana" w:eastAsia="Batang" w:hAnsi="Verdana" w:cs="Times New Roman"/>
          <w:sz w:val="20"/>
          <w:lang w:val="es-CR"/>
        </w:rPr>
        <w:t xml:space="preserve">su esposa </w:t>
      </w:r>
      <w:proofErr w:type="spellStart"/>
      <w:r w:rsidR="00FD74B9" w:rsidRPr="003E40B9">
        <w:rPr>
          <w:rFonts w:ascii="Verdana" w:eastAsia="Batang" w:hAnsi="Verdana" w:cs="Times New Roman"/>
          <w:sz w:val="20"/>
          <w:lang w:val="es-CR"/>
        </w:rPr>
        <w:t>Yaqueline</w:t>
      </w:r>
      <w:proofErr w:type="spellEnd"/>
      <w:r w:rsidR="00FD74B9" w:rsidRPr="003E40B9">
        <w:rPr>
          <w:rFonts w:ascii="Verdana" w:eastAsia="Batang" w:hAnsi="Verdana" w:cs="Times New Roman"/>
          <w:sz w:val="20"/>
          <w:lang w:val="es-CR"/>
        </w:rPr>
        <w:t xml:space="preserve"> Reyes</w:t>
      </w:r>
      <w:r w:rsidR="00D35BEF" w:rsidRPr="003E40B9">
        <w:rPr>
          <w:rFonts w:ascii="Verdana" w:eastAsia="Batang" w:hAnsi="Verdana" w:cs="Times New Roman"/>
          <w:sz w:val="20"/>
          <w:lang w:val="es-CR"/>
        </w:rPr>
        <w:t>;</w:t>
      </w:r>
      <w:r w:rsidR="00FD74B9" w:rsidRPr="003E40B9">
        <w:rPr>
          <w:rFonts w:ascii="Verdana" w:eastAsia="Batang" w:hAnsi="Verdana" w:cs="Times New Roman"/>
          <w:sz w:val="20"/>
          <w:lang w:val="es-CR"/>
        </w:rPr>
        <w:t xml:space="preserve"> </w:t>
      </w:r>
      <w:r w:rsidR="00D35BEF" w:rsidRPr="003E40B9">
        <w:rPr>
          <w:rFonts w:ascii="Verdana" w:eastAsia="Batang" w:hAnsi="Verdana" w:cs="Times New Roman"/>
          <w:sz w:val="20"/>
          <w:lang w:val="es-CR"/>
        </w:rPr>
        <w:t xml:space="preserve">las hijas de ambos, </w:t>
      </w:r>
      <w:r w:rsidR="00FD74B9" w:rsidRPr="003E40B9">
        <w:rPr>
          <w:rFonts w:ascii="Verdana" w:eastAsia="Batang" w:hAnsi="Verdana" w:cs="Times New Roman"/>
          <w:sz w:val="20"/>
          <w:lang w:val="es-CR"/>
        </w:rPr>
        <w:t xml:space="preserve">Luisa Fernanda </w:t>
      </w:r>
      <w:r w:rsidR="00D35BEF" w:rsidRPr="003E40B9">
        <w:rPr>
          <w:rFonts w:ascii="Verdana" w:eastAsia="Batang" w:hAnsi="Verdana" w:cs="Times New Roman"/>
          <w:sz w:val="20"/>
          <w:lang w:val="es-CR"/>
        </w:rPr>
        <w:t>y Paula Camila, ambas de apellidos Gutiérrez Reyes, y la hija y el hijo del representante</w:t>
      </w:r>
      <w:r w:rsidR="00303561" w:rsidRPr="003E40B9">
        <w:rPr>
          <w:rFonts w:ascii="Verdana" w:eastAsia="Batang" w:hAnsi="Verdana" w:cs="Times New Roman"/>
          <w:sz w:val="20"/>
          <w:lang w:val="es-CR"/>
        </w:rPr>
        <w:t>,</w:t>
      </w:r>
      <w:r w:rsidR="00D35BEF" w:rsidRPr="003E40B9">
        <w:rPr>
          <w:rFonts w:ascii="Verdana" w:eastAsia="Batang" w:hAnsi="Verdana" w:cs="Times New Roman"/>
          <w:sz w:val="20"/>
          <w:lang w:val="es-CR"/>
        </w:rPr>
        <w:t xml:space="preserve"> </w:t>
      </w:r>
      <w:proofErr w:type="spellStart"/>
      <w:r w:rsidR="00FD74B9" w:rsidRPr="003E40B9">
        <w:rPr>
          <w:rFonts w:ascii="Verdana" w:eastAsia="Batang" w:hAnsi="Verdana" w:cs="Times New Roman"/>
          <w:sz w:val="20"/>
          <w:lang w:val="es-CR"/>
        </w:rPr>
        <w:t>Leydi</w:t>
      </w:r>
      <w:proofErr w:type="spellEnd"/>
      <w:r w:rsidR="00FD74B9" w:rsidRPr="003E40B9">
        <w:rPr>
          <w:rFonts w:ascii="Verdana" w:eastAsia="Batang" w:hAnsi="Verdana" w:cs="Times New Roman"/>
          <w:sz w:val="20"/>
          <w:lang w:val="es-CR"/>
        </w:rPr>
        <w:t xml:space="preserve"> </w:t>
      </w:r>
      <w:proofErr w:type="spellStart"/>
      <w:r w:rsidR="00FD74B9" w:rsidRPr="003E40B9">
        <w:rPr>
          <w:rFonts w:ascii="Verdana" w:eastAsia="Batang" w:hAnsi="Verdana" w:cs="Times New Roman"/>
          <w:sz w:val="20"/>
          <w:lang w:val="es-CR"/>
        </w:rPr>
        <w:t>Caterin</w:t>
      </w:r>
      <w:proofErr w:type="spellEnd"/>
      <w:r w:rsidR="00FD74B9" w:rsidRPr="003E40B9">
        <w:rPr>
          <w:rFonts w:ascii="Verdana" w:eastAsia="Batang" w:hAnsi="Verdana" w:cs="Times New Roman"/>
          <w:sz w:val="20"/>
          <w:lang w:val="es-CR"/>
        </w:rPr>
        <w:t xml:space="preserve"> Gutiérrez Peña y Leonardo Gutiérrez Rubiano, </w:t>
      </w:r>
      <w:r w:rsidRPr="003E40B9">
        <w:rPr>
          <w:rFonts w:ascii="Verdana" w:eastAsia="Batang" w:hAnsi="Verdana" w:cs="Times New Roman"/>
          <w:sz w:val="20"/>
          <w:lang w:val="es-CR"/>
        </w:rPr>
        <w:t xml:space="preserve">solicitó que la Corte ordenara al Estado la adopción de medidas provisionales </w:t>
      </w:r>
      <w:r w:rsidR="00FD74B9" w:rsidRPr="003E40B9">
        <w:rPr>
          <w:rFonts w:ascii="Verdana" w:eastAsia="Batang" w:hAnsi="Verdana" w:cs="Times New Roman"/>
          <w:sz w:val="20"/>
          <w:lang w:val="es-CR"/>
        </w:rPr>
        <w:t>“tanto para [su] familia como para [su] persona”</w:t>
      </w:r>
      <w:r w:rsidR="00FD74B9" w:rsidRPr="00257245">
        <w:rPr>
          <w:rStyle w:val="FootnoteReference"/>
          <w:rFonts w:ascii="Verdana" w:hAnsi="Verdana"/>
          <w:sz w:val="20"/>
          <w:szCs w:val="20"/>
        </w:rPr>
        <w:footnoteReference w:id="6"/>
      </w:r>
      <w:r w:rsidR="00FD74B9" w:rsidRPr="003E40B9">
        <w:rPr>
          <w:rFonts w:ascii="Verdana" w:eastAsia="Batang" w:hAnsi="Verdana" w:cs="Times New Roman"/>
          <w:sz w:val="20"/>
          <w:lang w:val="es-CR"/>
        </w:rPr>
        <w:t xml:space="preserve">. </w:t>
      </w:r>
    </w:p>
    <w:p w:rsidR="00FD74B9" w:rsidRPr="00062F47" w:rsidRDefault="00FD74B9" w:rsidP="00257245">
      <w:pPr>
        <w:pStyle w:val="ListParagraph"/>
        <w:spacing w:after="0"/>
        <w:rPr>
          <w:rFonts w:ascii="Verdana" w:eastAsia="Times New Roman" w:hAnsi="Verdana"/>
          <w:sz w:val="20"/>
          <w:lang w:val="es-CR"/>
        </w:rPr>
      </w:pPr>
    </w:p>
    <w:p w:rsidR="00062F47" w:rsidRDefault="00A85319" w:rsidP="00257245">
      <w:pPr>
        <w:pStyle w:val="ListParagraph"/>
        <w:numPr>
          <w:ilvl w:val="0"/>
          <w:numId w:val="7"/>
        </w:numPr>
        <w:spacing w:after="0"/>
        <w:ind w:left="0" w:right="4" w:firstLine="0"/>
        <w:jc w:val="both"/>
        <w:rPr>
          <w:rFonts w:ascii="Verdana" w:eastAsia="Times New Roman" w:hAnsi="Verdana"/>
          <w:sz w:val="20"/>
          <w:lang w:val="es-CR"/>
        </w:rPr>
      </w:pPr>
      <w:r w:rsidRPr="00246DBD">
        <w:rPr>
          <w:rFonts w:ascii="Verdana" w:eastAsia="Times New Roman" w:hAnsi="Verdana"/>
          <w:sz w:val="20"/>
          <w:lang w:val="es-CR"/>
        </w:rPr>
        <w:t>Los</w:t>
      </w:r>
      <w:r w:rsidR="002D479D" w:rsidRPr="00246DBD">
        <w:rPr>
          <w:rFonts w:ascii="Verdana" w:eastAsia="Times New Roman" w:hAnsi="Verdana"/>
          <w:sz w:val="20"/>
          <w:lang w:val="es-CR"/>
        </w:rPr>
        <w:t xml:space="preserve"> e</w:t>
      </w:r>
      <w:r w:rsidR="00062F47" w:rsidRPr="00246DBD">
        <w:rPr>
          <w:rFonts w:ascii="Verdana" w:eastAsia="Times New Roman" w:hAnsi="Verdana"/>
          <w:sz w:val="20"/>
          <w:lang w:val="es-CR"/>
        </w:rPr>
        <w:t>scrito</w:t>
      </w:r>
      <w:r w:rsidRPr="00246DBD">
        <w:rPr>
          <w:rFonts w:ascii="Verdana" w:eastAsia="Times New Roman" w:hAnsi="Verdana"/>
          <w:sz w:val="20"/>
          <w:lang w:val="es-CR"/>
        </w:rPr>
        <w:t>s</w:t>
      </w:r>
      <w:r w:rsidR="00062F47" w:rsidRPr="00246DBD">
        <w:rPr>
          <w:rFonts w:ascii="Verdana" w:eastAsia="Times New Roman" w:hAnsi="Verdana"/>
          <w:sz w:val="20"/>
          <w:lang w:val="es-CR"/>
        </w:rPr>
        <w:t xml:space="preserve"> del Estado </w:t>
      </w:r>
      <w:r w:rsidR="002D479D" w:rsidRPr="00246DBD">
        <w:rPr>
          <w:rFonts w:ascii="Verdana" w:eastAsia="Times New Roman" w:hAnsi="Verdana"/>
          <w:sz w:val="20"/>
          <w:lang w:val="es-CR"/>
        </w:rPr>
        <w:t>recibido</w:t>
      </w:r>
      <w:r w:rsidRPr="00246DBD">
        <w:rPr>
          <w:rFonts w:ascii="Verdana" w:eastAsia="Times New Roman" w:hAnsi="Verdana"/>
          <w:sz w:val="20"/>
          <w:lang w:val="es-CR"/>
        </w:rPr>
        <w:t>s los días</w:t>
      </w:r>
      <w:r w:rsidR="002D479D" w:rsidRPr="00246DBD">
        <w:rPr>
          <w:rFonts w:ascii="Verdana" w:eastAsia="Times New Roman" w:hAnsi="Verdana"/>
          <w:sz w:val="20"/>
          <w:lang w:val="es-CR"/>
        </w:rPr>
        <w:t xml:space="preserve"> 3</w:t>
      </w:r>
      <w:r w:rsidR="009A5CE9" w:rsidRPr="00246DBD">
        <w:rPr>
          <w:rFonts w:ascii="Verdana" w:eastAsia="Times New Roman" w:hAnsi="Verdana"/>
          <w:sz w:val="20"/>
          <w:lang w:val="es-CR"/>
        </w:rPr>
        <w:t>,</w:t>
      </w:r>
      <w:r w:rsidRPr="00246DBD">
        <w:rPr>
          <w:rFonts w:ascii="Verdana" w:eastAsia="Times New Roman" w:hAnsi="Verdana"/>
          <w:sz w:val="20"/>
          <w:lang w:val="es-CR"/>
        </w:rPr>
        <w:t xml:space="preserve"> 9 </w:t>
      </w:r>
      <w:r w:rsidR="009A5CE9" w:rsidRPr="00246DBD">
        <w:rPr>
          <w:rFonts w:ascii="Verdana" w:eastAsia="Times New Roman" w:hAnsi="Verdana"/>
          <w:sz w:val="20"/>
          <w:lang w:val="es-CR"/>
        </w:rPr>
        <w:t xml:space="preserve">y 18 </w:t>
      </w:r>
      <w:r w:rsidR="002D479D" w:rsidRPr="00246DBD">
        <w:rPr>
          <w:rFonts w:ascii="Verdana" w:eastAsia="Times New Roman" w:hAnsi="Verdana"/>
          <w:sz w:val="20"/>
          <w:lang w:val="es-CR"/>
        </w:rPr>
        <w:t>de agosto</w:t>
      </w:r>
      <w:r w:rsidR="002D479D">
        <w:rPr>
          <w:rFonts w:ascii="Verdana" w:eastAsia="Times New Roman" w:hAnsi="Verdana"/>
          <w:sz w:val="20"/>
          <w:lang w:val="es-CR"/>
        </w:rPr>
        <w:t xml:space="preserve"> de 2017, </w:t>
      </w:r>
      <w:r w:rsidR="00062F47">
        <w:rPr>
          <w:rFonts w:ascii="Verdana" w:eastAsia="Times New Roman" w:hAnsi="Verdana"/>
          <w:sz w:val="20"/>
          <w:lang w:val="es-CR"/>
        </w:rPr>
        <w:t>por medio de</w:t>
      </w:r>
      <w:r w:rsidR="009A5CE9">
        <w:rPr>
          <w:rFonts w:ascii="Verdana" w:eastAsia="Times New Roman" w:hAnsi="Verdana"/>
          <w:sz w:val="20"/>
          <w:lang w:val="es-CR"/>
        </w:rPr>
        <w:t xml:space="preserve"> </w:t>
      </w:r>
      <w:r w:rsidR="00062F47">
        <w:rPr>
          <w:rFonts w:ascii="Verdana" w:eastAsia="Times New Roman" w:hAnsi="Verdana"/>
          <w:sz w:val="20"/>
          <w:lang w:val="es-CR"/>
        </w:rPr>
        <w:t>l</w:t>
      </w:r>
      <w:r w:rsidR="009A5CE9">
        <w:rPr>
          <w:rFonts w:ascii="Verdana" w:eastAsia="Times New Roman" w:hAnsi="Verdana"/>
          <w:sz w:val="20"/>
          <w:lang w:val="es-CR"/>
        </w:rPr>
        <w:t>os</w:t>
      </w:r>
      <w:r w:rsidR="00062F47">
        <w:rPr>
          <w:rFonts w:ascii="Verdana" w:eastAsia="Times New Roman" w:hAnsi="Verdana"/>
          <w:sz w:val="20"/>
          <w:lang w:val="es-CR"/>
        </w:rPr>
        <w:t xml:space="preserve"> cual</w:t>
      </w:r>
      <w:r w:rsidR="009A5CE9">
        <w:rPr>
          <w:rFonts w:ascii="Verdana" w:eastAsia="Times New Roman" w:hAnsi="Verdana"/>
          <w:sz w:val="20"/>
          <w:lang w:val="es-CR"/>
        </w:rPr>
        <w:t>es</w:t>
      </w:r>
      <w:r w:rsidR="00062F47">
        <w:rPr>
          <w:rFonts w:ascii="Verdana" w:eastAsia="Times New Roman" w:hAnsi="Verdana"/>
          <w:sz w:val="20"/>
          <w:lang w:val="es-CR"/>
        </w:rPr>
        <w:t xml:space="preserve"> </w:t>
      </w:r>
      <w:r w:rsidR="002D479D">
        <w:rPr>
          <w:rFonts w:ascii="Verdana" w:eastAsia="Times New Roman" w:hAnsi="Verdana"/>
          <w:sz w:val="20"/>
          <w:lang w:val="es-CR"/>
        </w:rPr>
        <w:t>solicitó que se declare improcedente la solicitud de medidas provisionales.</w:t>
      </w:r>
    </w:p>
    <w:p w:rsidR="00062F47" w:rsidRPr="00062F47" w:rsidRDefault="00062F47" w:rsidP="00062F47">
      <w:pPr>
        <w:pStyle w:val="ListParagraph"/>
        <w:rPr>
          <w:rFonts w:ascii="Verdana" w:eastAsia="Times New Roman" w:hAnsi="Verdana"/>
          <w:sz w:val="20"/>
          <w:lang w:val="es-CR"/>
        </w:rPr>
      </w:pPr>
    </w:p>
    <w:p w:rsidR="00062F47" w:rsidRPr="003E40B9" w:rsidRDefault="00062F47" w:rsidP="000B27AB">
      <w:pPr>
        <w:pStyle w:val="ListParagraph"/>
        <w:numPr>
          <w:ilvl w:val="0"/>
          <w:numId w:val="7"/>
        </w:numPr>
        <w:spacing w:afterLines="20" w:after="48"/>
        <w:ind w:left="0" w:right="4" w:firstLine="0"/>
        <w:jc w:val="both"/>
        <w:rPr>
          <w:rFonts w:ascii="Verdana" w:eastAsia="Batang" w:hAnsi="Verdana" w:cs="Times New Roman"/>
          <w:sz w:val="20"/>
          <w:lang w:val="es-CR"/>
        </w:rPr>
      </w:pPr>
      <w:r w:rsidRPr="003E40B9">
        <w:rPr>
          <w:rFonts w:ascii="Verdana" w:eastAsia="Batang" w:hAnsi="Verdana" w:cs="Times New Roman"/>
          <w:sz w:val="20"/>
          <w:lang w:val="es-CR"/>
        </w:rPr>
        <w:t xml:space="preserve">El escrito de la Comisión Interamericana de Derechos Humanos (en adelante </w:t>
      </w:r>
      <w:r w:rsidR="00536879" w:rsidRPr="003E40B9">
        <w:rPr>
          <w:rFonts w:ascii="Verdana" w:eastAsia="Batang" w:hAnsi="Verdana" w:cs="Times New Roman"/>
          <w:sz w:val="20"/>
          <w:lang w:val="es-CR"/>
        </w:rPr>
        <w:t xml:space="preserve">también </w:t>
      </w:r>
      <w:r w:rsidRPr="003E40B9">
        <w:rPr>
          <w:rFonts w:ascii="Verdana" w:eastAsia="Batang" w:hAnsi="Verdana" w:cs="Times New Roman"/>
          <w:sz w:val="20"/>
          <w:lang w:val="es-CR"/>
        </w:rPr>
        <w:t>“la Comisión</w:t>
      </w:r>
      <w:r w:rsidR="00257245" w:rsidRPr="00257245">
        <w:rPr>
          <w:rFonts w:ascii="Verdana" w:eastAsia="Batang" w:hAnsi="Verdana" w:cs="Times New Roman"/>
          <w:sz w:val="20"/>
          <w:lang w:val="es-CR"/>
        </w:rPr>
        <w:t xml:space="preserve"> </w:t>
      </w:r>
      <w:r w:rsidR="00257245" w:rsidRPr="003E40B9">
        <w:rPr>
          <w:rFonts w:ascii="Verdana" w:eastAsia="Batang" w:hAnsi="Verdana" w:cs="Times New Roman"/>
          <w:sz w:val="20"/>
          <w:lang w:val="es-CR"/>
        </w:rPr>
        <w:t>Interamericana</w:t>
      </w:r>
      <w:r w:rsidRPr="003E40B9">
        <w:rPr>
          <w:rFonts w:ascii="Verdana" w:eastAsia="Batang" w:hAnsi="Verdana" w:cs="Times New Roman"/>
          <w:sz w:val="20"/>
          <w:lang w:val="es-CR"/>
        </w:rPr>
        <w:t xml:space="preserve">” o “la Comisión”) por medio de la cual </w:t>
      </w:r>
      <w:r w:rsidR="002D479D" w:rsidRPr="003E40B9">
        <w:rPr>
          <w:rFonts w:ascii="Verdana" w:eastAsia="Batang" w:hAnsi="Verdana" w:cs="Times New Roman"/>
          <w:sz w:val="20"/>
          <w:lang w:val="es-CR"/>
        </w:rPr>
        <w:t>presentó observaciones a la solicitud de medidas provisionales.</w:t>
      </w:r>
    </w:p>
    <w:p w:rsidR="001C5B86" w:rsidRPr="001C5B86" w:rsidRDefault="001C5B86" w:rsidP="001C5B86">
      <w:pPr>
        <w:pStyle w:val="Prrafodelista1"/>
        <w:contextualSpacing w:val="0"/>
        <w:jc w:val="both"/>
        <w:rPr>
          <w:i/>
          <w:sz w:val="20"/>
          <w:lang w:val="es-CR"/>
        </w:rPr>
      </w:pPr>
    </w:p>
    <w:p w:rsidR="001C5B86" w:rsidRPr="004D0DD1" w:rsidRDefault="001C5B86" w:rsidP="001C5B86">
      <w:pPr>
        <w:tabs>
          <w:tab w:val="left" w:pos="567"/>
        </w:tabs>
        <w:spacing w:after="0" w:line="240" w:lineRule="auto"/>
        <w:jc w:val="both"/>
        <w:rPr>
          <w:rFonts w:ascii="Verdana" w:hAnsi="Verdana"/>
          <w:b/>
          <w:sz w:val="20"/>
          <w:lang w:val="es-CR"/>
        </w:rPr>
      </w:pPr>
      <w:r w:rsidRPr="004D0DD1">
        <w:rPr>
          <w:rFonts w:ascii="Verdana" w:hAnsi="Verdana"/>
          <w:b/>
          <w:sz w:val="20"/>
          <w:lang w:val="es-CR"/>
        </w:rPr>
        <w:t>CONSIDERANDO QUE:</w:t>
      </w:r>
    </w:p>
    <w:p w:rsidR="004D0DD1" w:rsidRDefault="004D0DD1" w:rsidP="004D0DD1">
      <w:pPr>
        <w:pStyle w:val="Default"/>
        <w:ind w:left="720"/>
      </w:pPr>
    </w:p>
    <w:p w:rsidR="004D0DD1" w:rsidRDefault="004D0DD1" w:rsidP="004D0DD1">
      <w:pPr>
        <w:pStyle w:val="Default"/>
        <w:numPr>
          <w:ilvl w:val="0"/>
          <w:numId w:val="9"/>
        </w:numPr>
        <w:ind w:left="0" w:hanging="11"/>
        <w:jc w:val="both"/>
        <w:rPr>
          <w:sz w:val="20"/>
          <w:szCs w:val="20"/>
        </w:rPr>
      </w:pPr>
      <w:r>
        <w:rPr>
          <w:sz w:val="20"/>
          <w:szCs w:val="20"/>
        </w:rPr>
        <w:lastRenderedPageBreak/>
        <w:t xml:space="preserve">Colombia es Estado Parte </w:t>
      </w:r>
      <w:r w:rsidR="0027235F">
        <w:rPr>
          <w:sz w:val="20"/>
          <w:szCs w:val="20"/>
        </w:rPr>
        <w:t xml:space="preserve">en </w:t>
      </w:r>
      <w:r>
        <w:rPr>
          <w:sz w:val="20"/>
          <w:szCs w:val="20"/>
        </w:rPr>
        <w:t xml:space="preserve">la Convención Americana sobre Derechos Humanos desde el 31 de julio de 1973 y reconoció la competencia contenciosa de la Corte Interamericana el 21 de junio de 1985. </w:t>
      </w:r>
    </w:p>
    <w:p w:rsidR="004D0DD1" w:rsidRPr="004D0DD1" w:rsidRDefault="004D0DD1" w:rsidP="004D0DD1">
      <w:pPr>
        <w:pStyle w:val="Prrafodelista1"/>
        <w:contextualSpacing w:val="0"/>
        <w:jc w:val="both"/>
        <w:rPr>
          <w:sz w:val="20"/>
          <w:szCs w:val="20"/>
          <w:lang w:val="es-CR"/>
        </w:rPr>
      </w:pPr>
    </w:p>
    <w:p w:rsidR="003C0535" w:rsidRPr="004D0DD1" w:rsidRDefault="003C0535" w:rsidP="00D476E1">
      <w:pPr>
        <w:pStyle w:val="Prrafodelista1"/>
        <w:numPr>
          <w:ilvl w:val="0"/>
          <w:numId w:val="9"/>
        </w:numPr>
        <w:ind w:left="0" w:hanging="11"/>
        <w:contextualSpacing w:val="0"/>
        <w:jc w:val="both"/>
        <w:rPr>
          <w:sz w:val="20"/>
          <w:szCs w:val="20"/>
          <w:lang w:val="es-CR"/>
        </w:rPr>
      </w:pPr>
      <w:r w:rsidRPr="004D0DD1">
        <w:rPr>
          <w:sz w:val="20"/>
          <w:lang w:val="es-CR"/>
        </w:rPr>
        <w:t xml:space="preserve">La Corte emitió Sentencia en el </w:t>
      </w:r>
      <w:r w:rsidR="003F4134">
        <w:rPr>
          <w:sz w:val="20"/>
          <w:lang w:val="es-CR"/>
        </w:rPr>
        <w:t>C</w:t>
      </w:r>
      <w:r w:rsidRPr="004D0DD1">
        <w:rPr>
          <w:sz w:val="20"/>
          <w:lang w:val="es-CR"/>
        </w:rPr>
        <w:t xml:space="preserve">aso </w:t>
      </w:r>
      <w:r w:rsidR="004D0DD1" w:rsidRPr="008D50BA">
        <w:rPr>
          <w:i/>
          <w:sz w:val="20"/>
          <w:lang w:val="es-CR"/>
        </w:rPr>
        <w:t>Gutiérrez Soler Vs. Colombia</w:t>
      </w:r>
      <w:r w:rsidR="004D0DD1">
        <w:rPr>
          <w:sz w:val="20"/>
          <w:lang w:val="es-CR"/>
        </w:rPr>
        <w:t xml:space="preserve"> el 12 de septiembre de 2005 y se encuentra supervisando el cumplimiento de su fallo (</w:t>
      </w:r>
      <w:r w:rsidR="004D0DD1" w:rsidRPr="004D0DD1">
        <w:rPr>
          <w:i/>
          <w:sz w:val="20"/>
          <w:lang w:val="es-CR"/>
        </w:rPr>
        <w:t>supra</w:t>
      </w:r>
      <w:r w:rsidR="004D0DD1">
        <w:rPr>
          <w:sz w:val="20"/>
          <w:lang w:val="es-CR"/>
        </w:rPr>
        <w:t xml:space="preserve"> Vistos 1 y 2). Además, ordenó oportunamente medidas provisionales y dispuso luego su levantamiento definitivo (</w:t>
      </w:r>
      <w:r w:rsidR="004D0DD1">
        <w:rPr>
          <w:i/>
          <w:sz w:val="20"/>
          <w:lang w:val="es-CR"/>
        </w:rPr>
        <w:t>supra</w:t>
      </w:r>
      <w:r w:rsidR="004D0DD1">
        <w:rPr>
          <w:sz w:val="20"/>
          <w:lang w:val="es-CR"/>
        </w:rPr>
        <w:t xml:space="preserve"> Visto 3). Este Tribunal observa que las personas en cuyo beneficio el representante solicita la nueva adopción de medidas provisionales fueron declaradas víctimas en la Sentencia y fueron también beneficiarias de las medidas de protección antes determinadas (</w:t>
      </w:r>
      <w:r w:rsidR="004D0DD1">
        <w:rPr>
          <w:i/>
          <w:sz w:val="20"/>
          <w:lang w:val="es-CR"/>
        </w:rPr>
        <w:t>supra</w:t>
      </w:r>
      <w:r w:rsidR="004D0DD1">
        <w:rPr>
          <w:sz w:val="20"/>
          <w:lang w:val="es-CR"/>
        </w:rPr>
        <w:t xml:space="preserve"> Visto 1 y nota a pie de </w:t>
      </w:r>
      <w:r w:rsidR="004D0DD1" w:rsidRPr="00257245">
        <w:rPr>
          <w:sz w:val="20"/>
          <w:lang w:val="es-CR"/>
        </w:rPr>
        <w:t xml:space="preserve">página </w:t>
      </w:r>
      <w:r w:rsidR="00816118" w:rsidRPr="00257245">
        <w:rPr>
          <w:sz w:val="20"/>
          <w:lang w:val="es-CR"/>
        </w:rPr>
        <w:t>3</w:t>
      </w:r>
      <w:r w:rsidR="004D0DD1">
        <w:rPr>
          <w:sz w:val="20"/>
          <w:lang w:val="es-CR"/>
        </w:rPr>
        <w:t xml:space="preserve">). </w:t>
      </w:r>
    </w:p>
    <w:p w:rsidR="003C0535" w:rsidRPr="004D0DD1" w:rsidRDefault="003C0535" w:rsidP="00D476E1">
      <w:pPr>
        <w:pStyle w:val="Prrafodelista1"/>
        <w:ind w:hanging="11"/>
        <w:contextualSpacing w:val="0"/>
        <w:jc w:val="both"/>
        <w:rPr>
          <w:sz w:val="20"/>
          <w:szCs w:val="20"/>
          <w:lang w:val="es-CR"/>
        </w:rPr>
      </w:pPr>
    </w:p>
    <w:p w:rsidR="003C0535" w:rsidRDefault="003C0535" w:rsidP="00D476E1">
      <w:pPr>
        <w:pStyle w:val="Prrafodelista1"/>
        <w:numPr>
          <w:ilvl w:val="0"/>
          <w:numId w:val="9"/>
        </w:numPr>
        <w:ind w:left="0" w:hanging="11"/>
        <w:contextualSpacing w:val="0"/>
        <w:jc w:val="both"/>
        <w:rPr>
          <w:sz w:val="20"/>
          <w:lang w:val="es-CR"/>
        </w:rPr>
      </w:pPr>
      <w:r w:rsidRPr="004D0DD1">
        <w:rPr>
          <w:sz w:val="20"/>
          <w:lang w:val="es-CR"/>
        </w:rPr>
        <w:t xml:space="preserve">El artículo 63.2 de la Convención establece que “[e]n casos de extrema gravedad y urgencia, y cuando se haga necesario evitar daños irreparables a las personas, la Corte, en los asuntos que esté conociendo, podrá tomar las medidas provisionales que considere pertinentes”. </w:t>
      </w:r>
    </w:p>
    <w:p w:rsidR="00D476E1" w:rsidRDefault="00D476E1" w:rsidP="00D476E1">
      <w:pPr>
        <w:pStyle w:val="ListParagraph"/>
        <w:spacing w:after="0"/>
        <w:rPr>
          <w:sz w:val="20"/>
          <w:lang w:val="es-CR"/>
        </w:rPr>
      </w:pPr>
    </w:p>
    <w:p w:rsidR="00D476E1" w:rsidRDefault="00D476E1" w:rsidP="00D476E1">
      <w:pPr>
        <w:pStyle w:val="Prrafodelista1"/>
        <w:numPr>
          <w:ilvl w:val="0"/>
          <w:numId w:val="9"/>
        </w:numPr>
        <w:ind w:left="0" w:hanging="11"/>
        <w:contextualSpacing w:val="0"/>
        <w:jc w:val="both"/>
        <w:rPr>
          <w:sz w:val="20"/>
          <w:lang w:val="es-CR"/>
        </w:rPr>
      </w:pPr>
      <w:r w:rsidRPr="00D476E1">
        <w:rPr>
          <w:sz w:val="20"/>
          <w:szCs w:val="20"/>
          <w:lang w:val="es-CR"/>
        </w:rPr>
        <w:t>E</w:t>
      </w:r>
      <w:r>
        <w:rPr>
          <w:sz w:val="20"/>
          <w:szCs w:val="20"/>
          <w:lang w:val="es-CR"/>
        </w:rPr>
        <w:t xml:space="preserve">ste </w:t>
      </w:r>
      <w:r w:rsidRPr="00D476E1">
        <w:rPr>
          <w:bCs/>
          <w:sz w:val="20"/>
          <w:szCs w:val="20"/>
          <w:lang w:val="es-CR"/>
        </w:rPr>
        <w:t>Tribunal ya ha señalado que, c</w:t>
      </w:r>
      <w:r w:rsidRPr="00D476E1">
        <w:rPr>
          <w:sz w:val="20"/>
          <w:szCs w:val="20"/>
          <w:lang w:val="es-CR"/>
        </w:rPr>
        <w:t xml:space="preserve">onforme a la Convención y al Reglamento, la carga procesal de demostrar </w:t>
      </w:r>
      <w:r w:rsidRPr="00246DBD">
        <w:rPr>
          <w:i/>
          <w:sz w:val="20"/>
          <w:szCs w:val="20"/>
          <w:lang w:val="es-CR"/>
        </w:rPr>
        <w:t>prima facie</w:t>
      </w:r>
      <w:r w:rsidRPr="00D476E1">
        <w:rPr>
          <w:sz w:val="20"/>
          <w:szCs w:val="20"/>
          <w:lang w:val="es-CR"/>
        </w:rPr>
        <w:t xml:space="preserve"> dichos requisitos recae en el solicitante</w:t>
      </w:r>
      <w:r w:rsidRPr="00D476E1">
        <w:rPr>
          <w:sz w:val="20"/>
          <w:szCs w:val="20"/>
          <w:vertAlign w:val="superscript"/>
          <w:lang w:val="es-CR"/>
        </w:rPr>
        <w:footnoteReference w:id="7"/>
      </w:r>
      <w:r w:rsidRPr="00D476E1">
        <w:rPr>
          <w:sz w:val="20"/>
          <w:szCs w:val="20"/>
          <w:lang w:val="es-CR"/>
        </w:rPr>
        <w:t>. En cuanto a la gravedad, para efectos de la adopción de medidas provisionales, la Convención requiere que aquélla sea “extrema”, es decir, que se encuentre en su grado más intenso o elevado. El carácter urgente implica que el riesgo o amenaza involucrados sean inminentes, lo cual requiere que la respuesta para remediarlos sea inmediata. Finalmente, en cuanto al daño, debe existir una probabilidad razonable de que se materialice y no debe recaer en bienes o intereses jurídicos que puedan ser reparables</w:t>
      </w:r>
      <w:r w:rsidRPr="00D476E1">
        <w:rPr>
          <w:sz w:val="20"/>
          <w:szCs w:val="20"/>
          <w:vertAlign w:val="superscript"/>
          <w:lang w:val="es-CR"/>
        </w:rPr>
        <w:footnoteReference w:id="8"/>
      </w:r>
      <w:r w:rsidRPr="00D476E1">
        <w:rPr>
          <w:sz w:val="20"/>
          <w:szCs w:val="20"/>
          <w:lang w:val="es-CR"/>
        </w:rPr>
        <w:t xml:space="preserve">. La Corte reitera </w:t>
      </w:r>
      <w:r w:rsidRPr="00D476E1">
        <w:rPr>
          <w:rFonts w:eastAsia="Times"/>
          <w:sz w:val="20"/>
          <w:szCs w:val="20"/>
          <w:lang w:val="es-CR" w:eastAsia="es-ES"/>
        </w:rPr>
        <w:t>que</w:t>
      </w:r>
      <w:r w:rsidRPr="00D476E1">
        <w:rPr>
          <w:sz w:val="20"/>
          <w:szCs w:val="20"/>
          <w:lang w:val="es-CR"/>
        </w:rPr>
        <w:t xml:space="preserve"> las tres condiciones exigidas por el artículo 63.2 de la Convención para que pueda disponer de medidas provisionales deben </w:t>
      </w:r>
      <w:r w:rsidRPr="00D476E1">
        <w:rPr>
          <w:sz w:val="20"/>
          <w:lang w:val="es-CR"/>
        </w:rPr>
        <w:t xml:space="preserve">concurrir </w:t>
      </w:r>
      <w:r w:rsidRPr="00D476E1">
        <w:rPr>
          <w:sz w:val="20"/>
          <w:szCs w:val="20"/>
          <w:lang w:val="es-CR"/>
        </w:rPr>
        <w:t>en toda situación en la que se soliciten</w:t>
      </w:r>
      <w:r w:rsidRPr="00D476E1">
        <w:rPr>
          <w:rStyle w:val="FootnoteReference"/>
          <w:sz w:val="20"/>
          <w:szCs w:val="20"/>
          <w:lang w:val="es-CR"/>
        </w:rPr>
        <w:footnoteReference w:id="9"/>
      </w:r>
      <w:r w:rsidRPr="00D476E1">
        <w:rPr>
          <w:sz w:val="20"/>
          <w:szCs w:val="20"/>
          <w:lang w:val="es-CR"/>
        </w:rPr>
        <w:t>. E</w:t>
      </w:r>
      <w:r w:rsidRPr="00D476E1">
        <w:rPr>
          <w:bCs/>
          <w:sz w:val="20"/>
          <w:szCs w:val="20"/>
          <w:lang w:val="es-CR"/>
        </w:rPr>
        <w:t>n razón de su competencia, en el marco de medidas provisionales, corresponde a la Corte considerar única y estrictamente aquellos argumentos que se relacionan directamente con la extrema gravedad, urgencia y la necesidad de evitar daños irreparables a personas. Cualquier otro hecho o argumento sólo puede ser analizado y resuelto, en su caso, durante la consideración del fondo de un caso contencioso</w:t>
      </w:r>
      <w:r w:rsidRPr="00D476E1">
        <w:rPr>
          <w:rStyle w:val="FootnoteReference"/>
          <w:bCs/>
          <w:sz w:val="20"/>
          <w:szCs w:val="20"/>
          <w:lang w:val="es-CR"/>
        </w:rPr>
        <w:footnoteReference w:id="10"/>
      </w:r>
      <w:r w:rsidRPr="00D476E1">
        <w:rPr>
          <w:bCs/>
          <w:sz w:val="20"/>
          <w:szCs w:val="20"/>
          <w:lang w:val="es-CR"/>
        </w:rPr>
        <w:t xml:space="preserve"> o, </w:t>
      </w:r>
      <w:r>
        <w:rPr>
          <w:bCs/>
          <w:sz w:val="20"/>
          <w:szCs w:val="20"/>
          <w:lang w:val="es-CR"/>
        </w:rPr>
        <w:t xml:space="preserve">de ser procedente de acuerdo a </w:t>
      </w:r>
      <w:r w:rsidRPr="00D476E1">
        <w:rPr>
          <w:bCs/>
          <w:sz w:val="20"/>
          <w:szCs w:val="20"/>
          <w:lang w:val="es-CR"/>
        </w:rPr>
        <w:t>las circunstancias particulares de</w:t>
      </w:r>
      <w:r>
        <w:rPr>
          <w:bCs/>
          <w:sz w:val="20"/>
          <w:szCs w:val="20"/>
          <w:lang w:val="es-CR"/>
        </w:rPr>
        <w:t>l</w:t>
      </w:r>
      <w:r w:rsidRPr="00D476E1">
        <w:rPr>
          <w:bCs/>
          <w:sz w:val="20"/>
          <w:szCs w:val="20"/>
          <w:lang w:val="es-CR"/>
        </w:rPr>
        <w:t xml:space="preserve"> caso, en el marco de la etapa de supervisión de cumplimiento de la sentencia</w:t>
      </w:r>
      <w:r w:rsidRPr="00D476E1">
        <w:rPr>
          <w:rStyle w:val="FootnoteReference"/>
          <w:bCs/>
          <w:sz w:val="20"/>
          <w:szCs w:val="20"/>
          <w:lang w:val="es-CR"/>
        </w:rPr>
        <w:footnoteReference w:id="11"/>
      </w:r>
      <w:r w:rsidRPr="00D476E1">
        <w:rPr>
          <w:bCs/>
          <w:sz w:val="20"/>
          <w:szCs w:val="20"/>
          <w:lang w:val="es-CR"/>
        </w:rPr>
        <w:t>.</w:t>
      </w:r>
      <w:r w:rsidRPr="00D476E1">
        <w:rPr>
          <w:sz w:val="20"/>
          <w:lang w:val="es-CR"/>
        </w:rPr>
        <w:t xml:space="preserve"> </w:t>
      </w:r>
      <w:r>
        <w:rPr>
          <w:sz w:val="20"/>
          <w:lang w:val="es-CR"/>
        </w:rPr>
        <w:t>Por otra parte</w:t>
      </w:r>
      <w:r w:rsidRPr="004D0DD1">
        <w:rPr>
          <w:sz w:val="20"/>
          <w:lang w:val="es-CR"/>
        </w:rPr>
        <w:t xml:space="preserve"> el artículo 27.3 del Reglamento de la Corte señala que: “[e]n los casos contenciosos que se encuentren en conocimiento de la Corte, las víctimas o las presuntas víctimas, o sus representantes, podrán presentar directamente a ésta una solicitud de medidas provisionales, las que deberán tener relación con el objeto del caso”.</w:t>
      </w:r>
    </w:p>
    <w:p w:rsidR="00D476E1" w:rsidRDefault="00D476E1" w:rsidP="00D476E1">
      <w:pPr>
        <w:pStyle w:val="Prrafodelista1"/>
        <w:contextualSpacing w:val="0"/>
        <w:jc w:val="both"/>
        <w:rPr>
          <w:sz w:val="20"/>
          <w:lang w:val="es-CR"/>
        </w:rPr>
      </w:pPr>
    </w:p>
    <w:p w:rsidR="00D476E1" w:rsidRPr="004D0DD1" w:rsidRDefault="00D476E1" w:rsidP="00D476E1">
      <w:pPr>
        <w:pStyle w:val="Prrafodelista1"/>
        <w:numPr>
          <w:ilvl w:val="0"/>
          <w:numId w:val="9"/>
        </w:numPr>
        <w:ind w:left="0" w:hanging="11"/>
        <w:contextualSpacing w:val="0"/>
        <w:jc w:val="both"/>
        <w:rPr>
          <w:sz w:val="20"/>
          <w:lang w:val="es-CR"/>
        </w:rPr>
      </w:pPr>
      <w:r>
        <w:rPr>
          <w:sz w:val="20"/>
          <w:lang w:val="es-CR"/>
        </w:rPr>
        <w:t xml:space="preserve">De conformidad a las pautas expuestas, este Tribunal debe evaluar si en el presente caso se cumplen los requisitos señalados para ordenar al Estado la adopción de medidas provisionales. </w:t>
      </w:r>
    </w:p>
    <w:p w:rsidR="003C0535" w:rsidRPr="003C0535" w:rsidRDefault="003C0535" w:rsidP="004D0DD1">
      <w:pPr>
        <w:pStyle w:val="ListParagraph"/>
        <w:tabs>
          <w:tab w:val="left" w:pos="567"/>
        </w:tabs>
        <w:spacing w:after="0" w:line="240" w:lineRule="auto"/>
        <w:ind w:left="0"/>
        <w:jc w:val="both"/>
        <w:rPr>
          <w:rFonts w:ascii="Verdana" w:hAnsi="Verdana"/>
          <w:sz w:val="20"/>
          <w:szCs w:val="20"/>
          <w:lang w:val="es-CR"/>
        </w:rPr>
      </w:pPr>
    </w:p>
    <w:p w:rsidR="00C41C3C" w:rsidRPr="00C41C3C" w:rsidRDefault="005B393C" w:rsidP="00C41C3C">
      <w:pPr>
        <w:pStyle w:val="ListParagraph"/>
        <w:numPr>
          <w:ilvl w:val="0"/>
          <w:numId w:val="9"/>
        </w:numPr>
        <w:tabs>
          <w:tab w:val="left" w:pos="567"/>
        </w:tabs>
        <w:spacing w:after="0" w:line="240" w:lineRule="auto"/>
        <w:ind w:left="0" w:hanging="11"/>
        <w:jc w:val="both"/>
        <w:rPr>
          <w:rFonts w:ascii="Verdana" w:hAnsi="Verdana"/>
          <w:sz w:val="20"/>
          <w:szCs w:val="20"/>
          <w:lang w:val="es-CR"/>
        </w:rPr>
      </w:pPr>
      <w:r w:rsidRPr="00C41C3C">
        <w:rPr>
          <w:rFonts w:ascii="Verdana" w:hAnsi="Verdana"/>
          <w:sz w:val="20"/>
          <w:lang w:val="es-CR"/>
        </w:rPr>
        <w:t>Las</w:t>
      </w:r>
      <w:r w:rsidR="00225580" w:rsidRPr="00C41C3C">
        <w:rPr>
          <w:rFonts w:ascii="Verdana" w:hAnsi="Verdana"/>
          <w:sz w:val="20"/>
          <w:lang w:val="es-CR"/>
        </w:rPr>
        <w:t xml:space="preserve"> presentaciones</w:t>
      </w:r>
      <w:r w:rsidRPr="00C41C3C">
        <w:rPr>
          <w:rFonts w:ascii="Verdana" w:hAnsi="Verdana"/>
          <w:sz w:val="20"/>
          <w:lang w:val="es-CR"/>
        </w:rPr>
        <w:t xml:space="preserve"> del </w:t>
      </w:r>
      <w:r w:rsidRPr="00D476E1">
        <w:rPr>
          <w:rFonts w:ascii="Verdana" w:hAnsi="Verdana"/>
          <w:b/>
          <w:i/>
          <w:sz w:val="20"/>
          <w:lang w:val="es-CR"/>
        </w:rPr>
        <w:t>representante</w:t>
      </w:r>
      <w:r w:rsidRPr="00C41C3C">
        <w:rPr>
          <w:rFonts w:ascii="Verdana" w:hAnsi="Verdana"/>
          <w:sz w:val="20"/>
          <w:lang w:val="es-CR"/>
        </w:rPr>
        <w:t>,</w:t>
      </w:r>
      <w:r w:rsidR="00225580" w:rsidRPr="00C41C3C">
        <w:rPr>
          <w:rFonts w:ascii="Verdana" w:hAnsi="Verdana"/>
          <w:sz w:val="20"/>
          <w:lang w:val="es-CR"/>
        </w:rPr>
        <w:t xml:space="preserve"> </w:t>
      </w:r>
      <w:r w:rsidR="00D72125" w:rsidRPr="00C41C3C">
        <w:rPr>
          <w:rFonts w:ascii="Verdana" w:hAnsi="Verdana"/>
          <w:sz w:val="20"/>
          <w:lang w:val="es-CR"/>
        </w:rPr>
        <w:t xml:space="preserve">así como la documentación anexa a las mismas, </w:t>
      </w:r>
      <w:r w:rsidR="00387211" w:rsidRPr="00C41C3C">
        <w:rPr>
          <w:rFonts w:ascii="Verdana" w:hAnsi="Verdana"/>
          <w:sz w:val="20"/>
          <w:lang w:val="es-CR"/>
        </w:rPr>
        <w:t xml:space="preserve">se </w:t>
      </w:r>
      <w:r w:rsidR="00C41C3C" w:rsidRPr="00C41C3C">
        <w:rPr>
          <w:rFonts w:ascii="Verdana" w:hAnsi="Verdana"/>
          <w:sz w:val="20"/>
          <w:lang w:val="es-CR"/>
        </w:rPr>
        <w:t>refirieron</w:t>
      </w:r>
      <w:r w:rsidR="00225580" w:rsidRPr="00C41C3C">
        <w:rPr>
          <w:rFonts w:ascii="Verdana" w:hAnsi="Verdana"/>
          <w:sz w:val="20"/>
          <w:lang w:val="es-CR"/>
        </w:rPr>
        <w:t xml:space="preserve"> a los hechos que sustentan </w:t>
      </w:r>
      <w:r w:rsidRPr="00C41C3C">
        <w:rPr>
          <w:rFonts w:ascii="Verdana" w:hAnsi="Verdana"/>
          <w:sz w:val="20"/>
          <w:lang w:val="es-CR"/>
        </w:rPr>
        <w:t>la</w:t>
      </w:r>
      <w:r w:rsidR="00225580" w:rsidRPr="00C41C3C">
        <w:rPr>
          <w:rFonts w:ascii="Verdana" w:hAnsi="Verdana"/>
          <w:sz w:val="20"/>
          <w:lang w:val="es-CR"/>
        </w:rPr>
        <w:t xml:space="preserve"> solicitud</w:t>
      </w:r>
      <w:r w:rsidR="00387211" w:rsidRPr="00C41C3C">
        <w:rPr>
          <w:rFonts w:ascii="Verdana" w:hAnsi="Verdana"/>
          <w:sz w:val="20"/>
          <w:lang w:val="es-CR"/>
        </w:rPr>
        <w:t>. De acuerdo a tales documentos, el represen</w:t>
      </w:r>
      <w:r w:rsidR="002423B4">
        <w:rPr>
          <w:rFonts w:ascii="Verdana" w:hAnsi="Verdana"/>
          <w:sz w:val="20"/>
          <w:lang w:val="es-CR"/>
        </w:rPr>
        <w:t>tante y familiares de él afirmaron</w:t>
      </w:r>
      <w:r w:rsidR="00387211" w:rsidRPr="00C41C3C">
        <w:rPr>
          <w:rFonts w:ascii="Verdana" w:hAnsi="Verdana"/>
          <w:sz w:val="20"/>
          <w:lang w:val="es-CR"/>
        </w:rPr>
        <w:t xml:space="preserve"> que </w:t>
      </w:r>
      <w:r w:rsidR="00977903" w:rsidRPr="00C41C3C">
        <w:rPr>
          <w:rFonts w:ascii="Verdana" w:hAnsi="Verdana"/>
          <w:sz w:val="20"/>
          <w:szCs w:val="20"/>
          <w:lang w:val="es-CR"/>
        </w:rPr>
        <w:t xml:space="preserve">al señor Gutiérrez Soler y a su núcleo familiar les ocurren “extraños incidentes y accidentes […] en Colombia […] cada vez que la […] visita[n], </w:t>
      </w:r>
      <w:r w:rsidR="00977903" w:rsidRPr="00C41C3C">
        <w:rPr>
          <w:rFonts w:ascii="Verdana" w:hAnsi="Verdana"/>
          <w:sz w:val="20"/>
          <w:szCs w:val="20"/>
          <w:lang w:val="es-CR"/>
        </w:rPr>
        <w:lastRenderedPageBreak/>
        <w:t>acontecimientos por los cuales [se] s[</w:t>
      </w:r>
      <w:proofErr w:type="spellStart"/>
      <w:r w:rsidR="00977903" w:rsidRPr="00C41C3C">
        <w:rPr>
          <w:rFonts w:ascii="Verdana" w:hAnsi="Verdana"/>
          <w:sz w:val="20"/>
          <w:szCs w:val="20"/>
          <w:lang w:val="es-CR"/>
        </w:rPr>
        <w:t>ienten</w:t>
      </w:r>
      <w:proofErr w:type="spellEnd"/>
      <w:r w:rsidR="00977903" w:rsidRPr="00C41C3C">
        <w:rPr>
          <w:rFonts w:ascii="Verdana" w:hAnsi="Verdana"/>
          <w:sz w:val="20"/>
          <w:szCs w:val="20"/>
          <w:lang w:val="es-CR"/>
        </w:rPr>
        <w:t>] amenazados y en riesgo constante”</w:t>
      </w:r>
      <w:r w:rsidR="00977903" w:rsidRPr="00C41C3C">
        <w:rPr>
          <w:rStyle w:val="FootnoteReference"/>
          <w:rFonts w:ascii="Verdana" w:hAnsi="Verdana"/>
          <w:sz w:val="20"/>
          <w:szCs w:val="20"/>
          <w:lang w:val="es-CR"/>
        </w:rPr>
        <w:footnoteReference w:id="12"/>
      </w:r>
      <w:r w:rsidR="003E730F" w:rsidRPr="00C41C3C">
        <w:rPr>
          <w:rFonts w:ascii="Verdana" w:hAnsi="Verdana"/>
          <w:sz w:val="20"/>
          <w:szCs w:val="20"/>
          <w:lang w:val="es-CR"/>
        </w:rPr>
        <w:t xml:space="preserve">, </w:t>
      </w:r>
      <w:r w:rsidR="00387211" w:rsidRPr="00C41C3C">
        <w:rPr>
          <w:rFonts w:ascii="Verdana" w:hAnsi="Verdana"/>
          <w:sz w:val="20"/>
          <w:szCs w:val="20"/>
          <w:lang w:val="es-CR"/>
        </w:rPr>
        <w:t>y que el seño</w:t>
      </w:r>
      <w:r w:rsidR="00977903" w:rsidRPr="00C41C3C">
        <w:rPr>
          <w:rFonts w:ascii="Verdana" w:hAnsi="Verdana"/>
          <w:sz w:val="20"/>
          <w:szCs w:val="20"/>
          <w:lang w:val="es-CR"/>
        </w:rPr>
        <w:t>r Gutiérrez Soler</w:t>
      </w:r>
      <w:r w:rsidR="00FD4C60" w:rsidRPr="00C41C3C">
        <w:rPr>
          <w:rFonts w:ascii="Verdana" w:hAnsi="Verdana"/>
          <w:sz w:val="20"/>
          <w:szCs w:val="20"/>
          <w:lang w:val="es-CR"/>
        </w:rPr>
        <w:t xml:space="preserve"> “ha sido agredido nuevamente por oficiales del Estado, lo han insultado, y las amenazas han aumentado en los últimos años”</w:t>
      </w:r>
      <w:r w:rsidR="00387211" w:rsidRPr="00C41C3C">
        <w:rPr>
          <w:rFonts w:ascii="Verdana" w:hAnsi="Verdana"/>
          <w:sz w:val="20"/>
          <w:szCs w:val="20"/>
          <w:lang w:val="es-CR"/>
        </w:rPr>
        <w:t>. Al respecto, precisaron que</w:t>
      </w:r>
      <w:r w:rsidR="00C41C3C" w:rsidRPr="00C41C3C">
        <w:rPr>
          <w:rFonts w:ascii="Verdana" w:hAnsi="Verdana"/>
          <w:sz w:val="20"/>
          <w:szCs w:val="20"/>
          <w:lang w:val="es-CR"/>
        </w:rPr>
        <w:t>:</w:t>
      </w:r>
      <w:r w:rsidR="00387211" w:rsidRPr="00C41C3C">
        <w:rPr>
          <w:rFonts w:ascii="Verdana" w:hAnsi="Verdana"/>
          <w:sz w:val="20"/>
          <w:szCs w:val="20"/>
          <w:lang w:val="es-CR"/>
        </w:rPr>
        <w:t xml:space="preserve"> </w:t>
      </w:r>
    </w:p>
    <w:p w:rsidR="00C41C3C" w:rsidRDefault="00387211" w:rsidP="00C41C3C">
      <w:pPr>
        <w:pStyle w:val="ListParagraph"/>
        <w:tabs>
          <w:tab w:val="left" w:pos="567"/>
        </w:tabs>
        <w:spacing w:after="0" w:line="240" w:lineRule="auto"/>
        <w:ind w:left="567"/>
        <w:jc w:val="both"/>
        <w:rPr>
          <w:rFonts w:ascii="Verdana" w:hAnsi="Verdana"/>
          <w:sz w:val="20"/>
          <w:szCs w:val="20"/>
          <w:lang w:val="es-CR"/>
        </w:rPr>
      </w:pPr>
      <w:r>
        <w:rPr>
          <w:rFonts w:ascii="Verdana" w:hAnsi="Verdana"/>
          <w:sz w:val="20"/>
          <w:szCs w:val="20"/>
          <w:lang w:val="es-CR"/>
        </w:rPr>
        <w:t>a</w:t>
      </w:r>
      <w:r w:rsidR="00977903" w:rsidRPr="00387211">
        <w:rPr>
          <w:rFonts w:ascii="Verdana" w:hAnsi="Verdana"/>
          <w:sz w:val="20"/>
          <w:szCs w:val="20"/>
          <w:lang w:val="es-CR"/>
        </w:rPr>
        <w:t xml:space="preserve">) el 28 de junio de 2013, cuando </w:t>
      </w:r>
      <w:r w:rsidR="00C41C3C">
        <w:rPr>
          <w:rFonts w:ascii="Verdana" w:hAnsi="Verdana"/>
          <w:sz w:val="20"/>
          <w:szCs w:val="20"/>
          <w:lang w:val="es-CR"/>
        </w:rPr>
        <w:t xml:space="preserve">el señor Gutiérrez Soler </w:t>
      </w:r>
      <w:r w:rsidR="00977903" w:rsidRPr="00387211">
        <w:rPr>
          <w:rFonts w:ascii="Verdana" w:hAnsi="Verdana"/>
          <w:sz w:val="20"/>
          <w:szCs w:val="20"/>
          <w:lang w:val="es-CR"/>
        </w:rPr>
        <w:t>llegaba a Colombia, fue abordado por un agente de policía que le dijo que no era una persona grata en ese país</w:t>
      </w:r>
      <w:r w:rsidR="00977903">
        <w:rPr>
          <w:rStyle w:val="FootnoteReference"/>
          <w:rFonts w:ascii="Verdana" w:hAnsi="Verdana"/>
          <w:sz w:val="20"/>
          <w:szCs w:val="20"/>
          <w:lang w:val="es-CR"/>
        </w:rPr>
        <w:footnoteReference w:id="13"/>
      </w:r>
      <w:r w:rsidR="00977903" w:rsidRPr="00387211">
        <w:rPr>
          <w:rFonts w:ascii="Verdana" w:hAnsi="Verdana"/>
          <w:sz w:val="20"/>
          <w:szCs w:val="20"/>
          <w:lang w:val="es-CR"/>
        </w:rPr>
        <w:t>;</w:t>
      </w:r>
      <w:r w:rsidR="00C41C3C">
        <w:rPr>
          <w:rFonts w:ascii="Verdana" w:hAnsi="Verdana"/>
          <w:sz w:val="20"/>
          <w:szCs w:val="20"/>
          <w:lang w:val="es-CR"/>
        </w:rPr>
        <w:t xml:space="preserve"> </w:t>
      </w:r>
    </w:p>
    <w:p w:rsidR="00C41C3C" w:rsidRDefault="00C41C3C" w:rsidP="00C41C3C">
      <w:pPr>
        <w:pStyle w:val="ListParagraph"/>
        <w:tabs>
          <w:tab w:val="left" w:pos="567"/>
        </w:tabs>
        <w:spacing w:after="0" w:line="240" w:lineRule="auto"/>
        <w:ind w:left="567"/>
        <w:jc w:val="both"/>
        <w:rPr>
          <w:rFonts w:ascii="Verdana" w:hAnsi="Verdana"/>
          <w:sz w:val="20"/>
          <w:lang w:val="es-CR"/>
        </w:rPr>
      </w:pPr>
      <w:r>
        <w:rPr>
          <w:rFonts w:ascii="Verdana" w:hAnsi="Verdana"/>
          <w:sz w:val="20"/>
          <w:szCs w:val="20"/>
          <w:lang w:val="es-CR"/>
        </w:rPr>
        <w:t>b</w:t>
      </w:r>
      <w:r w:rsidR="00977903" w:rsidRPr="00387211">
        <w:rPr>
          <w:rFonts w:ascii="Verdana" w:hAnsi="Verdana"/>
          <w:sz w:val="20"/>
          <w:szCs w:val="20"/>
          <w:lang w:val="es-CR"/>
        </w:rPr>
        <w:t>)</w:t>
      </w:r>
      <w:r w:rsidR="009E52FA">
        <w:rPr>
          <w:rFonts w:ascii="Verdana" w:hAnsi="Verdana"/>
          <w:sz w:val="20"/>
          <w:szCs w:val="20"/>
          <w:lang w:val="es-CR"/>
        </w:rPr>
        <w:t xml:space="preserve"> </w:t>
      </w:r>
      <w:r w:rsidR="00977903" w:rsidRPr="00387211">
        <w:rPr>
          <w:rFonts w:ascii="Verdana" w:hAnsi="Verdana"/>
          <w:sz w:val="20"/>
          <w:lang w:val="es-CR"/>
        </w:rPr>
        <w:t xml:space="preserve">el 3 de septiembre de 2014, estando </w:t>
      </w:r>
      <w:r>
        <w:rPr>
          <w:rFonts w:ascii="Verdana" w:hAnsi="Verdana"/>
          <w:sz w:val="20"/>
          <w:lang w:val="es-CR"/>
        </w:rPr>
        <w:t xml:space="preserve">el señor Gutiérrez Soler </w:t>
      </w:r>
      <w:r w:rsidR="00977903" w:rsidRPr="00387211">
        <w:rPr>
          <w:rFonts w:ascii="Verdana" w:hAnsi="Verdana"/>
          <w:sz w:val="20"/>
          <w:lang w:val="es-CR"/>
        </w:rPr>
        <w:t>acompañado por “[su] hermana de avanzada edad”, intentó subir con ella al edificio UNILAGO y fue agredido por un empleado, luego de lo cual el “jefe de logística” lo insultó, le dijo que era “persona no grata” y que “ellos se reservan el derecho de admisió</w:t>
      </w:r>
      <w:r w:rsidR="00246DBD">
        <w:rPr>
          <w:rFonts w:ascii="Verdana" w:hAnsi="Verdana"/>
          <w:sz w:val="20"/>
          <w:lang w:val="es-CR"/>
        </w:rPr>
        <w:t>n”;</w:t>
      </w:r>
    </w:p>
    <w:p w:rsidR="00C41C3C" w:rsidRDefault="00C41C3C" w:rsidP="00C41C3C">
      <w:pPr>
        <w:pStyle w:val="ListParagraph"/>
        <w:tabs>
          <w:tab w:val="left" w:pos="567"/>
        </w:tabs>
        <w:spacing w:after="0" w:line="240" w:lineRule="auto"/>
        <w:ind w:left="567"/>
        <w:jc w:val="both"/>
        <w:rPr>
          <w:rFonts w:ascii="Verdana" w:hAnsi="Verdana"/>
          <w:sz w:val="20"/>
          <w:lang w:val="es-CR"/>
        </w:rPr>
      </w:pPr>
      <w:r>
        <w:rPr>
          <w:rFonts w:ascii="Verdana" w:hAnsi="Verdana"/>
          <w:sz w:val="20"/>
          <w:lang w:val="es-CR"/>
        </w:rPr>
        <w:t>c</w:t>
      </w:r>
      <w:r w:rsidR="00977903" w:rsidRPr="00387211">
        <w:rPr>
          <w:rFonts w:ascii="Verdana" w:hAnsi="Verdana"/>
          <w:sz w:val="20"/>
          <w:lang w:val="es-CR"/>
        </w:rPr>
        <w:t>) el 2 de octubre de 2014, estando</w:t>
      </w:r>
      <w:r>
        <w:rPr>
          <w:rFonts w:ascii="Verdana" w:hAnsi="Verdana"/>
          <w:sz w:val="20"/>
          <w:lang w:val="es-CR"/>
        </w:rPr>
        <w:t xml:space="preserve"> el señor Gutiérrez Soler</w:t>
      </w:r>
      <w:r w:rsidR="00977903" w:rsidRPr="00387211">
        <w:rPr>
          <w:rFonts w:ascii="Verdana" w:hAnsi="Verdana"/>
          <w:sz w:val="20"/>
          <w:lang w:val="es-CR"/>
        </w:rPr>
        <w:t xml:space="preserve"> acompañado por “mie</w:t>
      </w:r>
      <w:r w:rsidR="0071225C">
        <w:rPr>
          <w:rFonts w:ascii="Verdana" w:hAnsi="Verdana"/>
          <w:sz w:val="20"/>
          <w:lang w:val="es-CR"/>
        </w:rPr>
        <w:t>[</w:t>
      </w:r>
      <w:r w:rsidR="00977903" w:rsidRPr="00387211">
        <w:rPr>
          <w:rFonts w:ascii="Verdana" w:hAnsi="Verdana"/>
          <w:sz w:val="20"/>
          <w:lang w:val="es-CR"/>
        </w:rPr>
        <w:t>m</w:t>
      </w:r>
      <w:r w:rsidR="0071225C">
        <w:rPr>
          <w:rFonts w:ascii="Verdana" w:hAnsi="Verdana"/>
          <w:sz w:val="20"/>
          <w:lang w:val="es-CR"/>
        </w:rPr>
        <w:t>]</w:t>
      </w:r>
      <w:proofErr w:type="spellStart"/>
      <w:r w:rsidR="00977903" w:rsidRPr="00387211">
        <w:rPr>
          <w:rFonts w:ascii="Verdana" w:hAnsi="Verdana"/>
          <w:sz w:val="20"/>
          <w:lang w:val="es-CR"/>
        </w:rPr>
        <w:t>bros</w:t>
      </w:r>
      <w:proofErr w:type="spellEnd"/>
      <w:r w:rsidR="00977903" w:rsidRPr="00387211">
        <w:rPr>
          <w:rFonts w:ascii="Verdana" w:hAnsi="Verdana"/>
          <w:sz w:val="20"/>
          <w:lang w:val="es-CR"/>
        </w:rPr>
        <w:t xml:space="preserve"> de [su] familia”, fue “abordado” por policías, quienes revisaron su automóvil “de manera </w:t>
      </w:r>
      <w:proofErr w:type="spellStart"/>
      <w:proofErr w:type="gramStart"/>
      <w:r w:rsidR="00977903" w:rsidRPr="00387211">
        <w:rPr>
          <w:rFonts w:ascii="Verdana" w:hAnsi="Verdana"/>
          <w:sz w:val="20"/>
          <w:lang w:val="es-CR"/>
        </w:rPr>
        <w:t>indiscrim</w:t>
      </w:r>
      <w:proofErr w:type="spellEnd"/>
      <w:r w:rsidR="00977903" w:rsidRPr="00387211">
        <w:rPr>
          <w:rFonts w:ascii="Verdana" w:hAnsi="Verdana"/>
          <w:sz w:val="20"/>
          <w:lang w:val="es-CR"/>
        </w:rPr>
        <w:t>[</w:t>
      </w:r>
      <w:proofErr w:type="spellStart"/>
      <w:proofErr w:type="gramEnd"/>
      <w:r w:rsidR="00977903" w:rsidRPr="00387211">
        <w:rPr>
          <w:rFonts w:ascii="Verdana" w:hAnsi="Verdana"/>
          <w:sz w:val="20"/>
          <w:lang w:val="es-CR"/>
        </w:rPr>
        <w:t>inada</w:t>
      </w:r>
      <w:proofErr w:type="spellEnd"/>
      <w:r w:rsidR="00977903" w:rsidRPr="00387211">
        <w:rPr>
          <w:rFonts w:ascii="Verdana" w:hAnsi="Verdana"/>
          <w:sz w:val="20"/>
          <w:lang w:val="es-CR"/>
        </w:rPr>
        <w:t>]”, así como otras pertenencias suyas y de sus familiares, sin “</w:t>
      </w:r>
      <w:proofErr w:type="spellStart"/>
      <w:r w:rsidR="00977903" w:rsidRPr="00387211">
        <w:rPr>
          <w:rFonts w:ascii="Verdana" w:hAnsi="Verdana"/>
          <w:sz w:val="20"/>
          <w:lang w:val="es-CR"/>
        </w:rPr>
        <w:t>esclare</w:t>
      </w:r>
      <w:proofErr w:type="spellEnd"/>
      <w:r w:rsidR="00977903" w:rsidRPr="00387211">
        <w:rPr>
          <w:rFonts w:ascii="Verdana" w:hAnsi="Verdana"/>
          <w:sz w:val="20"/>
          <w:lang w:val="es-CR"/>
        </w:rPr>
        <w:t>[c]</w:t>
      </w:r>
      <w:proofErr w:type="spellStart"/>
      <w:r w:rsidR="00977903" w:rsidRPr="00387211">
        <w:rPr>
          <w:rFonts w:ascii="Verdana" w:hAnsi="Verdana"/>
          <w:sz w:val="20"/>
          <w:lang w:val="es-CR"/>
        </w:rPr>
        <w:t>er</w:t>
      </w:r>
      <w:proofErr w:type="spellEnd"/>
      <w:r w:rsidR="00977903" w:rsidRPr="00387211">
        <w:rPr>
          <w:rFonts w:ascii="Verdana" w:hAnsi="Verdana"/>
          <w:sz w:val="20"/>
          <w:lang w:val="es-CR"/>
        </w:rPr>
        <w:t xml:space="preserve"> […]</w:t>
      </w:r>
      <w:r w:rsidR="00757F2E">
        <w:rPr>
          <w:rFonts w:ascii="Verdana" w:hAnsi="Verdana"/>
          <w:sz w:val="20"/>
          <w:lang w:val="es-CR"/>
        </w:rPr>
        <w:t xml:space="preserve"> </w:t>
      </w:r>
      <w:r w:rsidR="00977903" w:rsidRPr="00387211">
        <w:rPr>
          <w:rFonts w:ascii="Verdana" w:hAnsi="Verdana"/>
          <w:sz w:val="20"/>
          <w:lang w:val="es-CR"/>
        </w:rPr>
        <w:t>la causa de dicho procedimiento”; en esas circunstancias, “</w:t>
      </w:r>
      <w:r w:rsidR="00977903" w:rsidRPr="00387211">
        <w:rPr>
          <w:rFonts w:ascii="Verdana" w:hAnsi="Verdana"/>
          <w:sz w:val="20"/>
          <w:szCs w:val="20"/>
          <w:lang w:val="es-CR"/>
        </w:rPr>
        <w:t>causaron un desgarro en [su] mano</w:t>
      </w:r>
      <w:r w:rsidR="009E52FA">
        <w:rPr>
          <w:rFonts w:ascii="Verdana" w:hAnsi="Verdana"/>
          <w:sz w:val="20"/>
          <w:szCs w:val="20"/>
          <w:lang w:val="es-CR"/>
        </w:rPr>
        <w:t>”</w:t>
      </w:r>
      <w:r w:rsidR="00246DBD">
        <w:rPr>
          <w:rFonts w:ascii="Verdana" w:hAnsi="Verdana"/>
          <w:sz w:val="20"/>
          <w:lang w:val="es-CR"/>
        </w:rPr>
        <w:t>;</w:t>
      </w:r>
      <w:r w:rsidR="00977903" w:rsidRPr="00387211">
        <w:rPr>
          <w:rFonts w:ascii="Verdana" w:hAnsi="Verdana"/>
          <w:sz w:val="20"/>
          <w:lang w:val="es-CR"/>
        </w:rPr>
        <w:t xml:space="preserve"> </w:t>
      </w:r>
    </w:p>
    <w:p w:rsidR="00C41C3C" w:rsidRDefault="00C41C3C" w:rsidP="00C41C3C">
      <w:pPr>
        <w:pStyle w:val="ListParagraph"/>
        <w:tabs>
          <w:tab w:val="left" w:pos="567"/>
        </w:tabs>
        <w:spacing w:after="0" w:line="240" w:lineRule="auto"/>
        <w:ind w:left="567"/>
        <w:jc w:val="both"/>
        <w:rPr>
          <w:rFonts w:ascii="Verdana" w:hAnsi="Verdana"/>
          <w:sz w:val="20"/>
          <w:lang w:val="es-CR"/>
        </w:rPr>
      </w:pPr>
      <w:r>
        <w:rPr>
          <w:rFonts w:ascii="Verdana" w:hAnsi="Verdana"/>
          <w:sz w:val="20"/>
          <w:lang w:val="es-CR"/>
        </w:rPr>
        <w:t>d</w:t>
      </w:r>
      <w:r w:rsidR="00977903" w:rsidRPr="00387211">
        <w:rPr>
          <w:rFonts w:ascii="Verdana" w:hAnsi="Verdana"/>
          <w:sz w:val="20"/>
          <w:lang w:val="es-CR"/>
        </w:rPr>
        <w:t xml:space="preserve">) </w:t>
      </w:r>
      <w:r w:rsidR="00F42044" w:rsidRPr="00387211">
        <w:rPr>
          <w:rFonts w:ascii="Verdana" w:hAnsi="Verdana"/>
          <w:sz w:val="20"/>
          <w:lang w:val="es-CR"/>
        </w:rPr>
        <w:t xml:space="preserve">el 4 de diciembre de 2014, “después de haber notificado al Estado sobre [sus] localizaciones y agenda de viaje”, </w:t>
      </w:r>
      <w:r>
        <w:rPr>
          <w:rFonts w:ascii="Verdana" w:hAnsi="Verdana"/>
          <w:sz w:val="20"/>
          <w:lang w:val="es-CR"/>
        </w:rPr>
        <w:t xml:space="preserve">el señor Gutiérrez Soler </w:t>
      </w:r>
      <w:r w:rsidR="00F42044" w:rsidRPr="00387211">
        <w:rPr>
          <w:rFonts w:ascii="Verdana" w:hAnsi="Verdana"/>
          <w:sz w:val="20"/>
          <w:lang w:val="es-CR"/>
        </w:rPr>
        <w:t>fue seguido por un hombre “que era militar” y que lo “intimidó”</w:t>
      </w:r>
      <w:r w:rsidR="00460DAA" w:rsidRPr="00387211">
        <w:rPr>
          <w:rFonts w:ascii="Verdana" w:hAnsi="Verdana"/>
          <w:sz w:val="20"/>
          <w:lang w:val="es-CR"/>
        </w:rPr>
        <w:t>;</w:t>
      </w:r>
      <w:r w:rsidR="00F42044" w:rsidRPr="00387211">
        <w:rPr>
          <w:rFonts w:ascii="Verdana" w:hAnsi="Verdana"/>
          <w:sz w:val="20"/>
          <w:lang w:val="es-CR"/>
        </w:rPr>
        <w:t xml:space="preserve"> </w:t>
      </w:r>
    </w:p>
    <w:p w:rsidR="00C41C3C" w:rsidRDefault="00C41C3C" w:rsidP="00C41C3C">
      <w:pPr>
        <w:pStyle w:val="ListParagraph"/>
        <w:tabs>
          <w:tab w:val="left" w:pos="567"/>
        </w:tabs>
        <w:spacing w:after="0" w:line="240" w:lineRule="auto"/>
        <w:ind w:left="567"/>
        <w:jc w:val="both"/>
        <w:rPr>
          <w:rFonts w:ascii="Verdana" w:hAnsi="Verdana"/>
          <w:sz w:val="20"/>
          <w:lang w:val="es-CR"/>
        </w:rPr>
      </w:pPr>
      <w:r>
        <w:rPr>
          <w:rFonts w:ascii="Verdana" w:hAnsi="Verdana"/>
          <w:sz w:val="20"/>
          <w:lang w:val="es-CR"/>
        </w:rPr>
        <w:t>e</w:t>
      </w:r>
      <w:r w:rsidR="00F42044" w:rsidRPr="00387211">
        <w:rPr>
          <w:rFonts w:ascii="Verdana" w:hAnsi="Verdana"/>
          <w:sz w:val="20"/>
          <w:lang w:val="es-CR"/>
        </w:rPr>
        <w:t>)</w:t>
      </w:r>
      <w:r>
        <w:rPr>
          <w:rFonts w:ascii="Verdana" w:hAnsi="Verdana"/>
          <w:sz w:val="20"/>
          <w:lang w:val="es-CR"/>
        </w:rPr>
        <w:t xml:space="preserve"> </w:t>
      </w:r>
      <w:r w:rsidR="00977903" w:rsidRPr="00387211">
        <w:rPr>
          <w:rFonts w:ascii="Verdana" w:hAnsi="Verdana"/>
          <w:sz w:val="20"/>
          <w:lang w:val="es-CR"/>
        </w:rPr>
        <w:t xml:space="preserve">el 5 de diciembre de 2014, estando </w:t>
      </w:r>
      <w:r>
        <w:rPr>
          <w:rFonts w:ascii="Verdana" w:hAnsi="Verdana"/>
          <w:sz w:val="20"/>
          <w:lang w:val="es-CR"/>
        </w:rPr>
        <w:t xml:space="preserve">el señor Gutiérrez Soler </w:t>
      </w:r>
      <w:r w:rsidR="00977903" w:rsidRPr="00387211">
        <w:rPr>
          <w:rFonts w:ascii="Verdana" w:hAnsi="Verdana"/>
          <w:sz w:val="20"/>
          <w:lang w:val="es-CR"/>
        </w:rPr>
        <w:t>en un restaurante</w:t>
      </w:r>
      <w:r w:rsidR="00977903">
        <w:rPr>
          <w:rStyle w:val="FootnoteReference"/>
          <w:rFonts w:ascii="Verdana" w:hAnsi="Verdana"/>
          <w:sz w:val="20"/>
          <w:lang w:val="es-CR"/>
        </w:rPr>
        <w:footnoteReference w:id="14"/>
      </w:r>
      <w:r w:rsidR="00977903" w:rsidRPr="00387211">
        <w:rPr>
          <w:rFonts w:ascii="Verdana" w:hAnsi="Verdana"/>
          <w:sz w:val="20"/>
          <w:lang w:val="es-CR"/>
        </w:rPr>
        <w:t xml:space="preserve"> con otras personas, un hombre </w:t>
      </w:r>
      <w:r w:rsidR="0071225C">
        <w:rPr>
          <w:rFonts w:ascii="Verdana" w:hAnsi="Verdana"/>
          <w:sz w:val="20"/>
          <w:lang w:val="es-CR"/>
        </w:rPr>
        <w:t xml:space="preserve">con </w:t>
      </w:r>
      <w:r w:rsidR="00977903" w:rsidRPr="00387211">
        <w:rPr>
          <w:rFonts w:ascii="Verdana" w:hAnsi="Verdana"/>
          <w:sz w:val="20"/>
          <w:lang w:val="es-CR"/>
        </w:rPr>
        <w:t>“corte militar” se ubicó en una mesa detrás de la suya, mirándolo en forma “insistente” y “nerviosa” y luego sacó una pistola “</w:t>
      </w:r>
      <w:proofErr w:type="spellStart"/>
      <w:r w:rsidR="00977903" w:rsidRPr="00387211">
        <w:rPr>
          <w:rFonts w:ascii="Verdana" w:hAnsi="Verdana"/>
          <w:sz w:val="20"/>
          <w:lang w:val="es-CR"/>
        </w:rPr>
        <w:t>hac</w:t>
      </w:r>
      <w:proofErr w:type="spellEnd"/>
      <w:r w:rsidR="00977903" w:rsidRPr="00387211">
        <w:rPr>
          <w:rFonts w:ascii="Verdana" w:hAnsi="Verdana"/>
          <w:sz w:val="20"/>
          <w:lang w:val="es-CR"/>
        </w:rPr>
        <w:t>[</w:t>
      </w:r>
      <w:proofErr w:type="spellStart"/>
      <w:r w:rsidR="00977903" w:rsidRPr="00387211">
        <w:rPr>
          <w:rFonts w:ascii="Verdana" w:hAnsi="Verdana"/>
          <w:sz w:val="20"/>
          <w:lang w:val="es-CR"/>
        </w:rPr>
        <w:t>iéndola</w:t>
      </w:r>
      <w:proofErr w:type="spellEnd"/>
      <w:r w:rsidR="00977903" w:rsidRPr="00387211">
        <w:rPr>
          <w:rFonts w:ascii="Verdana" w:hAnsi="Verdana"/>
          <w:sz w:val="20"/>
          <w:lang w:val="es-CR"/>
        </w:rPr>
        <w:t>] sonar</w:t>
      </w:r>
      <w:r w:rsidR="00460DAA" w:rsidRPr="00387211">
        <w:rPr>
          <w:rFonts w:ascii="Verdana" w:hAnsi="Verdana"/>
          <w:sz w:val="20"/>
          <w:lang w:val="es-CR"/>
        </w:rPr>
        <w:t xml:space="preserve"> como si la estuviera cargando”,</w:t>
      </w:r>
      <w:r w:rsidR="00977903" w:rsidRPr="00387211">
        <w:rPr>
          <w:rFonts w:ascii="Verdana" w:hAnsi="Verdana"/>
          <w:sz w:val="20"/>
          <w:lang w:val="es-CR"/>
        </w:rPr>
        <w:t xml:space="preserve"> </w:t>
      </w:r>
      <w:r w:rsidR="001D5744" w:rsidRPr="00387211">
        <w:rPr>
          <w:rFonts w:ascii="Verdana" w:hAnsi="Verdana"/>
          <w:sz w:val="20"/>
          <w:lang w:val="es-CR"/>
        </w:rPr>
        <w:t xml:space="preserve">y </w:t>
      </w:r>
    </w:p>
    <w:p w:rsidR="00387211" w:rsidRPr="00387211" w:rsidRDefault="00C41C3C" w:rsidP="00246DBD">
      <w:pPr>
        <w:pStyle w:val="ListParagraph"/>
        <w:tabs>
          <w:tab w:val="left" w:pos="567"/>
        </w:tabs>
        <w:spacing w:after="0" w:line="240" w:lineRule="auto"/>
        <w:ind w:left="567"/>
        <w:jc w:val="both"/>
        <w:rPr>
          <w:rFonts w:ascii="Verdana" w:hAnsi="Verdana"/>
          <w:sz w:val="20"/>
          <w:szCs w:val="20"/>
          <w:lang w:val="es-CR"/>
        </w:rPr>
      </w:pPr>
      <w:r>
        <w:rPr>
          <w:rFonts w:ascii="Verdana" w:hAnsi="Verdana"/>
          <w:sz w:val="20"/>
          <w:lang w:val="es-CR"/>
        </w:rPr>
        <w:t>f</w:t>
      </w:r>
      <w:r w:rsidR="00460DAA" w:rsidRPr="00387211">
        <w:rPr>
          <w:rFonts w:ascii="Verdana" w:hAnsi="Verdana"/>
          <w:sz w:val="20"/>
          <w:lang w:val="es-CR"/>
        </w:rPr>
        <w:t>) el 24 de julio de 2017</w:t>
      </w:r>
      <w:r w:rsidR="00F6766D" w:rsidRPr="00387211">
        <w:rPr>
          <w:rFonts w:ascii="Verdana" w:hAnsi="Verdana"/>
          <w:sz w:val="20"/>
          <w:lang w:val="es-CR"/>
        </w:rPr>
        <w:t xml:space="preserve">, cuando </w:t>
      </w:r>
      <w:r>
        <w:rPr>
          <w:rFonts w:ascii="Verdana" w:hAnsi="Verdana"/>
          <w:sz w:val="20"/>
          <w:lang w:val="es-CR"/>
        </w:rPr>
        <w:t xml:space="preserve">el señor Gutiérrez Soler </w:t>
      </w:r>
      <w:r w:rsidR="00F6766D" w:rsidRPr="00387211">
        <w:rPr>
          <w:rFonts w:ascii="Verdana" w:hAnsi="Verdana"/>
          <w:sz w:val="20"/>
          <w:lang w:val="es-CR"/>
        </w:rPr>
        <w:t>se dirigía a su hospedaje en Bogotá, se acercó al taxi en el que él se encontraba una motocicleta con dos personas, una de las cuales le apuntó con un arma y le robó el maletín</w:t>
      </w:r>
      <w:r w:rsidR="008A76D4" w:rsidRPr="00387211">
        <w:rPr>
          <w:rFonts w:ascii="Verdana" w:hAnsi="Verdana"/>
          <w:sz w:val="20"/>
          <w:lang w:val="es-CR"/>
        </w:rPr>
        <w:t xml:space="preserve"> que contenía dinero y diversos documentos. </w:t>
      </w:r>
    </w:p>
    <w:p w:rsidR="00387211" w:rsidRPr="00387211" w:rsidRDefault="00387211" w:rsidP="00246DBD">
      <w:pPr>
        <w:pStyle w:val="ListParagraph"/>
        <w:tabs>
          <w:tab w:val="left" w:pos="567"/>
        </w:tabs>
        <w:spacing w:after="0" w:line="240" w:lineRule="auto"/>
        <w:ind w:left="0"/>
        <w:jc w:val="both"/>
        <w:rPr>
          <w:rFonts w:ascii="Verdana" w:hAnsi="Verdana"/>
          <w:sz w:val="20"/>
          <w:szCs w:val="20"/>
          <w:lang w:val="es-CR"/>
        </w:rPr>
      </w:pPr>
    </w:p>
    <w:p w:rsidR="00C26F65" w:rsidRPr="003C0535" w:rsidRDefault="00387211" w:rsidP="00246DBD">
      <w:pPr>
        <w:pStyle w:val="ListParagraph"/>
        <w:numPr>
          <w:ilvl w:val="0"/>
          <w:numId w:val="9"/>
        </w:numPr>
        <w:tabs>
          <w:tab w:val="left" w:pos="567"/>
        </w:tabs>
        <w:spacing w:after="0" w:line="240" w:lineRule="auto"/>
        <w:ind w:left="0" w:hanging="11"/>
        <w:jc w:val="both"/>
        <w:rPr>
          <w:rFonts w:ascii="Verdana" w:hAnsi="Verdana"/>
          <w:sz w:val="20"/>
          <w:szCs w:val="20"/>
          <w:lang w:val="es-CR"/>
        </w:rPr>
      </w:pPr>
      <w:r>
        <w:rPr>
          <w:rFonts w:ascii="Verdana" w:hAnsi="Verdana"/>
          <w:sz w:val="20"/>
          <w:lang w:val="es-CR"/>
        </w:rPr>
        <w:t>Además, en un documento firmado por Leonardo Gutiérrez Rubiano</w:t>
      </w:r>
      <w:r w:rsidR="00FA613A">
        <w:rPr>
          <w:rFonts w:ascii="Verdana" w:hAnsi="Verdana"/>
          <w:sz w:val="20"/>
          <w:lang w:val="es-CR"/>
        </w:rPr>
        <w:t xml:space="preserve"> (en adelante “señor Gutiérrez Rubiano”</w:t>
      </w:r>
      <w:r w:rsidR="00D710CB">
        <w:rPr>
          <w:rFonts w:ascii="Verdana" w:hAnsi="Verdana"/>
          <w:sz w:val="20"/>
          <w:lang w:val="es-CR"/>
        </w:rPr>
        <w:t>)</w:t>
      </w:r>
      <w:r>
        <w:rPr>
          <w:rFonts w:ascii="Verdana" w:hAnsi="Verdana"/>
          <w:sz w:val="20"/>
          <w:lang w:val="es-CR"/>
        </w:rPr>
        <w:t xml:space="preserve">, allegado a la Corte por el representante, el primero </w:t>
      </w:r>
      <w:r w:rsidR="00F743DF">
        <w:rPr>
          <w:rFonts w:ascii="Verdana" w:hAnsi="Verdana"/>
          <w:sz w:val="20"/>
          <w:lang w:val="es-CR"/>
        </w:rPr>
        <w:t>narró</w:t>
      </w:r>
      <w:r>
        <w:rPr>
          <w:rFonts w:ascii="Verdana" w:hAnsi="Verdana"/>
          <w:sz w:val="20"/>
          <w:lang w:val="es-CR"/>
        </w:rPr>
        <w:t xml:space="preserve"> que </w:t>
      </w:r>
      <w:r w:rsidR="00C26F65" w:rsidRPr="00387211">
        <w:rPr>
          <w:rFonts w:ascii="Verdana" w:hAnsi="Verdana"/>
          <w:sz w:val="20"/>
          <w:lang w:val="es-CR"/>
        </w:rPr>
        <w:t>el 4 de febrero de 2015 su compañero de vivienda le informó que dos personas, aparentemente abogados colombianos, se presentaron en su residencia, localizada</w:t>
      </w:r>
      <w:r w:rsidR="008D50BA">
        <w:rPr>
          <w:rFonts w:ascii="Verdana" w:hAnsi="Verdana"/>
          <w:sz w:val="20"/>
          <w:lang w:val="es-CR"/>
        </w:rPr>
        <w:t xml:space="preserve"> en Estados Unidos de América. L</w:t>
      </w:r>
      <w:r w:rsidR="00C26F65" w:rsidRPr="00387211">
        <w:rPr>
          <w:rFonts w:ascii="Verdana" w:hAnsi="Verdana"/>
          <w:sz w:val="20"/>
          <w:lang w:val="es-CR"/>
        </w:rPr>
        <w:t xml:space="preserve">uego volvieron haciéndose pasar por testigos de Jehová, y posteriormente el señor Gutiérrez Rubiano fue seguido por ellos por aproximadamente seis meses, hasta que le informaron que pertenecían a la “Fiscalía colombiana” y que querían determinar su nivel de riesgo, luego de lo cual fue seguido varios días más. </w:t>
      </w:r>
    </w:p>
    <w:p w:rsidR="00977903" w:rsidRPr="00977903" w:rsidRDefault="00977903" w:rsidP="00246DBD">
      <w:pPr>
        <w:pStyle w:val="ListParagraph"/>
        <w:spacing w:after="0"/>
        <w:rPr>
          <w:rFonts w:ascii="Verdana" w:hAnsi="Verdana"/>
          <w:sz w:val="20"/>
          <w:lang w:val="es-CR"/>
        </w:rPr>
      </w:pPr>
    </w:p>
    <w:p w:rsidR="00A75A6E" w:rsidRDefault="00D27FF9" w:rsidP="00246DBD">
      <w:pPr>
        <w:pStyle w:val="ListParagraph"/>
        <w:numPr>
          <w:ilvl w:val="0"/>
          <w:numId w:val="9"/>
        </w:numPr>
        <w:tabs>
          <w:tab w:val="left" w:pos="567"/>
        </w:tabs>
        <w:spacing w:after="0" w:line="240" w:lineRule="auto"/>
        <w:ind w:left="0" w:hanging="11"/>
        <w:jc w:val="both"/>
        <w:rPr>
          <w:rFonts w:ascii="Verdana" w:hAnsi="Verdana"/>
          <w:sz w:val="20"/>
          <w:lang w:val="es-CR"/>
        </w:rPr>
      </w:pPr>
      <w:r>
        <w:rPr>
          <w:rFonts w:ascii="Verdana" w:hAnsi="Verdana"/>
          <w:sz w:val="20"/>
          <w:lang w:val="es-CR"/>
        </w:rPr>
        <w:t xml:space="preserve">Debe dejarse constancia de que </w:t>
      </w:r>
      <w:r w:rsidRPr="00327177">
        <w:rPr>
          <w:rFonts w:ascii="Verdana" w:hAnsi="Verdana"/>
          <w:sz w:val="20"/>
          <w:szCs w:val="20"/>
          <w:lang w:val="es-CR"/>
        </w:rPr>
        <w:t>e</w:t>
      </w:r>
      <w:r w:rsidR="00AB3A96" w:rsidRPr="00327177">
        <w:rPr>
          <w:rFonts w:ascii="Verdana" w:hAnsi="Verdana"/>
          <w:sz w:val="20"/>
          <w:szCs w:val="20"/>
          <w:lang w:val="es-CR"/>
        </w:rPr>
        <w:t>l representante también hizo mención a</w:t>
      </w:r>
      <w:r w:rsidR="00F627CC" w:rsidRPr="00327177">
        <w:rPr>
          <w:rFonts w:ascii="Verdana" w:hAnsi="Verdana"/>
          <w:sz w:val="20"/>
          <w:szCs w:val="20"/>
          <w:lang w:val="es-CR"/>
        </w:rPr>
        <w:t xml:space="preserve"> otros hechos que</w:t>
      </w:r>
      <w:r w:rsidRPr="00327177">
        <w:rPr>
          <w:rFonts w:ascii="Verdana" w:hAnsi="Verdana"/>
          <w:sz w:val="20"/>
          <w:szCs w:val="20"/>
          <w:lang w:val="es-CR"/>
        </w:rPr>
        <w:t xml:space="preserve"> </w:t>
      </w:r>
      <w:r w:rsidR="00F627CC" w:rsidRPr="00327177">
        <w:rPr>
          <w:rFonts w:ascii="Verdana" w:hAnsi="Verdana"/>
          <w:sz w:val="20"/>
          <w:szCs w:val="20"/>
          <w:lang w:val="es-CR"/>
        </w:rPr>
        <w:t>no puede</w:t>
      </w:r>
      <w:r w:rsidRPr="00327177">
        <w:rPr>
          <w:rFonts w:ascii="Verdana" w:hAnsi="Verdana"/>
          <w:sz w:val="20"/>
          <w:szCs w:val="20"/>
          <w:lang w:val="es-CR"/>
        </w:rPr>
        <w:t>n ser considerados por la Corte: a) hechos que, por su temporalidad, obedecen a una situación ya evaluada por este Tribunal</w:t>
      </w:r>
      <w:r w:rsidRPr="00327177">
        <w:rPr>
          <w:rStyle w:val="FootnoteReference"/>
          <w:rFonts w:ascii="Verdana" w:hAnsi="Verdana"/>
          <w:sz w:val="20"/>
          <w:szCs w:val="20"/>
          <w:lang w:val="es-CR"/>
        </w:rPr>
        <w:footnoteReference w:id="15"/>
      </w:r>
      <w:r w:rsidRPr="00327177">
        <w:rPr>
          <w:rFonts w:ascii="Verdana" w:hAnsi="Verdana"/>
          <w:sz w:val="20"/>
          <w:szCs w:val="20"/>
          <w:lang w:val="es-CR"/>
        </w:rPr>
        <w:t xml:space="preserve">; b) </w:t>
      </w:r>
      <w:r w:rsidR="00AB3A96" w:rsidRPr="00327177">
        <w:rPr>
          <w:rFonts w:ascii="Verdana" w:hAnsi="Verdana"/>
          <w:sz w:val="20"/>
          <w:szCs w:val="20"/>
          <w:lang w:val="es-CR"/>
        </w:rPr>
        <w:t>hechos consistentes en</w:t>
      </w:r>
      <w:r w:rsidR="00AB3A96" w:rsidRPr="00D27FF9">
        <w:rPr>
          <w:rFonts w:ascii="Verdana" w:hAnsi="Verdana"/>
          <w:sz w:val="20"/>
          <w:lang w:val="es-CR"/>
        </w:rPr>
        <w:t xml:space="preserve"> trámites o gestiones</w:t>
      </w:r>
      <w:r>
        <w:rPr>
          <w:rFonts w:ascii="Verdana" w:hAnsi="Verdana"/>
          <w:sz w:val="20"/>
          <w:lang w:val="es-CR"/>
        </w:rPr>
        <w:t>,</w:t>
      </w:r>
      <w:r w:rsidR="00A75A6E" w:rsidRPr="00D27FF9">
        <w:rPr>
          <w:rFonts w:ascii="Verdana" w:hAnsi="Verdana"/>
          <w:sz w:val="20"/>
          <w:lang w:val="es-CR"/>
        </w:rPr>
        <w:t xml:space="preserve"> </w:t>
      </w:r>
      <w:r>
        <w:rPr>
          <w:rFonts w:ascii="Verdana" w:hAnsi="Verdana"/>
          <w:sz w:val="20"/>
          <w:lang w:val="es-CR"/>
        </w:rPr>
        <w:t>o en</w:t>
      </w:r>
      <w:r w:rsidR="00A75A6E" w:rsidRPr="00D27FF9">
        <w:rPr>
          <w:rFonts w:ascii="Verdana" w:hAnsi="Verdana"/>
          <w:sz w:val="20"/>
          <w:lang w:val="es-CR"/>
        </w:rPr>
        <w:t xml:space="preserve"> </w:t>
      </w:r>
      <w:r w:rsidR="00A75A6E" w:rsidRPr="00D27FF9">
        <w:rPr>
          <w:rFonts w:ascii="Verdana" w:hAnsi="Verdana"/>
          <w:sz w:val="20"/>
          <w:lang w:val="es-CR"/>
        </w:rPr>
        <w:lastRenderedPageBreak/>
        <w:t>circunstancias que no denotan un rie</w:t>
      </w:r>
      <w:r w:rsidR="00EB1D88">
        <w:rPr>
          <w:rFonts w:ascii="Verdana" w:hAnsi="Verdana"/>
          <w:sz w:val="20"/>
          <w:lang w:val="es-CR"/>
        </w:rPr>
        <w:t>s</w:t>
      </w:r>
      <w:r w:rsidR="00A75A6E" w:rsidRPr="00D27FF9">
        <w:rPr>
          <w:rFonts w:ascii="Verdana" w:hAnsi="Verdana"/>
          <w:sz w:val="20"/>
          <w:lang w:val="es-CR"/>
        </w:rPr>
        <w:t>go de un acontecimiento futuro sino, en todo caso, situaciones generales o prolongadas en el tiempo vinculadas a hechos ya sucedidos</w:t>
      </w:r>
      <w:r w:rsidR="00A75A6E">
        <w:rPr>
          <w:rStyle w:val="FootnoteReference"/>
          <w:rFonts w:ascii="Verdana" w:hAnsi="Verdana"/>
          <w:sz w:val="20"/>
          <w:lang w:val="es-CR"/>
        </w:rPr>
        <w:footnoteReference w:id="16"/>
      </w:r>
      <w:r>
        <w:rPr>
          <w:rFonts w:ascii="Verdana" w:hAnsi="Verdana"/>
          <w:sz w:val="20"/>
          <w:lang w:val="es-CR"/>
        </w:rPr>
        <w:t>; c)</w:t>
      </w:r>
      <w:r w:rsidR="00A75A6E" w:rsidRPr="00D27FF9">
        <w:rPr>
          <w:rFonts w:ascii="Verdana" w:hAnsi="Verdana"/>
          <w:sz w:val="20"/>
          <w:lang w:val="es-CR"/>
        </w:rPr>
        <w:t xml:space="preserve"> hechos</w:t>
      </w:r>
      <w:r>
        <w:rPr>
          <w:rFonts w:ascii="Verdana" w:hAnsi="Verdana"/>
          <w:sz w:val="20"/>
          <w:lang w:val="es-CR"/>
        </w:rPr>
        <w:t xml:space="preserve"> que no se refieren al señor Gutiérrez Soler o sus familiares, o </w:t>
      </w:r>
      <w:r w:rsidR="00A75A6E" w:rsidRPr="00D27FF9">
        <w:rPr>
          <w:rFonts w:ascii="Verdana" w:hAnsi="Verdana"/>
          <w:sz w:val="20"/>
          <w:lang w:val="es-CR"/>
        </w:rPr>
        <w:t>cuyas circunstancias de modo, tiempo y lugar no fueron suficientemente detalladas y que no permiten evaluar su eventual relación con una situación actual de ries</w:t>
      </w:r>
      <w:r>
        <w:rPr>
          <w:rFonts w:ascii="Verdana" w:hAnsi="Verdana"/>
          <w:sz w:val="20"/>
          <w:lang w:val="es-CR"/>
        </w:rPr>
        <w:t>go vinculada al caso</w:t>
      </w:r>
      <w:r w:rsidR="00387211">
        <w:rPr>
          <w:rStyle w:val="FootnoteReference"/>
          <w:rFonts w:ascii="Verdana" w:hAnsi="Verdana"/>
          <w:sz w:val="20"/>
          <w:lang w:val="es-CR"/>
        </w:rPr>
        <w:footnoteReference w:id="17"/>
      </w:r>
      <w:r>
        <w:rPr>
          <w:rFonts w:ascii="Verdana" w:hAnsi="Verdana"/>
          <w:sz w:val="20"/>
          <w:lang w:val="es-CR"/>
        </w:rPr>
        <w:t>; y d) hechos vinculados a países distintos de Colombia y a autoridades de otros Estados</w:t>
      </w:r>
      <w:r>
        <w:rPr>
          <w:rStyle w:val="FootnoteReference"/>
          <w:rFonts w:ascii="Verdana" w:hAnsi="Verdana"/>
          <w:sz w:val="20"/>
          <w:lang w:val="es-CR"/>
        </w:rPr>
        <w:footnoteReference w:id="18"/>
      </w:r>
      <w:r>
        <w:rPr>
          <w:rFonts w:ascii="Verdana" w:hAnsi="Verdana"/>
          <w:sz w:val="20"/>
          <w:lang w:val="es-CR"/>
        </w:rPr>
        <w:t xml:space="preserve">.  </w:t>
      </w:r>
      <w:r w:rsidR="00A75A6E" w:rsidRPr="00D27FF9">
        <w:rPr>
          <w:rFonts w:ascii="Verdana" w:hAnsi="Verdana"/>
          <w:sz w:val="20"/>
          <w:lang w:val="es-CR"/>
        </w:rPr>
        <w:t xml:space="preserve"> </w:t>
      </w:r>
    </w:p>
    <w:p w:rsidR="00C41C3C" w:rsidRPr="00C41C3C" w:rsidRDefault="00C41C3C" w:rsidP="00C41C3C">
      <w:pPr>
        <w:pStyle w:val="ListParagraph"/>
        <w:rPr>
          <w:rFonts w:ascii="Verdana" w:hAnsi="Verdana"/>
          <w:sz w:val="20"/>
          <w:lang w:val="es-CR"/>
        </w:rPr>
      </w:pPr>
    </w:p>
    <w:p w:rsidR="003E730F" w:rsidRDefault="00C41C3C" w:rsidP="00A75A6E">
      <w:pPr>
        <w:pStyle w:val="ListParagraph"/>
        <w:numPr>
          <w:ilvl w:val="0"/>
          <w:numId w:val="9"/>
        </w:numPr>
        <w:tabs>
          <w:tab w:val="left" w:pos="567"/>
        </w:tabs>
        <w:spacing w:after="0" w:line="240" w:lineRule="auto"/>
        <w:ind w:left="0" w:hanging="11"/>
        <w:jc w:val="both"/>
        <w:rPr>
          <w:rFonts w:ascii="Verdana" w:hAnsi="Verdana"/>
          <w:sz w:val="20"/>
          <w:lang w:val="es-CR"/>
        </w:rPr>
      </w:pPr>
      <w:r>
        <w:rPr>
          <w:rFonts w:ascii="Verdana" w:hAnsi="Verdana"/>
          <w:sz w:val="20"/>
          <w:lang w:val="es-CR"/>
        </w:rPr>
        <w:t xml:space="preserve">Por otra parte, </w:t>
      </w:r>
      <w:r w:rsidRPr="00C41C3C">
        <w:rPr>
          <w:rFonts w:ascii="Verdana" w:hAnsi="Verdana"/>
          <w:sz w:val="20"/>
          <w:lang w:val="es-CR"/>
        </w:rPr>
        <w:t xml:space="preserve">el señor Gutiérrez Soler señaló que se presentaba una situación de “gravedad” dado que “la </w:t>
      </w:r>
      <w:proofErr w:type="spellStart"/>
      <w:r w:rsidRPr="00C41C3C">
        <w:rPr>
          <w:rFonts w:ascii="Verdana" w:hAnsi="Verdana"/>
          <w:sz w:val="20"/>
          <w:lang w:val="es-CR"/>
        </w:rPr>
        <w:t>raz</w:t>
      </w:r>
      <w:proofErr w:type="spellEnd"/>
      <w:r w:rsidRPr="00C41C3C">
        <w:rPr>
          <w:rFonts w:ascii="Verdana" w:hAnsi="Verdana"/>
          <w:sz w:val="20"/>
          <w:lang w:val="es-CR"/>
        </w:rPr>
        <w:t>[</w:t>
      </w:r>
      <w:proofErr w:type="spellStart"/>
      <w:r w:rsidRPr="00C41C3C">
        <w:rPr>
          <w:rFonts w:ascii="Verdana" w:hAnsi="Verdana"/>
          <w:sz w:val="20"/>
          <w:lang w:val="es-CR"/>
        </w:rPr>
        <w:t>ó</w:t>
      </w:r>
      <w:proofErr w:type="spellEnd"/>
      <w:r w:rsidRPr="00C41C3C">
        <w:rPr>
          <w:rFonts w:ascii="Verdana" w:hAnsi="Verdana"/>
          <w:sz w:val="20"/>
          <w:lang w:val="es-CR"/>
        </w:rPr>
        <w:t xml:space="preserve">]n de su exilio a los Estados Unidos de Am[é]rica fue por las retaliaciones del </w:t>
      </w:r>
      <w:r w:rsidRPr="00C41C3C">
        <w:rPr>
          <w:rFonts w:ascii="Verdana" w:hAnsi="Verdana"/>
          <w:sz w:val="20"/>
          <w:lang w:val="es-CR"/>
        </w:rPr>
        <w:lastRenderedPageBreak/>
        <w:t>[E]</w:t>
      </w:r>
      <w:proofErr w:type="spellStart"/>
      <w:r w:rsidRPr="00C41C3C">
        <w:rPr>
          <w:rFonts w:ascii="Verdana" w:hAnsi="Verdana"/>
          <w:sz w:val="20"/>
          <w:lang w:val="es-CR"/>
        </w:rPr>
        <w:t>stado</w:t>
      </w:r>
      <w:proofErr w:type="spellEnd"/>
      <w:r w:rsidRPr="00C41C3C">
        <w:rPr>
          <w:rFonts w:ascii="Verdana" w:hAnsi="Verdana"/>
          <w:sz w:val="20"/>
          <w:lang w:val="es-CR"/>
        </w:rPr>
        <w:t xml:space="preserve"> </w:t>
      </w:r>
      <w:proofErr w:type="spellStart"/>
      <w:r w:rsidRPr="00C41C3C">
        <w:rPr>
          <w:rFonts w:ascii="Verdana" w:hAnsi="Verdana"/>
          <w:sz w:val="20"/>
          <w:lang w:val="es-CR"/>
        </w:rPr>
        <w:t>despu</w:t>
      </w:r>
      <w:proofErr w:type="spellEnd"/>
      <w:r w:rsidRPr="00C41C3C">
        <w:rPr>
          <w:rFonts w:ascii="Verdana" w:hAnsi="Verdana"/>
          <w:sz w:val="20"/>
          <w:lang w:val="es-CR"/>
        </w:rPr>
        <w:t>[é]s del fallo que […e</w:t>
      </w:r>
      <w:proofErr w:type="gramStart"/>
      <w:r w:rsidRPr="00C41C3C">
        <w:rPr>
          <w:rFonts w:ascii="Verdana" w:hAnsi="Verdana"/>
          <w:sz w:val="20"/>
          <w:lang w:val="es-CR"/>
        </w:rPr>
        <w:t>]</w:t>
      </w:r>
      <w:proofErr w:type="spellStart"/>
      <w:r w:rsidRPr="00C41C3C">
        <w:rPr>
          <w:rFonts w:ascii="Verdana" w:hAnsi="Verdana"/>
          <w:sz w:val="20"/>
          <w:lang w:val="es-CR"/>
        </w:rPr>
        <w:t>miti</w:t>
      </w:r>
      <w:proofErr w:type="spellEnd"/>
      <w:proofErr w:type="gramEnd"/>
      <w:r w:rsidRPr="00C41C3C">
        <w:rPr>
          <w:rFonts w:ascii="Verdana" w:hAnsi="Verdana"/>
          <w:sz w:val="20"/>
          <w:lang w:val="es-CR"/>
        </w:rPr>
        <w:t>[</w:t>
      </w:r>
      <w:proofErr w:type="spellStart"/>
      <w:r w:rsidRPr="00C41C3C">
        <w:rPr>
          <w:rFonts w:ascii="Verdana" w:hAnsi="Verdana"/>
          <w:sz w:val="20"/>
          <w:lang w:val="es-CR"/>
        </w:rPr>
        <w:t>ó</w:t>
      </w:r>
      <w:proofErr w:type="spellEnd"/>
      <w:r w:rsidRPr="00C41C3C">
        <w:rPr>
          <w:rFonts w:ascii="Verdana" w:hAnsi="Verdana"/>
          <w:sz w:val="20"/>
          <w:lang w:val="es-CR"/>
        </w:rPr>
        <w:t>…] la [C]</w:t>
      </w:r>
      <w:proofErr w:type="spellStart"/>
      <w:r w:rsidRPr="00C41C3C">
        <w:rPr>
          <w:rFonts w:ascii="Verdana" w:hAnsi="Verdana"/>
          <w:sz w:val="20"/>
          <w:lang w:val="es-CR"/>
        </w:rPr>
        <w:t>orte</w:t>
      </w:r>
      <w:proofErr w:type="spellEnd"/>
      <w:r w:rsidRPr="00C41C3C">
        <w:rPr>
          <w:rFonts w:ascii="Verdana" w:hAnsi="Verdana"/>
          <w:sz w:val="20"/>
          <w:lang w:val="es-CR"/>
        </w:rPr>
        <w:t>”</w:t>
      </w:r>
      <w:r>
        <w:rPr>
          <w:rStyle w:val="FootnoteReference"/>
          <w:rFonts w:ascii="Verdana" w:hAnsi="Verdana"/>
          <w:sz w:val="20"/>
          <w:lang w:val="es-CR"/>
        </w:rPr>
        <w:footnoteReference w:id="19"/>
      </w:r>
      <w:r w:rsidRPr="00C41C3C">
        <w:rPr>
          <w:rFonts w:ascii="Verdana" w:hAnsi="Verdana"/>
          <w:sz w:val="20"/>
          <w:lang w:val="es-CR"/>
        </w:rPr>
        <w:t>. También expresó que “[t]</w:t>
      </w:r>
      <w:proofErr w:type="spellStart"/>
      <w:r w:rsidRPr="00C41C3C">
        <w:rPr>
          <w:rFonts w:ascii="Verdana" w:hAnsi="Verdana"/>
          <w:sz w:val="20"/>
          <w:lang w:val="es-CR"/>
        </w:rPr>
        <w:t>an</w:t>
      </w:r>
      <w:proofErr w:type="spellEnd"/>
      <w:r w:rsidRPr="00C41C3C">
        <w:rPr>
          <w:rFonts w:ascii="Verdana" w:hAnsi="Verdana"/>
          <w:sz w:val="20"/>
          <w:lang w:val="es-CR"/>
        </w:rPr>
        <w:t xml:space="preserve"> urgente[s] fueron las </w:t>
      </w:r>
      <w:proofErr w:type="spellStart"/>
      <w:r w:rsidRPr="00C41C3C">
        <w:rPr>
          <w:rFonts w:ascii="Verdana" w:hAnsi="Verdana"/>
          <w:sz w:val="20"/>
          <w:lang w:val="es-CR"/>
        </w:rPr>
        <w:t>retali</w:t>
      </w:r>
      <w:proofErr w:type="spellEnd"/>
      <w:r w:rsidRPr="00C41C3C">
        <w:rPr>
          <w:rFonts w:ascii="Verdana" w:hAnsi="Verdana"/>
          <w:sz w:val="20"/>
          <w:lang w:val="es-CR"/>
        </w:rPr>
        <w:t>[a]</w:t>
      </w:r>
      <w:proofErr w:type="spellStart"/>
      <w:r w:rsidRPr="00C41C3C">
        <w:rPr>
          <w:rFonts w:ascii="Verdana" w:hAnsi="Verdana"/>
          <w:sz w:val="20"/>
          <w:lang w:val="es-CR"/>
        </w:rPr>
        <w:t>ciones</w:t>
      </w:r>
      <w:proofErr w:type="spellEnd"/>
      <w:r w:rsidRPr="00C41C3C">
        <w:rPr>
          <w:rFonts w:ascii="Verdana" w:hAnsi="Verdana"/>
          <w:sz w:val="20"/>
          <w:lang w:val="es-CR"/>
        </w:rPr>
        <w:t xml:space="preserve"> que […] </w:t>
      </w:r>
      <w:proofErr w:type="spellStart"/>
      <w:proofErr w:type="gramStart"/>
      <w:r w:rsidRPr="00C41C3C">
        <w:rPr>
          <w:rFonts w:ascii="Verdana" w:hAnsi="Verdana"/>
          <w:sz w:val="20"/>
          <w:lang w:val="es-CR"/>
        </w:rPr>
        <w:t>tuvi</w:t>
      </w:r>
      <w:proofErr w:type="spellEnd"/>
      <w:r w:rsidRPr="00C41C3C">
        <w:rPr>
          <w:rFonts w:ascii="Verdana" w:hAnsi="Verdana"/>
          <w:sz w:val="20"/>
          <w:lang w:val="es-CR"/>
        </w:rPr>
        <w:t>[</w:t>
      </w:r>
      <w:proofErr w:type="spellStart"/>
      <w:proofErr w:type="gramEnd"/>
      <w:r w:rsidRPr="00C41C3C">
        <w:rPr>
          <w:rFonts w:ascii="Verdana" w:hAnsi="Verdana"/>
          <w:sz w:val="20"/>
          <w:lang w:val="es-CR"/>
        </w:rPr>
        <w:t>eron</w:t>
      </w:r>
      <w:proofErr w:type="spellEnd"/>
      <w:r w:rsidRPr="00C41C3C">
        <w:rPr>
          <w:rFonts w:ascii="Verdana" w:hAnsi="Verdana"/>
          <w:sz w:val="20"/>
          <w:lang w:val="es-CR"/>
        </w:rPr>
        <w:t>] que […r]</w:t>
      </w:r>
      <w:proofErr w:type="spellStart"/>
      <w:r w:rsidRPr="00C41C3C">
        <w:rPr>
          <w:rFonts w:ascii="Verdana" w:hAnsi="Verdana"/>
          <w:sz w:val="20"/>
          <w:lang w:val="es-CR"/>
        </w:rPr>
        <w:t>eali</w:t>
      </w:r>
      <w:proofErr w:type="spellEnd"/>
      <w:r w:rsidRPr="00C41C3C">
        <w:rPr>
          <w:rFonts w:ascii="Verdana" w:hAnsi="Verdana"/>
          <w:sz w:val="20"/>
          <w:lang w:val="es-CR"/>
        </w:rPr>
        <w:t>[z]</w:t>
      </w:r>
      <w:proofErr w:type="spellStart"/>
      <w:r w:rsidRPr="00C41C3C">
        <w:rPr>
          <w:rFonts w:ascii="Verdana" w:hAnsi="Verdana"/>
          <w:sz w:val="20"/>
          <w:lang w:val="es-CR"/>
        </w:rPr>
        <w:t>ar</w:t>
      </w:r>
      <w:proofErr w:type="spellEnd"/>
      <w:r w:rsidRPr="00C41C3C">
        <w:rPr>
          <w:rFonts w:ascii="Verdana" w:hAnsi="Verdana"/>
          <w:sz w:val="20"/>
          <w:lang w:val="es-CR"/>
        </w:rPr>
        <w:t xml:space="preserve"> todo lo posible para poder partir al exilio”. </w:t>
      </w:r>
      <w:r w:rsidRPr="00C41C3C">
        <w:rPr>
          <w:rFonts w:ascii="Verdana" w:hAnsi="Verdana"/>
          <w:sz w:val="20"/>
          <w:szCs w:val="20"/>
          <w:lang w:val="es-CR"/>
        </w:rPr>
        <w:t>Se refirió también a un “daño irreparable”</w:t>
      </w:r>
      <w:r w:rsidR="00EC3386">
        <w:rPr>
          <w:rFonts w:ascii="Verdana" w:hAnsi="Verdana"/>
          <w:sz w:val="20"/>
          <w:szCs w:val="20"/>
          <w:lang w:val="es-CR"/>
        </w:rPr>
        <w:t>,</w:t>
      </w:r>
      <w:r w:rsidRPr="00C41C3C">
        <w:rPr>
          <w:rFonts w:ascii="Verdana" w:hAnsi="Verdana"/>
          <w:sz w:val="20"/>
          <w:szCs w:val="20"/>
          <w:lang w:val="es-CR"/>
        </w:rPr>
        <w:t xml:space="preserve"> explicando que </w:t>
      </w:r>
      <w:r w:rsidRPr="00C41C3C">
        <w:rPr>
          <w:rFonts w:ascii="Verdana" w:hAnsi="Verdana"/>
          <w:sz w:val="20"/>
          <w:lang w:val="es-CR"/>
        </w:rPr>
        <w:t>“[e]l daño fue tan grande que […] hasta la fecha no se [h]</w:t>
      </w:r>
      <w:proofErr w:type="spellStart"/>
      <w:r w:rsidRPr="00C41C3C">
        <w:rPr>
          <w:rFonts w:ascii="Verdana" w:hAnsi="Verdana"/>
          <w:sz w:val="20"/>
          <w:lang w:val="es-CR"/>
        </w:rPr>
        <w:t>a</w:t>
      </w:r>
      <w:proofErr w:type="spellEnd"/>
      <w:r w:rsidRPr="00C41C3C">
        <w:rPr>
          <w:rFonts w:ascii="Verdana" w:hAnsi="Verdana"/>
          <w:sz w:val="20"/>
          <w:lang w:val="es-CR"/>
        </w:rPr>
        <w:t xml:space="preserve"> podido estable[c]</w:t>
      </w:r>
      <w:proofErr w:type="spellStart"/>
      <w:r w:rsidRPr="00C41C3C">
        <w:rPr>
          <w:rFonts w:ascii="Verdana" w:hAnsi="Verdana"/>
          <w:sz w:val="20"/>
          <w:lang w:val="es-CR"/>
        </w:rPr>
        <w:t>er</w:t>
      </w:r>
      <w:proofErr w:type="spellEnd"/>
      <w:r w:rsidRPr="00C41C3C">
        <w:rPr>
          <w:rFonts w:ascii="Verdana" w:hAnsi="Verdana"/>
          <w:sz w:val="20"/>
          <w:lang w:val="es-CR"/>
        </w:rPr>
        <w:t xml:space="preserve"> un </w:t>
      </w:r>
      <w:r w:rsidR="00F743DF">
        <w:rPr>
          <w:rFonts w:ascii="Verdana" w:hAnsi="Verdana"/>
          <w:sz w:val="20"/>
          <w:lang w:val="es-CR"/>
        </w:rPr>
        <w:t xml:space="preserve">tratamiento de </w:t>
      </w:r>
      <w:proofErr w:type="spellStart"/>
      <w:r w:rsidR="00F743DF">
        <w:rPr>
          <w:rFonts w:ascii="Verdana" w:hAnsi="Verdana"/>
          <w:sz w:val="20"/>
          <w:lang w:val="es-CR"/>
        </w:rPr>
        <w:t>recuperaci</w:t>
      </w:r>
      <w:proofErr w:type="spellEnd"/>
      <w:r w:rsidR="00F743DF">
        <w:rPr>
          <w:rFonts w:ascii="Verdana" w:hAnsi="Verdana"/>
          <w:sz w:val="20"/>
          <w:lang w:val="es-CR"/>
        </w:rPr>
        <w:t>[</w:t>
      </w:r>
      <w:proofErr w:type="spellStart"/>
      <w:r w:rsidR="00F743DF">
        <w:rPr>
          <w:rFonts w:ascii="Verdana" w:hAnsi="Verdana"/>
          <w:sz w:val="20"/>
          <w:lang w:val="es-CR"/>
        </w:rPr>
        <w:t>ó</w:t>
      </w:r>
      <w:proofErr w:type="spellEnd"/>
      <w:r w:rsidR="00F743DF">
        <w:rPr>
          <w:rFonts w:ascii="Verdana" w:hAnsi="Verdana"/>
          <w:sz w:val="20"/>
          <w:lang w:val="es-CR"/>
        </w:rPr>
        <w:t>]n fí</w:t>
      </w:r>
      <w:r w:rsidR="00EC3386">
        <w:rPr>
          <w:rFonts w:ascii="Verdana" w:hAnsi="Verdana"/>
          <w:sz w:val="20"/>
          <w:lang w:val="es-CR"/>
        </w:rPr>
        <w:t xml:space="preserve">sica ni </w:t>
      </w:r>
      <w:proofErr w:type="spellStart"/>
      <w:r w:rsidR="00EC3386">
        <w:rPr>
          <w:rFonts w:ascii="Verdana" w:hAnsi="Verdana"/>
          <w:sz w:val="20"/>
          <w:lang w:val="es-CR"/>
        </w:rPr>
        <w:t>psico</w:t>
      </w:r>
      <w:proofErr w:type="spellEnd"/>
      <w:r w:rsidR="00EC3386">
        <w:rPr>
          <w:rFonts w:ascii="Verdana" w:hAnsi="Verdana"/>
          <w:sz w:val="20"/>
          <w:lang w:val="es-CR"/>
        </w:rPr>
        <w:t>[</w:t>
      </w:r>
      <w:proofErr w:type="spellStart"/>
      <w:r w:rsidR="00EC3386">
        <w:rPr>
          <w:rFonts w:ascii="Verdana" w:hAnsi="Verdana"/>
          <w:sz w:val="20"/>
          <w:lang w:val="es-CR"/>
        </w:rPr>
        <w:t>ó</w:t>
      </w:r>
      <w:proofErr w:type="spellEnd"/>
      <w:r w:rsidR="00EC3386">
        <w:rPr>
          <w:rFonts w:ascii="Verdana" w:hAnsi="Verdana"/>
          <w:sz w:val="20"/>
          <w:lang w:val="es-CR"/>
        </w:rPr>
        <w:t>]</w:t>
      </w:r>
      <w:proofErr w:type="spellStart"/>
      <w:r w:rsidRPr="00C41C3C">
        <w:rPr>
          <w:rFonts w:ascii="Verdana" w:hAnsi="Verdana"/>
          <w:sz w:val="20"/>
          <w:lang w:val="es-CR"/>
        </w:rPr>
        <w:t>gica</w:t>
      </w:r>
      <w:proofErr w:type="spellEnd"/>
      <w:r w:rsidRPr="00C41C3C">
        <w:rPr>
          <w:rFonts w:ascii="Verdana" w:hAnsi="Verdana"/>
          <w:sz w:val="20"/>
          <w:lang w:val="es-CR"/>
        </w:rPr>
        <w:t xml:space="preserve">, como es el caso </w:t>
      </w:r>
      <w:r w:rsidR="00EC3386">
        <w:rPr>
          <w:rFonts w:ascii="Verdana" w:hAnsi="Verdana"/>
          <w:sz w:val="20"/>
          <w:lang w:val="es-CR"/>
        </w:rPr>
        <w:t>particular de Paula Camila Gutié</w:t>
      </w:r>
      <w:r w:rsidRPr="00C41C3C">
        <w:rPr>
          <w:rFonts w:ascii="Verdana" w:hAnsi="Verdana"/>
          <w:sz w:val="20"/>
          <w:lang w:val="es-CR"/>
        </w:rPr>
        <w:t xml:space="preserve">rrez Reyes” (hija de Ricardo Gutiérrez Soler y </w:t>
      </w:r>
      <w:proofErr w:type="spellStart"/>
      <w:r w:rsidRPr="00C41C3C">
        <w:rPr>
          <w:rFonts w:ascii="Verdana" w:hAnsi="Verdana"/>
          <w:sz w:val="20"/>
          <w:lang w:val="es-CR"/>
        </w:rPr>
        <w:t>Yaqu</w:t>
      </w:r>
      <w:r w:rsidR="00EC3386">
        <w:rPr>
          <w:rFonts w:ascii="Verdana" w:hAnsi="Verdana"/>
          <w:sz w:val="20"/>
          <w:lang w:val="es-CR"/>
        </w:rPr>
        <w:t>eline</w:t>
      </w:r>
      <w:proofErr w:type="spellEnd"/>
      <w:r w:rsidR="00EC3386">
        <w:rPr>
          <w:rFonts w:ascii="Verdana" w:hAnsi="Verdana"/>
          <w:sz w:val="20"/>
          <w:lang w:val="es-CR"/>
        </w:rPr>
        <w:t xml:space="preserve"> Reyes), “[quien] </w:t>
      </w:r>
      <w:proofErr w:type="spellStart"/>
      <w:r w:rsidR="00EC3386">
        <w:rPr>
          <w:rFonts w:ascii="Verdana" w:hAnsi="Verdana"/>
          <w:sz w:val="20"/>
          <w:lang w:val="es-CR"/>
        </w:rPr>
        <w:t>padec</w:t>
      </w:r>
      <w:proofErr w:type="spellEnd"/>
      <w:r w:rsidR="00EC3386">
        <w:rPr>
          <w:rFonts w:ascii="Verdana" w:hAnsi="Verdana"/>
          <w:sz w:val="20"/>
          <w:lang w:val="es-CR"/>
        </w:rPr>
        <w:t>[í]</w:t>
      </w:r>
      <w:r w:rsidRPr="00C41C3C">
        <w:rPr>
          <w:rFonts w:ascii="Verdana" w:hAnsi="Verdana"/>
          <w:sz w:val="20"/>
          <w:lang w:val="es-CR"/>
        </w:rPr>
        <w:t>a un autismo de nivel [b]ajo y por los hechos ocurridos [s]e encuentra en un estado bastante delicado”</w:t>
      </w:r>
      <w:r>
        <w:rPr>
          <w:rStyle w:val="FootnoteReference"/>
          <w:rFonts w:ascii="Verdana" w:hAnsi="Verdana"/>
          <w:sz w:val="20"/>
          <w:lang w:val="es-CR"/>
        </w:rPr>
        <w:footnoteReference w:id="20"/>
      </w:r>
      <w:r w:rsidRPr="00C41C3C">
        <w:rPr>
          <w:rFonts w:ascii="Verdana" w:hAnsi="Verdana"/>
          <w:sz w:val="20"/>
          <w:lang w:val="es-CR"/>
        </w:rPr>
        <w:t xml:space="preserve">. </w:t>
      </w:r>
    </w:p>
    <w:p w:rsidR="00F743DF" w:rsidRPr="008D50BA" w:rsidRDefault="00F743DF" w:rsidP="00F743DF">
      <w:pPr>
        <w:pStyle w:val="ListParagraph"/>
        <w:tabs>
          <w:tab w:val="left" w:pos="567"/>
        </w:tabs>
        <w:spacing w:after="0" w:line="240" w:lineRule="auto"/>
        <w:ind w:left="0"/>
        <w:jc w:val="both"/>
        <w:rPr>
          <w:rFonts w:ascii="Verdana" w:hAnsi="Verdana"/>
          <w:sz w:val="20"/>
          <w:lang w:val="es-CR"/>
        </w:rPr>
      </w:pPr>
    </w:p>
    <w:p w:rsidR="00A93B40" w:rsidRPr="007D6B81" w:rsidRDefault="00F42044" w:rsidP="00FD4C60">
      <w:pPr>
        <w:pStyle w:val="ListParagraph"/>
        <w:numPr>
          <w:ilvl w:val="0"/>
          <w:numId w:val="9"/>
        </w:numPr>
        <w:tabs>
          <w:tab w:val="left" w:pos="567"/>
        </w:tabs>
        <w:spacing w:after="0" w:line="240" w:lineRule="auto"/>
        <w:ind w:left="0" w:hanging="11"/>
        <w:jc w:val="both"/>
        <w:rPr>
          <w:rFonts w:ascii="Verdana" w:hAnsi="Verdana"/>
          <w:sz w:val="20"/>
          <w:lang w:val="es-CR"/>
        </w:rPr>
      </w:pPr>
      <w:r>
        <w:rPr>
          <w:rFonts w:ascii="Verdana" w:hAnsi="Verdana"/>
          <w:sz w:val="20"/>
          <w:lang w:val="es-CR"/>
        </w:rPr>
        <w:t>El representante expresó además que el 6 de noviembre de 2014 “</w:t>
      </w:r>
      <w:proofErr w:type="spellStart"/>
      <w:r>
        <w:rPr>
          <w:rFonts w:ascii="Verdana" w:hAnsi="Verdana"/>
          <w:sz w:val="20"/>
          <w:lang w:val="es-CR"/>
        </w:rPr>
        <w:t>envi</w:t>
      </w:r>
      <w:proofErr w:type="spellEnd"/>
      <w:r>
        <w:rPr>
          <w:rFonts w:ascii="Verdana" w:hAnsi="Verdana"/>
          <w:sz w:val="20"/>
          <w:lang w:val="es-CR"/>
        </w:rPr>
        <w:t>[</w:t>
      </w:r>
      <w:proofErr w:type="spellStart"/>
      <w:r>
        <w:rPr>
          <w:rFonts w:ascii="Verdana" w:hAnsi="Verdana"/>
          <w:sz w:val="20"/>
          <w:lang w:val="es-CR"/>
        </w:rPr>
        <w:t>ó</w:t>
      </w:r>
      <w:proofErr w:type="spellEnd"/>
      <w:r>
        <w:rPr>
          <w:rFonts w:ascii="Verdana" w:hAnsi="Verdana"/>
          <w:sz w:val="20"/>
          <w:lang w:val="es-CR"/>
        </w:rPr>
        <w:t xml:space="preserve">] derecho de </w:t>
      </w:r>
      <w:proofErr w:type="spellStart"/>
      <w:r>
        <w:rPr>
          <w:rFonts w:ascii="Verdana" w:hAnsi="Verdana"/>
          <w:sz w:val="20"/>
          <w:lang w:val="es-CR"/>
        </w:rPr>
        <w:t>petici</w:t>
      </w:r>
      <w:proofErr w:type="spellEnd"/>
      <w:r w:rsidR="00830FA2">
        <w:rPr>
          <w:rFonts w:ascii="Verdana" w:hAnsi="Verdana"/>
          <w:sz w:val="20"/>
          <w:lang w:val="es-CR"/>
        </w:rPr>
        <w:t>[</w:t>
      </w:r>
      <w:proofErr w:type="spellStart"/>
      <w:r>
        <w:rPr>
          <w:rFonts w:ascii="Verdana" w:hAnsi="Verdana"/>
          <w:sz w:val="20"/>
          <w:lang w:val="es-CR"/>
        </w:rPr>
        <w:t>ó</w:t>
      </w:r>
      <w:proofErr w:type="spellEnd"/>
      <w:r w:rsidR="00830FA2">
        <w:rPr>
          <w:rFonts w:ascii="Verdana" w:hAnsi="Verdana"/>
          <w:sz w:val="20"/>
          <w:lang w:val="es-CR"/>
        </w:rPr>
        <w:t>]</w:t>
      </w:r>
      <w:r w:rsidR="00646701">
        <w:rPr>
          <w:rFonts w:ascii="Verdana" w:hAnsi="Verdana"/>
          <w:sz w:val="20"/>
          <w:lang w:val="es-CR"/>
        </w:rPr>
        <w:t>n al [E]</w:t>
      </w:r>
      <w:proofErr w:type="spellStart"/>
      <w:proofErr w:type="gramStart"/>
      <w:r w:rsidR="00646701">
        <w:rPr>
          <w:rFonts w:ascii="Verdana" w:hAnsi="Verdana"/>
          <w:sz w:val="20"/>
          <w:lang w:val="es-CR"/>
        </w:rPr>
        <w:t>stado</w:t>
      </w:r>
      <w:proofErr w:type="spellEnd"/>
      <w:r>
        <w:rPr>
          <w:rFonts w:ascii="Verdana" w:hAnsi="Verdana"/>
          <w:sz w:val="20"/>
          <w:lang w:val="es-CR"/>
        </w:rPr>
        <w:t>[</w:t>
      </w:r>
      <w:proofErr w:type="gramEnd"/>
      <w:r w:rsidR="00646701">
        <w:rPr>
          <w:rFonts w:ascii="Verdana" w:hAnsi="Verdana"/>
          <w:sz w:val="20"/>
          <w:lang w:val="es-CR"/>
        </w:rPr>
        <w:t>,</w:t>
      </w:r>
      <w:r>
        <w:rPr>
          <w:rFonts w:ascii="Verdana" w:hAnsi="Verdana"/>
          <w:sz w:val="20"/>
          <w:lang w:val="es-CR"/>
        </w:rPr>
        <w:t>…] solicitando […] medidas de protección” y que el 22 de diciembre del mismo año recibió una respuesta que expresaba, en términos del representante, “que lo sucedido no fue de gran importancia</w:t>
      </w:r>
      <w:r w:rsidR="00246DBD">
        <w:rPr>
          <w:rFonts w:ascii="Verdana" w:hAnsi="Verdana"/>
          <w:sz w:val="20"/>
          <w:lang w:val="es-CR"/>
        </w:rPr>
        <w:t xml:space="preserve">. </w:t>
      </w:r>
      <w:r w:rsidR="00FD4C60">
        <w:rPr>
          <w:rFonts w:ascii="Verdana" w:hAnsi="Verdana"/>
          <w:sz w:val="20"/>
          <w:lang w:val="es-CR"/>
        </w:rPr>
        <w:t xml:space="preserve">El representante también hizo llegar a la Corte un documento firmado por </w:t>
      </w:r>
      <w:proofErr w:type="spellStart"/>
      <w:r w:rsidR="00FD4C60">
        <w:rPr>
          <w:rFonts w:ascii="Verdana" w:hAnsi="Verdana"/>
          <w:sz w:val="20"/>
          <w:lang w:val="es-CR"/>
        </w:rPr>
        <w:t>Yaqueline</w:t>
      </w:r>
      <w:proofErr w:type="spellEnd"/>
      <w:r w:rsidR="00FD4C60">
        <w:rPr>
          <w:rFonts w:ascii="Verdana" w:hAnsi="Verdana"/>
          <w:sz w:val="20"/>
          <w:lang w:val="es-CR"/>
        </w:rPr>
        <w:t xml:space="preserve"> Reyes, en </w:t>
      </w:r>
      <w:r w:rsidR="00830FA2">
        <w:rPr>
          <w:rFonts w:ascii="Verdana" w:hAnsi="Verdana"/>
          <w:sz w:val="20"/>
          <w:lang w:val="es-CR"/>
        </w:rPr>
        <w:t>el cual</w:t>
      </w:r>
      <w:r w:rsidR="00FD4C60">
        <w:rPr>
          <w:rFonts w:ascii="Verdana" w:hAnsi="Verdana"/>
          <w:sz w:val="20"/>
          <w:lang w:val="es-CR"/>
        </w:rPr>
        <w:t xml:space="preserve"> ella manifiesta que “</w:t>
      </w:r>
      <w:r w:rsidR="00FD4C60" w:rsidRPr="00FD4C60">
        <w:rPr>
          <w:rFonts w:ascii="Verdana" w:hAnsi="Verdana"/>
          <w:sz w:val="20"/>
          <w:lang w:val="es-CR"/>
        </w:rPr>
        <w:t>[e]</w:t>
      </w:r>
      <w:proofErr w:type="spellStart"/>
      <w:r w:rsidR="00FD4C60" w:rsidRPr="00FD4C60">
        <w:rPr>
          <w:rFonts w:ascii="Verdana" w:hAnsi="Verdana"/>
          <w:sz w:val="20"/>
          <w:lang w:val="es-CR"/>
        </w:rPr>
        <w:t>nvi</w:t>
      </w:r>
      <w:proofErr w:type="spellEnd"/>
      <w:r w:rsidR="00FD4C60" w:rsidRPr="00FD4C60">
        <w:rPr>
          <w:rFonts w:ascii="Verdana" w:hAnsi="Verdana"/>
          <w:sz w:val="20"/>
          <w:lang w:val="es-CR"/>
        </w:rPr>
        <w:t>[</w:t>
      </w:r>
      <w:proofErr w:type="spellStart"/>
      <w:r w:rsidR="00FD4C60" w:rsidRPr="00FD4C60">
        <w:rPr>
          <w:rFonts w:ascii="Verdana" w:hAnsi="Verdana"/>
          <w:sz w:val="20"/>
          <w:lang w:val="es-CR"/>
        </w:rPr>
        <w:t>ó</w:t>
      </w:r>
      <w:proofErr w:type="spellEnd"/>
      <w:r w:rsidR="00FD4C60" w:rsidRPr="00FD4C60">
        <w:rPr>
          <w:rFonts w:ascii="Verdana" w:hAnsi="Verdana"/>
          <w:sz w:val="20"/>
          <w:lang w:val="es-CR"/>
        </w:rPr>
        <w:t>] múltiples derechos de petición al Estado Colombiano por medio de [sus] antiguos representantes tratando de solucionar la situación con respecto a [sus] ‘medidas cautelares’”.</w:t>
      </w:r>
      <w:r w:rsidR="00FD4C60">
        <w:rPr>
          <w:rFonts w:ascii="Verdana" w:hAnsi="Verdana"/>
          <w:sz w:val="20"/>
          <w:lang w:val="es-CR"/>
        </w:rPr>
        <w:t xml:space="preserve"> </w:t>
      </w:r>
    </w:p>
    <w:p w:rsidR="007D6B81" w:rsidRPr="007D6B81" w:rsidRDefault="007D6B81" w:rsidP="007D6B81">
      <w:pPr>
        <w:pStyle w:val="ListParagraph"/>
        <w:rPr>
          <w:rFonts w:ascii="Verdana" w:hAnsi="Verdana"/>
          <w:sz w:val="20"/>
          <w:lang w:val="es-CR"/>
        </w:rPr>
      </w:pPr>
    </w:p>
    <w:p w:rsidR="003C0535" w:rsidRPr="003C0535" w:rsidRDefault="003C0535" w:rsidP="003C0535">
      <w:pPr>
        <w:pStyle w:val="ListParagraph"/>
        <w:numPr>
          <w:ilvl w:val="0"/>
          <w:numId w:val="9"/>
        </w:numPr>
        <w:tabs>
          <w:tab w:val="left" w:pos="567"/>
        </w:tabs>
        <w:spacing w:after="0" w:line="240" w:lineRule="auto"/>
        <w:ind w:left="0" w:hanging="11"/>
        <w:jc w:val="both"/>
        <w:rPr>
          <w:rFonts w:ascii="Verdana" w:hAnsi="Verdana"/>
          <w:sz w:val="20"/>
          <w:lang w:val="es-CR"/>
        </w:rPr>
      </w:pPr>
      <w:r>
        <w:rPr>
          <w:rFonts w:ascii="Verdana" w:hAnsi="Verdana"/>
          <w:sz w:val="20"/>
          <w:szCs w:val="20"/>
          <w:lang w:val="es-CR"/>
        </w:rPr>
        <w:t xml:space="preserve">En cuanto a las medidas requeridas, </w:t>
      </w:r>
      <w:r w:rsidR="0007720F">
        <w:rPr>
          <w:rFonts w:ascii="Verdana" w:hAnsi="Verdana"/>
          <w:sz w:val="20"/>
          <w:lang w:val="es-CR"/>
        </w:rPr>
        <w:t xml:space="preserve">la Corte </w:t>
      </w:r>
      <w:r w:rsidRPr="003C0535">
        <w:rPr>
          <w:rFonts w:ascii="Verdana" w:hAnsi="Verdana"/>
          <w:sz w:val="20"/>
          <w:lang w:val="es-CR"/>
        </w:rPr>
        <w:t>advierte que de los señalamientos del representante</w:t>
      </w:r>
      <w:r w:rsidR="00830FA2">
        <w:rPr>
          <w:rFonts w:ascii="Verdana" w:hAnsi="Verdana"/>
          <w:sz w:val="20"/>
          <w:lang w:val="es-CR"/>
        </w:rPr>
        <w:t xml:space="preserve">, </w:t>
      </w:r>
      <w:r w:rsidR="00830FA2" w:rsidRPr="0007720F">
        <w:rPr>
          <w:rFonts w:ascii="Verdana" w:hAnsi="Verdana"/>
          <w:sz w:val="20"/>
          <w:lang w:val="es-CR"/>
        </w:rPr>
        <w:t>éste</w:t>
      </w:r>
      <w:r w:rsidRPr="0007720F">
        <w:rPr>
          <w:rFonts w:ascii="Verdana" w:hAnsi="Verdana"/>
          <w:sz w:val="20"/>
          <w:lang w:val="es-CR"/>
        </w:rPr>
        <w:t xml:space="preserve"> considera</w:t>
      </w:r>
      <w:r w:rsidRPr="003C0535">
        <w:rPr>
          <w:rFonts w:ascii="Verdana" w:hAnsi="Verdana"/>
          <w:sz w:val="20"/>
          <w:lang w:val="es-CR"/>
        </w:rPr>
        <w:t xml:space="preserve"> que a efectos de “colaborar con la justicia local”, es necesario que el Estado “</w:t>
      </w:r>
      <w:proofErr w:type="gramStart"/>
      <w:r w:rsidRPr="003C0535">
        <w:rPr>
          <w:rFonts w:ascii="Verdana" w:hAnsi="Verdana"/>
          <w:sz w:val="20"/>
          <w:lang w:val="es-CR"/>
        </w:rPr>
        <w:t>t[</w:t>
      </w:r>
      <w:proofErr w:type="spellStart"/>
      <w:proofErr w:type="gramEnd"/>
      <w:r w:rsidRPr="003C0535">
        <w:rPr>
          <w:rFonts w:ascii="Verdana" w:hAnsi="Verdana"/>
          <w:sz w:val="20"/>
          <w:lang w:val="es-CR"/>
        </w:rPr>
        <w:t>enga</w:t>
      </w:r>
      <w:proofErr w:type="spellEnd"/>
      <w:r w:rsidRPr="003C0535">
        <w:rPr>
          <w:rFonts w:ascii="Verdana" w:hAnsi="Verdana"/>
          <w:sz w:val="20"/>
          <w:lang w:val="es-CR"/>
        </w:rPr>
        <w:t xml:space="preserve">] en cuenta [su] </w:t>
      </w:r>
      <w:proofErr w:type="spellStart"/>
      <w:r w:rsidRPr="003C0535">
        <w:rPr>
          <w:rFonts w:ascii="Verdana" w:hAnsi="Verdana"/>
          <w:sz w:val="20"/>
          <w:lang w:val="es-CR"/>
        </w:rPr>
        <w:t>situaci</w:t>
      </w:r>
      <w:proofErr w:type="spellEnd"/>
      <w:r w:rsidRPr="003C0535">
        <w:rPr>
          <w:rFonts w:ascii="Verdana" w:hAnsi="Verdana"/>
          <w:sz w:val="20"/>
          <w:lang w:val="es-CR"/>
        </w:rPr>
        <w:t>[</w:t>
      </w:r>
      <w:proofErr w:type="spellStart"/>
      <w:r w:rsidRPr="003C0535">
        <w:rPr>
          <w:rFonts w:ascii="Verdana" w:hAnsi="Verdana"/>
          <w:sz w:val="20"/>
          <w:lang w:val="es-CR"/>
        </w:rPr>
        <w:t>ó</w:t>
      </w:r>
      <w:proofErr w:type="spellEnd"/>
      <w:r w:rsidRPr="003C0535">
        <w:rPr>
          <w:rFonts w:ascii="Verdana" w:hAnsi="Verdana"/>
          <w:sz w:val="20"/>
          <w:lang w:val="es-CR"/>
        </w:rPr>
        <w:t>]n migratoria [y] los esquemas de seguridad que t[</w:t>
      </w:r>
      <w:proofErr w:type="spellStart"/>
      <w:r w:rsidRPr="003C0535">
        <w:rPr>
          <w:rFonts w:ascii="Verdana" w:hAnsi="Verdana"/>
          <w:sz w:val="20"/>
          <w:lang w:val="es-CR"/>
        </w:rPr>
        <w:t>iene</w:t>
      </w:r>
      <w:proofErr w:type="spellEnd"/>
      <w:r w:rsidRPr="003C0535">
        <w:rPr>
          <w:rFonts w:ascii="Verdana" w:hAnsi="Verdana"/>
          <w:sz w:val="20"/>
          <w:lang w:val="es-CR"/>
        </w:rPr>
        <w:t xml:space="preserve">] que seguir para [su] </w:t>
      </w:r>
      <w:proofErr w:type="spellStart"/>
      <w:r w:rsidRPr="003C0535">
        <w:rPr>
          <w:rFonts w:ascii="Verdana" w:hAnsi="Verdana"/>
          <w:sz w:val="20"/>
          <w:lang w:val="es-CR"/>
        </w:rPr>
        <w:t>despla</w:t>
      </w:r>
      <w:proofErr w:type="spellEnd"/>
      <w:r w:rsidRPr="003C0535">
        <w:rPr>
          <w:rFonts w:ascii="Verdana" w:hAnsi="Verdana"/>
          <w:sz w:val="20"/>
          <w:lang w:val="es-CR"/>
        </w:rPr>
        <w:t>[z]amient</w:t>
      </w:r>
      <w:r w:rsidR="008951DB">
        <w:rPr>
          <w:rFonts w:ascii="Verdana" w:hAnsi="Verdana"/>
          <w:sz w:val="20"/>
          <w:lang w:val="es-CR"/>
        </w:rPr>
        <w:t>o […] a territorio colombiano”,</w:t>
      </w:r>
      <w:r w:rsidRPr="003C0535">
        <w:rPr>
          <w:rFonts w:ascii="Verdana" w:hAnsi="Verdana"/>
          <w:b/>
          <w:sz w:val="16"/>
          <w:szCs w:val="16"/>
          <w:lang w:val="es-CR"/>
        </w:rPr>
        <w:t xml:space="preserve"> </w:t>
      </w:r>
      <w:r w:rsidRPr="003C0535">
        <w:rPr>
          <w:rFonts w:ascii="Verdana" w:hAnsi="Verdana"/>
          <w:sz w:val="20"/>
          <w:szCs w:val="20"/>
          <w:lang w:val="es-CR"/>
        </w:rPr>
        <w:t>lo que sería extensivo a sus familiares</w:t>
      </w:r>
      <w:r w:rsidRPr="003C0535">
        <w:rPr>
          <w:rStyle w:val="FootnoteReference"/>
          <w:rFonts w:ascii="Verdana" w:hAnsi="Verdana"/>
          <w:sz w:val="20"/>
          <w:szCs w:val="20"/>
          <w:lang w:val="es-CR"/>
        </w:rPr>
        <w:footnoteReference w:id="21"/>
      </w:r>
      <w:r w:rsidRPr="003C0535">
        <w:rPr>
          <w:rFonts w:ascii="Verdana" w:hAnsi="Verdana"/>
          <w:sz w:val="20"/>
          <w:szCs w:val="20"/>
          <w:lang w:val="es-CR"/>
        </w:rPr>
        <w:t xml:space="preserve">. </w:t>
      </w:r>
      <w:r w:rsidR="007D6B81" w:rsidRPr="003C0535">
        <w:rPr>
          <w:rFonts w:ascii="Verdana" w:hAnsi="Verdana"/>
          <w:sz w:val="20"/>
          <w:szCs w:val="20"/>
          <w:lang w:val="es-CR"/>
        </w:rPr>
        <w:t xml:space="preserve">El </w:t>
      </w:r>
      <w:r>
        <w:rPr>
          <w:rFonts w:ascii="Verdana" w:hAnsi="Verdana"/>
          <w:sz w:val="20"/>
          <w:szCs w:val="20"/>
          <w:lang w:val="es-CR"/>
        </w:rPr>
        <w:t xml:space="preserve">señor Gutiérrez Soler </w:t>
      </w:r>
      <w:r w:rsidR="007D6B81" w:rsidRPr="003C0535">
        <w:rPr>
          <w:rFonts w:ascii="Verdana" w:hAnsi="Verdana"/>
          <w:sz w:val="20"/>
          <w:szCs w:val="20"/>
          <w:lang w:val="es-CR"/>
        </w:rPr>
        <w:t>manifestó que solicita la implementación de un “esquem</w:t>
      </w:r>
      <w:r w:rsidR="00460DAA" w:rsidRPr="003C0535">
        <w:rPr>
          <w:rFonts w:ascii="Verdana" w:hAnsi="Verdana"/>
          <w:sz w:val="20"/>
          <w:szCs w:val="20"/>
          <w:lang w:val="es-CR"/>
        </w:rPr>
        <w:t>a de seguridad” que contemple: a</w:t>
      </w:r>
      <w:r w:rsidR="007D6B81" w:rsidRPr="003C0535">
        <w:rPr>
          <w:rFonts w:ascii="Verdana" w:hAnsi="Verdana"/>
          <w:sz w:val="20"/>
          <w:szCs w:val="20"/>
          <w:lang w:val="es-CR"/>
        </w:rPr>
        <w:t>) “</w:t>
      </w:r>
      <w:proofErr w:type="spellStart"/>
      <w:r w:rsidR="007D6B81" w:rsidRPr="003C0535">
        <w:rPr>
          <w:rFonts w:ascii="Verdana" w:hAnsi="Verdana"/>
          <w:sz w:val="20"/>
          <w:szCs w:val="20"/>
          <w:lang w:val="es-CR"/>
        </w:rPr>
        <w:t>comunicaci</w:t>
      </w:r>
      <w:proofErr w:type="spellEnd"/>
      <w:r w:rsidR="007D6B81" w:rsidRPr="003C0535">
        <w:rPr>
          <w:rFonts w:ascii="Verdana" w:hAnsi="Verdana"/>
          <w:sz w:val="20"/>
          <w:szCs w:val="20"/>
          <w:lang w:val="es-CR"/>
        </w:rPr>
        <w:t>[</w:t>
      </w:r>
      <w:proofErr w:type="spellStart"/>
      <w:r w:rsidR="007D6B81" w:rsidRPr="003C0535">
        <w:rPr>
          <w:rFonts w:ascii="Verdana" w:hAnsi="Verdana"/>
          <w:sz w:val="20"/>
          <w:szCs w:val="20"/>
          <w:lang w:val="es-CR"/>
        </w:rPr>
        <w:t>ó</w:t>
      </w:r>
      <w:proofErr w:type="spellEnd"/>
      <w:r w:rsidR="007D6B81" w:rsidRPr="003C0535">
        <w:rPr>
          <w:rFonts w:ascii="Verdana" w:hAnsi="Verdana"/>
          <w:sz w:val="20"/>
          <w:szCs w:val="20"/>
          <w:lang w:val="es-CR"/>
        </w:rPr>
        <w:t>]n con un alto funcionario del Estad</w:t>
      </w:r>
      <w:r w:rsidR="00460DAA" w:rsidRPr="003C0535">
        <w:rPr>
          <w:rFonts w:ascii="Verdana" w:hAnsi="Verdana"/>
          <w:sz w:val="20"/>
          <w:szCs w:val="20"/>
          <w:lang w:val="es-CR"/>
        </w:rPr>
        <w:t>o”; b</w:t>
      </w:r>
      <w:r w:rsidR="007D6B81" w:rsidRPr="003C0535">
        <w:rPr>
          <w:rFonts w:ascii="Verdana" w:hAnsi="Verdana"/>
          <w:sz w:val="20"/>
          <w:szCs w:val="20"/>
          <w:lang w:val="es-CR"/>
        </w:rPr>
        <w:t>) “</w:t>
      </w:r>
      <w:proofErr w:type="spellStart"/>
      <w:r w:rsidR="007D6B81" w:rsidRPr="003C0535">
        <w:rPr>
          <w:rFonts w:ascii="Verdana" w:hAnsi="Verdana"/>
          <w:sz w:val="20"/>
          <w:szCs w:val="20"/>
          <w:lang w:val="es-CR"/>
        </w:rPr>
        <w:t>veh</w:t>
      </w:r>
      <w:proofErr w:type="spellEnd"/>
      <w:r w:rsidR="007D6B81" w:rsidRPr="003C0535">
        <w:rPr>
          <w:rFonts w:ascii="Verdana" w:hAnsi="Verdana"/>
          <w:sz w:val="20"/>
          <w:szCs w:val="20"/>
          <w:lang w:val="es-CR"/>
        </w:rPr>
        <w:t xml:space="preserve">[í]culos para la </w:t>
      </w:r>
      <w:proofErr w:type="spellStart"/>
      <w:r w:rsidR="007D6B81" w:rsidRPr="003C0535">
        <w:rPr>
          <w:rFonts w:ascii="Verdana" w:hAnsi="Verdana"/>
          <w:sz w:val="20"/>
          <w:szCs w:val="20"/>
          <w:lang w:val="es-CR"/>
        </w:rPr>
        <w:t>movili</w:t>
      </w:r>
      <w:proofErr w:type="spellEnd"/>
      <w:r w:rsidR="007D6B81" w:rsidRPr="003C0535">
        <w:rPr>
          <w:rFonts w:ascii="Verdana" w:hAnsi="Verdana"/>
          <w:sz w:val="20"/>
          <w:szCs w:val="20"/>
          <w:lang w:val="es-CR"/>
        </w:rPr>
        <w:t>[z]</w:t>
      </w:r>
      <w:proofErr w:type="spellStart"/>
      <w:r w:rsidR="007D6B81" w:rsidRPr="003C0535">
        <w:rPr>
          <w:rFonts w:ascii="Verdana" w:hAnsi="Verdana"/>
          <w:sz w:val="20"/>
          <w:szCs w:val="20"/>
          <w:lang w:val="es-CR"/>
        </w:rPr>
        <w:t>aci</w:t>
      </w:r>
      <w:proofErr w:type="spellEnd"/>
      <w:r w:rsidR="007D6B81" w:rsidRPr="003C0535">
        <w:rPr>
          <w:rFonts w:ascii="Verdana" w:hAnsi="Verdana"/>
          <w:sz w:val="20"/>
          <w:szCs w:val="20"/>
          <w:lang w:val="es-CR"/>
        </w:rPr>
        <w:t>[</w:t>
      </w:r>
      <w:proofErr w:type="spellStart"/>
      <w:r w:rsidR="007D6B81" w:rsidRPr="003C0535">
        <w:rPr>
          <w:rFonts w:ascii="Verdana" w:hAnsi="Verdana"/>
          <w:sz w:val="20"/>
          <w:szCs w:val="20"/>
          <w:lang w:val="es-CR"/>
        </w:rPr>
        <w:t>ó</w:t>
      </w:r>
      <w:proofErr w:type="spellEnd"/>
      <w:r w:rsidR="007D6B81" w:rsidRPr="003C0535">
        <w:rPr>
          <w:rFonts w:ascii="Verdana" w:hAnsi="Verdana"/>
          <w:sz w:val="20"/>
          <w:szCs w:val="20"/>
          <w:lang w:val="es-CR"/>
        </w:rPr>
        <w:t>]n” de</w:t>
      </w:r>
      <w:r w:rsidR="00460DAA" w:rsidRPr="003C0535">
        <w:rPr>
          <w:rFonts w:ascii="Verdana" w:hAnsi="Verdana"/>
          <w:sz w:val="20"/>
          <w:szCs w:val="20"/>
          <w:lang w:val="es-CR"/>
        </w:rPr>
        <w:t xml:space="preserve"> las personas beneficiarias; c</w:t>
      </w:r>
      <w:r w:rsidR="007D6B81" w:rsidRPr="003C0535">
        <w:rPr>
          <w:rFonts w:ascii="Verdana" w:hAnsi="Verdana"/>
          <w:sz w:val="20"/>
          <w:szCs w:val="20"/>
          <w:lang w:val="es-CR"/>
        </w:rPr>
        <w:t xml:space="preserve">) una “vivienda de seguridad”, o un “subsidio para la </w:t>
      </w:r>
      <w:proofErr w:type="spellStart"/>
      <w:r w:rsidR="007D6B81" w:rsidRPr="003C0535">
        <w:rPr>
          <w:rFonts w:ascii="Verdana" w:hAnsi="Verdana"/>
          <w:sz w:val="20"/>
          <w:szCs w:val="20"/>
          <w:lang w:val="es-CR"/>
        </w:rPr>
        <w:t>adquisi</w:t>
      </w:r>
      <w:proofErr w:type="spellEnd"/>
      <w:r w:rsidR="007D6B81" w:rsidRPr="003C0535">
        <w:rPr>
          <w:rFonts w:ascii="Verdana" w:hAnsi="Verdana"/>
          <w:sz w:val="20"/>
          <w:szCs w:val="20"/>
          <w:lang w:val="es-CR"/>
        </w:rPr>
        <w:t>[</w:t>
      </w:r>
      <w:proofErr w:type="spellStart"/>
      <w:r w:rsidR="007D6B81" w:rsidRPr="003C0535">
        <w:rPr>
          <w:rFonts w:ascii="Verdana" w:hAnsi="Verdana"/>
          <w:sz w:val="20"/>
          <w:szCs w:val="20"/>
          <w:lang w:val="es-CR"/>
        </w:rPr>
        <w:t>ció</w:t>
      </w:r>
      <w:proofErr w:type="spellEnd"/>
      <w:r w:rsidR="007D6B81" w:rsidRPr="003C0535">
        <w:rPr>
          <w:rFonts w:ascii="Verdana" w:hAnsi="Verdana"/>
          <w:sz w:val="20"/>
          <w:szCs w:val="20"/>
          <w:lang w:val="es-CR"/>
        </w:rPr>
        <w:t xml:space="preserve">]n de un inmueble”, en </w:t>
      </w:r>
      <w:r w:rsidR="00460DAA" w:rsidRPr="003C0535">
        <w:rPr>
          <w:rFonts w:ascii="Verdana" w:hAnsi="Verdana"/>
          <w:sz w:val="20"/>
          <w:szCs w:val="20"/>
          <w:lang w:val="es-CR"/>
        </w:rPr>
        <w:t>beneficio de tales persona</w:t>
      </w:r>
      <w:r w:rsidR="00A57FAD">
        <w:rPr>
          <w:rFonts w:ascii="Verdana" w:hAnsi="Verdana"/>
          <w:sz w:val="20"/>
          <w:szCs w:val="20"/>
          <w:lang w:val="es-CR"/>
        </w:rPr>
        <w:t>s</w:t>
      </w:r>
      <w:r w:rsidR="00460DAA" w:rsidRPr="003C0535">
        <w:rPr>
          <w:rFonts w:ascii="Verdana" w:hAnsi="Verdana"/>
          <w:sz w:val="20"/>
          <w:szCs w:val="20"/>
          <w:lang w:val="es-CR"/>
        </w:rPr>
        <w:t>, y d</w:t>
      </w:r>
      <w:r w:rsidR="007D6B81" w:rsidRPr="003C0535">
        <w:rPr>
          <w:rFonts w:ascii="Verdana" w:hAnsi="Verdana"/>
          <w:sz w:val="20"/>
          <w:szCs w:val="20"/>
          <w:lang w:val="es-CR"/>
        </w:rPr>
        <w:t xml:space="preserve">) </w:t>
      </w:r>
      <w:r w:rsidR="007D6B81" w:rsidRPr="003C0535">
        <w:rPr>
          <w:rFonts w:ascii="Verdana" w:hAnsi="Verdana" w:cs="07ttbuggtvvrcbg"/>
          <w:sz w:val="20"/>
          <w:szCs w:val="20"/>
          <w:lang w:val="es-CR"/>
        </w:rPr>
        <w:t>“[c]</w:t>
      </w:r>
      <w:proofErr w:type="spellStart"/>
      <w:r w:rsidR="007D6B81" w:rsidRPr="003C0535">
        <w:rPr>
          <w:rFonts w:ascii="Verdana" w:hAnsi="Verdana" w:cs="07ttbuggtvvrcbg"/>
          <w:sz w:val="20"/>
          <w:szCs w:val="20"/>
          <w:lang w:val="es-CR"/>
        </w:rPr>
        <w:t>omunicaci</w:t>
      </w:r>
      <w:proofErr w:type="spellEnd"/>
      <w:r w:rsidR="007D6B81" w:rsidRPr="003C0535">
        <w:rPr>
          <w:rFonts w:ascii="Verdana" w:hAnsi="Verdana" w:cs="07ttbuggtvvrcbg"/>
          <w:sz w:val="20"/>
          <w:szCs w:val="20"/>
          <w:lang w:val="es-CR"/>
        </w:rPr>
        <w:t>[</w:t>
      </w:r>
      <w:proofErr w:type="spellStart"/>
      <w:r w:rsidR="007D6B81" w:rsidRPr="003C0535">
        <w:rPr>
          <w:rFonts w:ascii="Verdana" w:hAnsi="Verdana" w:cs="07ttbuggtvvrcbg"/>
          <w:sz w:val="20"/>
          <w:szCs w:val="20"/>
          <w:lang w:val="es-CR"/>
        </w:rPr>
        <w:t>ó</w:t>
      </w:r>
      <w:proofErr w:type="spellEnd"/>
      <w:r w:rsidR="007D6B81" w:rsidRPr="003C0535">
        <w:rPr>
          <w:rFonts w:ascii="Verdana" w:hAnsi="Verdana" w:cs="07ttbuggtvvrcbg"/>
          <w:sz w:val="20"/>
          <w:szCs w:val="20"/>
          <w:lang w:val="es-CR"/>
        </w:rPr>
        <w:t xml:space="preserve">]n directa con altos funcionarios del Estado para la </w:t>
      </w:r>
      <w:proofErr w:type="spellStart"/>
      <w:r w:rsidR="007D6B81" w:rsidRPr="003C0535">
        <w:rPr>
          <w:rFonts w:ascii="Verdana" w:hAnsi="Verdana" w:cs="07ttbuggtvvrcbg"/>
          <w:sz w:val="20"/>
          <w:szCs w:val="20"/>
          <w:lang w:val="es-CR"/>
        </w:rPr>
        <w:t>reinstituci</w:t>
      </w:r>
      <w:proofErr w:type="spellEnd"/>
      <w:r w:rsidR="007D6B81" w:rsidRPr="003C0535">
        <w:rPr>
          <w:rFonts w:ascii="Verdana" w:hAnsi="Verdana" w:cs="07ttbuggtvvrcbg"/>
          <w:sz w:val="20"/>
          <w:szCs w:val="20"/>
          <w:lang w:val="es-CR"/>
        </w:rPr>
        <w:t>[</w:t>
      </w:r>
      <w:proofErr w:type="spellStart"/>
      <w:r w:rsidR="007D6B81" w:rsidRPr="003C0535">
        <w:rPr>
          <w:rFonts w:ascii="Verdana" w:hAnsi="Verdana" w:cs="07ttbuggtvvrcbg"/>
          <w:sz w:val="20"/>
          <w:szCs w:val="20"/>
          <w:lang w:val="es-CR"/>
        </w:rPr>
        <w:t>ó</w:t>
      </w:r>
      <w:proofErr w:type="spellEnd"/>
      <w:r w:rsidR="007D6B81" w:rsidRPr="003C0535">
        <w:rPr>
          <w:rFonts w:ascii="Verdana" w:hAnsi="Verdana" w:cs="07ttbuggtvvrcbg"/>
          <w:sz w:val="20"/>
          <w:szCs w:val="20"/>
          <w:lang w:val="es-CR"/>
        </w:rPr>
        <w:t>]n (</w:t>
      </w:r>
      <w:r w:rsidR="007D6B81" w:rsidRPr="00246DBD">
        <w:rPr>
          <w:rFonts w:ascii="Verdana" w:hAnsi="Verdana" w:cs="07ttbuggtvvrcbg"/>
          <w:i/>
          <w:sz w:val="20"/>
          <w:szCs w:val="20"/>
          <w:lang w:val="es-CR"/>
        </w:rPr>
        <w:t>sic</w:t>
      </w:r>
      <w:r w:rsidR="007D6B81" w:rsidRPr="003C0535">
        <w:rPr>
          <w:rFonts w:ascii="Verdana" w:hAnsi="Verdana" w:cs="07ttbuggtvvrcbg"/>
          <w:sz w:val="20"/>
          <w:szCs w:val="20"/>
          <w:lang w:val="es-CR"/>
        </w:rPr>
        <w:t xml:space="preserve">) de </w:t>
      </w:r>
      <w:r w:rsidR="00830FA2">
        <w:rPr>
          <w:rFonts w:ascii="Verdana" w:hAnsi="Verdana" w:cs="07ttbuggtvvrcbg"/>
          <w:sz w:val="20"/>
          <w:szCs w:val="20"/>
          <w:lang w:val="es-CR"/>
        </w:rPr>
        <w:t xml:space="preserve">los </w:t>
      </w:r>
      <w:r w:rsidR="00460DAA" w:rsidRPr="003C0535">
        <w:rPr>
          <w:rFonts w:ascii="Verdana" w:hAnsi="Verdana" w:cs="07ttbuggtvvrcbg"/>
          <w:sz w:val="20"/>
          <w:szCs w:val="20"/>
          <w:lang w:val="es-CR"/>
        </w:rPr>
        <w:t xml:space="preserve">bienes, inmuebles, activos y </w:t>
      </w:r>
      <w:proofErr w:type="spellStart"/>
      <w:r w:rsidR="00460DAA" w:rsidRPr="003C0535">
        <w:rPr>
          <w:rFonts w:ascii="Verdana" w:hAnsi="Verdana" w:cs="07ttbuggtvvrcbg"/>
          <w:sz w:val="20"/>
          <w:szCs w:val="20"/>
          <w:lang w:val="es-CR"/>
        </w:rPr>
        <w:t>dem</w:t>
      </w:r>
      <w:proofErr w:type="spellEnd"/>
      <w:r w:rsidR="00460DAA" w:rsidRPr="003C0535">
        <w:rPr>
          <w:rFonts w:ascii="Verdana" w:hAnsi="Verdana" w:cs="07ttbuggtvvrcbg"/>
          <w:sz w:val="20"/>
          <w:szCs w:val="20"/>
          <w:lang w:val="es-CR"/>
        </w:rPr>
        <w:t>[á]s gastos [en que] las v[í]</w:t>
      </w:r>
      <w:proofErr w:type="spellStart"/>
      <w:r w:rsidR="00460DAA" w:rsidRPr="003C0535">
        <w:rPr>
          <w:rFonts w:ascii="Verdana" w:hAnsi="Verdana" w:cs="07ttbuggtvvrcbg"/>
          <w:sz w:val="20"/>
          <w:szCs w:val="20"/>
          <w:lang w:val="es-CR"/>
        </w:rPr>
        <w:t>ctimas</w:t>
      </w:r>
      <w:proofErr w:type="spellEnd"/>
      <w:r w:rsidR="00460DAA" w:rsidRPr="003C0535">
        <w:rPr>
          <w:rFonts w:ascii="Verdana" w:hAnsi="Verdana" w:cs="07ttbuggtvvrcbg"/>
          <w:sz w:val="20"/>
          <w:szCs w:val="20"/>
          <w:lang w:val="es-CR"/>
        </w:rPr>
        <w:t xml:space="preserve"> han tenido</w:t>
      </w:r>
      <w:r w:rsidR="007D6B81" w:rsidRPr="003C0535">
        <w:rPr>
          <w:rFonts w:ascii="Verdana" w:hAnsi="Verdana" w:cs="07ttbuggtvvrcbg"/>
          <w:sz w:val="20"/>
          <w:szCs w:val="20"/>
          <w:lang w:val="es-CR"/>
        </w:rPr>
        <w:t xml:space="preserve"> </w:t>
      </w:r>
      <w:r w:rsidR="00460DAA" w:rsidRPr="003C0535">
        <w:rPr>
          <w:rFonts w:ascii="Verdana" w:hAnsi="Verdana" w:cs="07ttbuggtvvrcbg"/>
          <w:sz w:val="20"/>
          <w:szCs w:val="20"/>
          <w:lang w:val="es-CR"/>
        </w:rPr>
        <w:t xml:space="preserve">que incurrir para el desarrollo de este caso ante la Corte Interamericana y otras entidades”. </w:t>
      </w:r>
    </w:p>
    <w:p w:rsidR="003C0535" w:rsidRPr="003C0535" w:rsidRDefault="003C0535" w:rsidP="003C0535">
      <w:pPr>
        <w:pStyle w:val="ListParagraph"/>
        <w:rPr>
          <w:rFonts w:ascii="Verdana" w:hAnsi="Verdana" w:cs="07ttbuggtvvrcbg"/>
          <w:sz w:val="20"/>
          <w:szCs w:val="20"/>
          <w:lang w:val="es-CR"/>
        </w:rPr>
      </w:pPr>
    </w:p>
    <w:p w:rsidR="008827F4" w:rsidRPr="00945BB2" w:rsidRDefault="003C0535" w:rsidP="00747B58">
      <w:pPr>
        <w:pStyle w:val="ListParagraph"/>
        <w:numPr>
          <w:ilvl w:val="0"/>
          <w:numId w:val="9"/>
        </w:numPr>
        <w:tabs>
          <w:tab w:val="left" w:pos="567"/>
        </w:tabs>
        <w:spacing w:after="0" w:line="240" w:lineRule="auto"/>
        <w:ind w:left="0" w:hanging="11"/>
        <w:jc w:val="both"/>
        <w:rPr>
          <w:rFonts w:ascii="Verdana" w:hAnsi="Verdana" w:cs="07ttbuggtvvrcbg"/>
          <w:sz w:val="20"/>
          <w:szCs w:val="20"/>
          <w:lang w:val="es-CR"/>
        </w:rPr>
      </w:pPr>
      <w:r>
        <w:rPr>
          <w:rFonts w:ascii="Verdana" w:hAnsi="Verdana" w:cs="07ttbuggtvvrcbg"/>
          <w:sz w:val="20"/>
          <w:szCs w:val="20"/>
          <w:lang w:val="es-CR"/>
        </w:rPr>
        <w:t xml:space="preserve">El </w:t>
      </w:r>
      <w:r w:rsidRPr="00D476E1">
        <w:rPr>
          <w:rFonts w:ascii="Verdana" w:hAnsi="Verdana" w:cs="07ttbuggtvvrcbg"/>
          <w:b/>
          <w:i/>
          <w:sz w:val="20"/>
          <w:szCs w:val="20"/>
          <w:lang w:val="es-CR"/>
        </w:rPr>
        <w:t>Estado</w:t>
      </w:r>
      <w:r w:rsidR="002D479D">
        <w:rPr>
          <w:rFonts w:ascii="Verdana" w:hAnsi="Verdana" w:cs="07ttbuggtvvrcbg"/>
          <w:sz w:val="20"/>
          <w:szCs w:val="20"/>
          <w:lang w:val="es-CR"/>
        </w:rPr>
        <w:t xml:space="preserve"> expresó que </w:t>
      </w:r>
      <w:r w:rsidR="00747B58">
        <w:rPr>
          <w:rFonts w:ascii="Verdana" w:hAnsi="Verdana" w:cs="07ttbuggtvvrcbg"/>
          <w:sz w:val="20"/>
          <w:szCs w:val="20"/>
          <w:lang w:val="es-CR"/>
        </w:rPr>
        <w:t xml:space="preserve">cuando “los solicitantes […] se encuentren en territorio nacional, y ante cualquier hecho amenazante que pueda ser verificado, [pueden] </w:t>
      </w:r>
      <w:proofErr w:type="spellStart"/>
      <w:proofErr w:type="gramStart"/>
      <w:r w:rsidR="00747B58">
        <w:rPr>
          <w:rFonts w:ascii="Verdana" w:hAnsi="Verdana" w:cs="07ttbuggtvvrcbg"/>
          <w:sz w:val="20"/>
          <w:szCs w:val="20"/>
          <w:lang w:val="es-CR"/>
        </w:rPr>
        <w:t>acud</w:t>
      </w:r>
      <w:proofErr w:type="spellEnd"/>
      <w:r w:rsidR="00747B58">
        <w:rPr>
          <w:rFonts w:ascii="Verdana" w:hAnsi="Verdana" w:cs="07ttbuggtvvrcbg"/>
          <w:sz w:val="20"/>
          <w:szCs w:val="20"/>
          <w:lang w:val="es-CR"/>
        </w:rPr>
        <w:t>[</w:t>
      </w:r>
      <w:proofErr w:type="gramEnd"/>
      <w:r w:rsidR="00747B58">
        <w:rPr>
          <w:rFonts w:ascii="Verdana" w:hAnsi="Verdana" w:cs="07ttbuggtvvrcbg"/>
          <w:sz w:val="20"/>
          <w:szCs w:val="20"/>
          <w:lang w:val="es-CR"/>
        </w:rPr>
        <w:t>ir] a las instancias nacionales competentes[,] como son la Fiscalía General y la Policía Nacional”</w:t>
      </w:r>
      <w:r w:rsidR="00747B58">
        <w:rPr>
          <w:rStyle w:val="FootnoteReference"/>
          <w:rFonts w:ascii="Verdana" w:hAnsi="Verdana"/>
          <w:sz w:val="20"/>
          <w:szCs w:val="20"/>
          <w:lang w:val="es-CR"/>
        </w:rPr>
        <w:footnoteReference w:id="22"/>
      </w:r>
      <w:r w:rsidR="00747B58">
        <w:rPr>
          <w:rFonts w:ascii="Verdana" w:hAnsi="Verdana" w:cs="07ttbuggtvvrcbg"/>
          <w:sz w:val="20"/>
          <w:szCs w:val="20"/>
          <w:lang w:val="es-CR"/>
        </w:rPr>
        <w:t xml:space="preserve">. Además, </w:t>
      </w:r>
      <w:r w:rsidR="008827F4" w:rsidRPr="00747B58">
        <w:rPr>
          <w:rFonts w:ascii="Verdana" w:hAnsi="Verdana" w:cs="07ttbuggtvvrcbg"/>
          <w:sz w:val="20"/>
          <w:szCs w:val="20"/>
          <w:lang w:val="es-CR"/>
        </w:rPr>
        <w:t>s</w:t>
      </w:r>
      <w:r w:rsidR="008F6F51">
        <w:rPr>
          <w:rFonts w:ascii="Verdana" w:hAnsi="Verdana" w:cs="07ttbuggtvvrcbg"/>
          <w:sz w:val="20"/>
          <w:szCs w:val="20"/>
          <w:lang w:val="es-CR"/>
        </w:rPr>
        <w:t>e refirió también a los hechos mencionados</w:t>
      </w:r>
      <w:r w:rsidR="008827F4" w:rsidRPr="00747B58">
        <w:rPr>
          <w:rFonts w:ascii="Verdana" w:hAnsi="Verdana" w:cs="07ttbuggtvvrcbg"/>
          <w:sz w:val="20"/>
          <w:szCs w:val="20"/>
          <w:lang w:val="es-CR"/>
        </w:rPr>
        <w:t xml:space="preserve"> en presentaciones del representante, señalando entre sus consideraciones </w:t>
      </w:r>
      <w:r w:rsidR="008827F4" w:rsidRPr="00945BB2">
        <w:rPr>
          <w:rFonts w:ascii="Verdana" w:hAnsi="Verdana" w:cs="07ttbuggtvvrcbg"/>
          <w:sz w:val="20"/>
          <w:szCs w:val="20"/>
          <w:lang w:val="es-CR"/>
        </w:rPr>
        <w:t>que la Fiscalía General de la Nación</w:t>
      </w:r>
      <w:r w:rsidR="009A5CE9" w:rsidRPr="00945BB2">
        <w:rPr>
          <w:rFonts w:ascii="Verdana" w:hAnsi="Verdana" w:cs="07ttbuggtvvrcbg"/>
          <w:sz w:val="20"/>
          <w:szCs w:val="20"/>
          <w:lang w:val="es-CR"/>
        </w:rPr>
        <w:t>, al 9 de agosto de 2017,</w:t>
      </w:r>
      <w:r w:rsidR="008827F4" w:rsidRPr="00945BB2">
        <w:rPr>
          <w:rFonts w:ascii="Verdana" w:hAnsi="Verdana" w:cs="07ttbuggtvvrcbg"/>
          <w:sz w:val="20"/>
          <w:szCs w:val="20"/>
          <w:lang w:val="es-CR"/>
        </w:rPr>
        <w:t xml:space="preserve"> no recibió denuncia alguna</w:t>
      </w:r>
      <w:r w:rsidR="009A5CE9" w:rsidRPr="00945BB2">
        <w:rPr>
          <w:rFonts w:ascii="Verdana" w:hAnsi="Verdana" w:cs="07ttbuggtvvrcbg"/>
          <w:sz w:val="20"/>
          <w:szCs w:val="20"/>
          <w:lang w:val="es-CR"/>
        </w:rPr>
        <w:t xml:space="preserve"> “ni [d</w:t>
      </w:r>
      <w:r w:rsidR="00830FA2">
        <w:rPr>
          <w:rFonts w:ascii="Verdana" w:hAnsi="Verdana" w:cs="07ttbuggtvvrcbg"/>
          <w:sz w:val="20"/>
          <w:szCs w:val="20"/>
          <w:lang w:val="es-CR"/>
        </w:rPr>
        <w:t>]</w:t>
      </w:r>
      <w:r w:rsidR="009A5CE9" w:rsidRPr="00945BB2">
        <w:rPr>
          <w:rFonts w:ascii="Verdana" w:hAnsi="Verdana" w:cs="07ttbuggtvvrcbg"/>
          <w:sz w:val="20"/>
          <w:szCs w:val="20"/>
          <w:lang w:val="es-CR"/>
        </w:rPr>
        <w:t xml:space="preserve">el señor Gutiérrez </w:t>
      </w:r>
      <w:r w:rsidR="00830FA2">
        <w:rPr>
          <w:rFonts w:ascii="Verdana" w:hAnsi="Verdana" w:cs="07ttbuggtvvrcbg"/>
          <w:sz w:val="20"/>
          <w:szCs w:val="20"/>
          <w:lang w:val="es-CR"/>
        </w:rPr>
        <w:t xml:space="preserve">Soler </w:t>
      </w:r>
      <w:r w:rsidR="009A5CE9" w:rsidRPr="00945BB2">
        <w:rPr>
          <w:rFonts w:ascii="Verdana" w:hAnsi="Verdana" w:cs="07ttbuggtvvrcbg"/>
          <w:sz w:val="20"/>
          <w:szCs w:val="20"/>
          <w:lang w:val="es-CR"/>
        </w:rPr>
        <w:t>ni [de] las demás [personas solicitantes]”.</w:t>
      </w:r>
      <w:r w:rsidR="009A5CE9">
        <w:rPr>
          <w:rFonts w:ascii="Verdana" w:hAnsi="Verdana" w:cs="07ttbuggtvvrcbg"/>
          <w:sz w:val="20"/>
          <w:szCs w:val="20"/>
          <w:lang w:val="es-CR"/>
        </w:rPr>
        <w:t xml:space="preserve"> E</w:t>
      </w:r>
      <w:r w:rsidR="008827F4" w:rsidRPr="00747B58">
        <w:rPr>
          <w:rFonts w:ascii="Verdana" w:hAnsi="Verdana" w:cs="07ttbuggtvvrcbg"/>
          <w:sz w:val="20"/>
          <w:szCs w:val="20"/>
          <w:lang w:val="es-CR"/>
        </w:rPr>
        <w:t xml:space="preserve">n cuanto a </w:t>
      </w:r>
      <w:r w:rsidR="008827F4" w:rsidRPr="00747B58">
        <w:rPr>
          <w:rFonts w:ascii="Verdana" w:hAnsi="Verdana" w:cs="07ttbuggtvvrcbg"/>
          <w:sz w:val="20"/>
          <w:szCs w:val="20"/>
          <w:lang w:val="es-CR"/>
        </w:rPr>
        <w:lastRenderedPageBreak/>
        <w:t xml:space="preserve">incidentes </w:t>
      </w:r>
      <w:r w:rsidR="008F6F51">
        <w:rPr>
          <w:rFonts w:ascii="Verdana" w:hAnsi="Verdana" w:cs="07ttbuggtvvrcbg"/>
          <w:sz w:val="20"/>
          <w:szCs w:val="20"/>
          <w:lang w:val="es-CR"/>
        </w:rPr>
        <w:t>vinculados</w:t>
      </w:r>
      <w:r w:rsidR="00FF176C" w:rsidRPr="00747B58">
        <w:rPr>
          <w:rFonts w:ascii="Verdana" w:hAnsi="Verdana" w:cs="07ttbuggtvvrcbg"/>
          <w:sz w:val="20"/>
          <w:szCs w:val="20"/>
          <w:lang w:val="es-CR"/>
        </w:rPr>
        <w:t xml:space="preserve"> una revisión policial, </w:t>
      </w:r>
      <w:r w:rsidR="00F743DF">
        <w:rPr>
          <w:rFonts w:ascii="Verdana" w:hAnsi="Verdana" w:cs="07ttbuggtvvrcbg"/>
          <w:sz w:val="20"/>
          <w:szCs w:val="20"/>
          <w:lang w:val="es-CR"/>
        </w:rPr>
        <w:t xml:space="preserve">indicó </w:t>
      </w:r>
      <w:r w:rsidR="00FF176C" w:rsidRPr="00747B58">
        <w:rPr>
          <w:rFonts w:ascii="Verdana" w:hAnsi="Verdana" w:cs="07ttbuggtvvrcbg"/>
          <w:sz w:val="20"/>
          <w:szCs w:val="20"/>
          <w:lang w:val="es-CR"/>
        </w:rPr>
        <w:t>que las requisas y retenes son procedimientos normales de control</w:t>
      </w:r>
      <w:r w:rsidR="00FF176C">
        <w:rPr>
          <w:rStyle w:val="FootnoteReference"/>
          <w:rFonts w:ascii="Verdana" w:hAnsi="Verdana"/>
          <w:sz w:val="20"/>
          <w:szCs w:val="20"/>
          <w:lang w:val="es-CR"/>
        </w:rPr>
        <w:footnoteReference w:id="23"/>
      </w:r>
      <w:r w:rsidR="00FF176C" w:rsidRPr="00747B58">
        <w:rPr>
          <w:rFonts w:ascii="Verdana" w:hAnsi="Verdana" w:cs="07ttbuggtvvrcbg"/>
          <w:sz w:val="20"/>
          <w:szCs w:val="20"/>
          <w:lang w:val="es-CR"/>
        </w:rPr>
        <w:t xml:space="preserve">. </w:t>
      </w:r>
      <w:r w:rsidR="00A85319">
        <w:rPr>
          <w:rFonts w:ascii="Verdana" w:hAnsi="Verdana" w:cs="07ttbuggtvvrcbg"/>
          <w:sz w:val="20"/>
          <w:szCs w:val="20"/>
          <w:lang w:val="es-CR"/>
        </w:rPr>
        <w:t xml:space="preserve">Colombia consideró que con posterioridad a la Resolución de la Corte de 30 de junio de 2011, </w:t>
      </w:r>
      <w:r w:rsidR="00A85319" w:rsidRPr="00945BB2">
        <w:rPr>
          <w:rFonts w:ascii="Verdana" w:hAnsi="Verdana" w:cs="07ttbuggtvvrcbg"/>
          <w:sz w:val="20"/>
          <w:szCs w:val="20"/>
          <w:lang w:val="es-CR"/>
        </w:rPr>
        <w:t>“no se han presentado ni se han denunciado hechos que puedan considerarse de gravedad y urgencia”</w:t>
      </w:r>
      <w:r w:rsidR="00A85319" w:rsidRPr="00945BB2">
        <w:rPr>
          <w:rStyle w:val="FootnoteReference"/>
          <w:rFonts w:ascii="Verdana" w:hAnsi="Verdana"/>
          <w:sz w:val="20"/>
          <w:szCs w:val="20"/>
          <w:lang w:val="es-CR"/>
        </w:rPr>
        <w:footnoteReference w:id="24"/>
      </w:r>
      <w:r w:rsidR="00A85319" w:rsidRPr="00945BB2">
        <w:rPr>
          <w:rFonts w:ascii="Verdana" w:hAnsi="Verdana" w:cs="07ttbuggtvvrcbg"/>
          <w:sz w:val="20"/>
          <w:szCs w:val="20"/>
          <w:vertAlign w:val="subscript"/>
          <w:lang w:val="es-CR"/>
        </w:rPr>
        <w:t>.</w:t>
      </w:r>
    </w:p>
    <w:p w:rsidR="002977E5" w:rsidRPr="003C0535" w:rsidRDefault="002977E5" w:rsidP="003C0535">
      <w:pPr>
        <w:pStyle w:val="ListParagraph"/>
        <w:rPr>
          <w:rFonts w:ascii="Verdana" w:hAnsi="Verdana" w:cs="07ttbuggtvvrcbg"/>
          <w:sz w:val="20"/>
          <w:szCs w:val="20"/>
          <w:lang w:val="es-CR"/>
        </w:rPr>
      </w:pPr>
    </w:p>
    <w:p w:rsidR="00747B58" w:rsidRDefault="003C0535" w:rsidP="00747B58">
      <w:pPr>
        <w:pStyle w:val="ListParagraph"/>
        <w:numPr>
          <w:ilvl w:val="0"/>
          <w:numId w:val="9"/>
        </w:numPr>
        <w:tabs>
          <w:tab w:val="left" w:pos="567"/>
        </w:tabs>
        <w:spacing w:after="0" w:line="240" w:lineRule="auto"/>
        <w:ind w:left="0" w:hanging="11"/>
        <w:jc w:val="both"/>
        <w:rPr>
          <w:rFonts w:ascii="Verdana" w:hAnsi="Verdana"/>
          <w:sz w:val="20"/>
          <w:lang w:val="es-CR"/>
        </w:rPr>
      </w:pPr>
      <w:r>
        <w:rPr>
          <w:rFonts w:ascii="Verdana" w:hAnsi="Verdana" w:cs="07ttbuggtvvrcbg"/>
          <w:sz w:val="20"/>
          <w:szCs w:val="20"/>
          <w:lang w:val="es-CR"/>
        </w:rPr>
        <w:t xml:space="preserve">La </w:t>
      </w:r>
      <w:r w:rsidRPr="00D476E1">
        <w:rPr>
          <w:rFonts w:ascii="Verdana" w:hAnsi="Verdana" w:cs="07ttbuggtvvrcbg"/>
          <w:b/>
          <w:i/>
          <w:sz w:val="20"/>
          <w:szCs w:val="20"/>
          <w:lang w:val="es-CR"/>
        </w:rPr>
        <w:t>Comisión</w:t>
      </w:r>
      <w:r w:rsidR="00747B58">
        <w:rPr>
          <w:rFonts w:ascii="Verdana" w:hAnsi="Verdana" w:cs="07ttbuggtvvrcbg"/>
          <w:sz w:val="20"/>
          <w:szCs w:val="20"/>
          <w:lang w:val="es-CR"/>
        </w:rPr>
        <w:t xml:space="preserve"> consideró que result</w:t>
      </w:r>
      <w:r w:rsidR="008F6F51">
        <w:rPr>
          <w:rFonts w:ascii="Verdana" w:hAnsi="Verdana" w:cs="07ttbuggtvvrcbg"/>
          <w:sz w:val="20"/>
          <w:szCs w:val="20"/>
          <w:lang w:val="es-CR"/>
        </w:rPr>
        <w:t>a</w:t>
      </w:r>
      <w:r w:rsidR="00747B58">
        <w:rPr>
          <w:rFonts w:ascii="Verdana" w:hAnsi="Verdana" w:cs="07ttbuggtvvrcbg"/>
          <w:sz w:val="20"/>
          <w:szCs w:val="20"/>
          <w:lang w:val="es-CR"/>
        </w:rPr>
        <w:t xml:space="preserve"> razonable</w:t>
      </w:r>
      <w:r w:rsidR="00F743DF">
        <w:rPr>
          <w:rFonts w:ascii="Verdana" w:hAnsi="Verdana" w:cs="07ttbuggtvvrcbg"/>
          <w:sz w:val="20"/>
          <w:szCs w:val="20"/>
          <w:lang w:val="es-CR"/>
        </w:rPr>
        <w:t xml:space="preserve"> que</w:t>
      </w:r>
      <w:r w:rsidR="00747B58">
        <w:rPr>
          <w:rFonts w:ascii="Verdana" w:hAnsi="Verdana" w:cs="07ttbuggtvvrcbg"/>
          <w:sz w:val="20"/>
          <w:szCs w:val="20"/>
          <w:lang w:val="es-CR"/>
        </w:rPr>
        <w:t xml:space="preserve"> </w:t>
      </w:r>
      <w:r w:rsidR="00C31555">
        <w:rPr>
          <w:rFonts w:ascii="Verdana" w:hAnsi="Verdana" w:cs="07ttbuggtvvrcbg"/>
          <w:sz w:val="20"/>
          <w:szCs w:val="20"/>
          <w:lang w:val="es-CR"/>
        </w:rPr>
        <w:t xml:space="preserve">cuando </w:t>
      </w:r>
      <w:r w:rsidR="00747B58">
        <w:rPr>
          <w:rFonts w:ascii="Verdana" w:hAnsi="Verdana" w:cs="07ttbuggtvvrcbg"/>
          <w:sz w:val="20"/>
          <w:szCs w:val="20"/>
          <w:lang w:val="es-CR"/>
        </w:rPr>
        <w:t>personas que antes fueron beneficiarias de medidas provisionales y que “debido a su situación de riesgo tuvieron que abandonar el país”, manifiestan su “</w:t>
      </w:r>
      <w:proofErr w:type="gramStart"/>
      <w:r w:rsidR="00747B58">
        <w:rPr>
          <w:rFonts w:ascii="Verdana" w:hAnsi="Verdana" w:cs="07ttbuggtvvrcbg"/>
          <w:sz w:val="20"/>
          <w:szCs w:val="20"/>
          <w:lang w:val="es-CR"/>
        </w:rPr>
        <w:t>dese[</w:t>
      </w:r>
      <w:proofErr w:type="gramEnd"/>
      <w:r w:rsidR="00747B58">
        <w:rPr>
          <w:rFonts w:ascii="Verdana" w:hAnsi="Verdana" w:cs="07ttbuggtvvrcbg"/>
          <w:sz w:val="20"/>
          <w:szCs w:val="20"/>
          <w:lang w:val="es-CR"/>
        </w:rPr>
        <w:t>o de] volver”, ello “</w:t>
      </w:r>
      <w:proofErr w:type="spellStart"/>
      <w:r w:rsidR="00747B58">
        <w:rPr>
          <w:rFonts w:ascii="Verdana" w:hAnsi="Verdana" w:cs="07ttbuggtvvrcbg"/>
          <w:sz w:val="20"/>
          <w:szCs w:val="20"/>
          <w:lang w:val="es-CR"/>
        </w:rPr>
        <w:t>activ</w:t>
      </w:r>
      <w:proofErr w:type="spellEnd"/>
      <w:r w:rsidR="00747B58">
        <w:rPr>
          <w:rFonts w:ascii="Verdana" w:hAnsi="Verdana" w:cs="07ttbuggtvvrcbg"/>
          <w:sz w:val="20"/>
          <w:szCs w:val="20"/>
          <w:lang w:val="es-CR"/>
        </w:rPr>
        <w:t>[e] de parte del Estado el deber de realizar un análisis de riesgo actualizado y determinar las medidas de protección que correspondan para garantizar [el] retorno […] en condiciones de seguridad”. Afirmó que “[e]</w:t>
      </w:r>
      <w:proofErr w:type="spellStart"/>
      <w:r w:rsidR="00747B58">
        <w:rPr>
          <w:rFonts w:ascii="Verdana" w:hAnsi="Verdana" w:cs="07ttbuggtvvrcbg"/>
          <w:sz w:val="20"/>
          <w:szCs w:val="20"/>
          <w:lang w:val="es-CR"/>
        </w:rPr>
        <w:t>llo</w:t>
      </w:r>
      <w:proofErr w:type="spellEnd"/>
      <w:r w:rsidR="00747B58">
        <w:rPr>
          <w:rFonts w:ascii="Verdana" w:hAnsi="Verdana" w:cs="07ttbuggtvvrcbg"/>
          <w:sz w:val="20"/>
          <w:szCs w:val="20"/>
          <w:lang w:val="es-CR"/>
        </w:rPr>
        <w:t xml:space="preserve"> se haría aún más necesario [</w:t>
      </w:r>
      <w:r w:rsidR="00C31555">
        <w:rPr>
          <w:rFonts w:ascii="Verdana" w:hAnsi="Verdana" w:cs="07ttbuggtvvrcbg"/>
          <w:sz w:val="20"/>
          <w:szCs w:val="20"/>
          <w:lang w:val="es-CR"/>
        </w:rPr>
        <w:t>…</w:t>
      </w:r>
      <w:r w:rsidR="00747B58">
        <w:rPr>
          <w:rFonts w:ascii="Verdana" w:hAnsi="Verdana" w:cs="07ttbuggtvvrcbg"/>
          <w:sz w:val="20"/>
          <w:szCs w:val="20"/>
          <w:lang w:val="es-CR"/>
        </w:rPr>
        <w:t xml:space="preserve">si] la[s] persona[s] </w:t>
      </w:r>
      <w:proofErr w:type="spellStart"/>
      <w:proofErr w:type="gramStart"/>
      <w:r w:rsidR="00747B58">
        <w:rPr>
          <w:rFonts w:ascii="Verdana" w:hAnsi="Verdana" w:cs="07ttbuggtvvrcbg"/>
          <w:sz w:val="20"/>
          <w:szCs w:val="20"/>
          <w:lang w:val="es-CR"/>
        </w:rPr>
        <w:t>manifiest</w:t>
      </w:r>
      <w:proofErr w:type="spellEnd"/>
      <w:r w:rsidR="00747B58">
        <w:rPr>
          <w:rFonts w:ascii="Verdana" w:hAnsi="Verdana" w:cs="07ttbuggtvvrcbg"/>
          <w:sz w:val="20"/>
          <w:szCs w:val="20"/>
          <w:lang w:val="es-CR"/>
        </w:rPr>
        <w:t>[</w:t>
      </w:r>
      <w:proofErr w:type="spellStart"/>
      <w:proofErr w:type="gramEnd"/>
      <w:r w:rsidR="00747B58">
        <w:rPr>
          <w:rFonts w:ascii="Verdana" w:hAnsi="Verdana" w:cs="07ttbuggtvvrcbg"/>
          <w:sz w:val="20"/>
          <w:szCs w:val="20"/>
          <w:lang w:val="es-CR"/>
        </w:rPr>
        <w:t>an</w:t>
      </w:r>
      <w:proofErr w:type="spellEnd"/>
      <w:r w:rsidR="00747B58">
        <w:rPr>
          <w:rFonts w:ascii="Verdana" w:hAnsi="Verdana" w:cs="07ttbuggtvvrcbg"/>
          <w:sz w:val="20"/>
          <w:szCs w:val="20"/>
          <w:lang w:val="es-CR"/>
        </w:rPr>
        <w:t>] su intención de volver de forma permanente”.</w:t>
      </w:r>
      <w:r w:rsidR="00747B58">
        <w:rPr>
          <w:rFonts w:ascii="Verdana" w:hAnsi="Verdana"/>
          <w:sz w:val="20"/>
          <w:lang w:val="es-CR"/>
        </w:rPr>
        <w:t xml:space="preserve"> </w:t>
      </w:r>
    </w:p>
    <w:p w:rsidR="00747B58" w:rsidRPr="00A51B57" w:rsidRDefault="00747B58" w:rsidP="00A51B57">
      <w:pPr>
        <w:pStyle w:val="ListParagraph"/>
        <w:rPr>
          <w:rFonts w:ascii="Verdana" w:hAnsi="Verdana"/>
          <w:sz w:val="20"/>
          <w:lang w:val="es-CR"/>
        </w:rPr>
      </w:pPr>
    </w:p>
    <w:p w:rsidR="0030077F" w:rsidRPr="00A51B57" w:rsidRDefault="000E2B70" w:rsidP="00A51B57">
      <w:pPr>
        <w:pStyle w:val="ListParagraph"/>
        <w:numPr>
          <w:ilvl w:val="0"/>
          <w:numId w:val="9"/>
        </w:numPr>
        <w:tabs>
          <w:tab w:val="left" w:pos="567"/>
        </w:tabs>
        <w:spacing w:after="0" w:line="240" w:lineRule="auto"/>
        <w:ind w:left="0" w:hanging="11"/>
        <w:jc w:val="both"/>
        <w:rPr>
          <w:rFonts w:ascii="Verdana" w:hAnsi="Verdana"/>
          <w:sz w:val="20"/>
          <w:lang w:val="es-CR"/>
        </w:rPr>
      </w:pPr>
      <w:r w:rsidRPr="00A51B57">
        <w:rPr>
          <w:rFonts w:ascii="Verdana" w:hAnsi="Verdana"/>
          <w:sz w:val="20"/>
          <w:lang w:val="es-CR"/>
        </w:rPr>
        <w:t xml:space="preserve">La </w:t>
      </w:r>
      <w:r w:rsidRPr="00A51B57">
        <w:rPr>
          <w:rFonts w:ascii="Verdana" w:hAnsi="Verdana"/>
          <w:b/>
          <w:i/>
          <w:sz w:val="20"/>
          <w:lang w:val="es-CR"/>
        </w:rPr>
        <w:t>Corte</w:t>
      </w:r>
      <w:r w:rsidRPr="00A51B57">
        <w:rPr>
          <w:rFonts w:ascii="Verdana" w:hAnsi="Verdana"/>
          <w:sz w:val="20"/>
          <w:lang w:val="es-CR"/>
        </w:rPr>
        <w:t xml:space="preserve"> nota</w:t>
      </w:r>
      <w:r w:rsidR="0030077F" w:rsidRPr="00A51B57">
        <w:rPr>
          <w:rFonts w:ascii="Verdana" w:hAnsi="Verdana"/>
          <w:sz w:val="20"/>
          <w:lang w:val="es-CR"/>
        </w:rPr>
        <w:t>, en cuanto a los hechos que corresponde examinar (</w:t>
      </w:r>
      <w:r w:rsidR="0030077F" w:rsidRPr="00A51B57">
        <w:rPr>
          <w:rFonts w:ascii="Verdana" w:hAnsi="Verdana"/>
          <w:i/>
          <w:sz w:val="20"/>
          <w:lang w:val="es-CR"/>
        </w:rPr>
        <w:t>supra</w:t>
      </w:r>
      <w:r w:rsidR="0030077F" w:rsidRPr="00A51B57">
        <w:rPr>
          <w:rFonts w:ascii="Verdana" w:hAnsi="Verdana"/>
          <w:sz w:val="20"/>
          <w:lang w:val="es-CR"/>
        </w:rPr>
        <w:t xml:space="preserve"> Considerandos </w:t>
      </w:r>
      <w:r w:rsidR="004073F4">
        <w:rPr>
          <w:rFonts w:ascii="Verdana" w:hAnsi="Verdana"/>
          <w:sz w:val="20"/>
          <w:lang w:val="es-CR"/>
        </w:rPr>
        <w:t>6 y 7</w:t>
      </w:r>
      <w:r w:rsidR="0030077F" w:rsidRPr="00A51B57">
        <w:rPr>
          <w:rFonts w:ascii="Verdana" w:hAnsi="Verdana"/>
          <w:sz w:val="20"/>
          <w:lang w:val="es-CR"/>
        </w:rPr>
        <w:t xml:space="preserve">), que </w:t>
      </w:r>
      <w:r w:rsidR="00A51B57" w:rsidRPr="00A51B57">
        <w:rPr>
          <w:rFonts w:ascii="Verdana" w:hAnsi="Verdana"/>
          <w:sz w:val="20"/>
          <w:lang w:val="es-CR"/>
        </w:rPr>
        <w:t>d</w:t>
      </w:r>
      <w:r w:rsidR="0030077F" w:rsidRPr="00A51B57">
        <w:rPr>
          <w:rFonts w:ascii="Verdana" w:hAnsi="Verdana"/>
          <w:sz w:val="20"/>
          <w:lang w:val="es-CR"/>
        </w:rPr>
        <w:t xml:space="preserve">e </w:t>
      </w:r>
      <w:r w:rsidR="00A51B57" w:rsidRPr="00A51B57">
        <w:rPr>
          <w:rFonts w:ascii="Verdana" w:hAnsi="Verdana"/>
          <w:sz w:val="20"/>
          <w:lang w:val="es-CR"/>
        </w:rPr>
        <w:t>los mismos</w:t>
      </w:r>
      <w:r w:rsidR="0030077F" w:rsidRPr="00A51B57">
        <w:rPr>
          <w:rFonts w:ascii="Verdana" w:hAnsi="Verdana"/>
          <w:sz w:val="20"/>
          <w:lang w:val="es-CR"/>
        </w:rPr>
        <w:t>, y de las consideraciones efectuadas por el representante, no surge que se vinculen con una situación de riesgo actua</w:t>
      </w:r>
      <w:r w:rsidR="00A51B57" w:rsidRPr="00A51B57">
        <w:rPr>
          <w:rFonts w:ascii="Verdana" w:hAnsi="Verdana"/>
          <w:sz w:val="20"/>
          <w:lang w:val="es-CR"/>
        </w:rPr>
        <w:t>l relacionada</w:t>
      </w:r>
      <w:r w:rsidR="0030077F" w:rsidRPr="00A51B57">
        <w:rPr>
          <w:rFonts w:ascii="Verdana" w:hAnsi="Verdana"/>
          <w:sz w:val="20"/>
          <w:lang w:val="es-CR"/>
        </w:rPr>
        <w:t xml:space="preserve"> con el caso conocido por esta Corte. </w:t>
      </w:r>
      <w:r w:rsidR="00A51B57" w:rsidRPr="00A51B57">
        <w:rPr>
          <w:rFonts w:ascii="Verdana" w:hAnsi="Verdana"/>
          <w:sz w:val="20"/>
          <w:lang w:val="es-CR"/>
        </w:rPr>
        <w:t>Los hechos que ocurrieron hace más de dos años y medio no han consistido en amenazas o agresiones físicas directas, y si bien ello no es necesariamente un obstáculo a su consideración, no se advierte, ni ha sido suficientemente explicado por el representante, que tal tipo de circunstancias evidencien un riesgo de que él o sus familiares sufran daño</w:t>
      </w:r>
      <w:r w:rsidR="00A51B57">
        <w:rPr>
          <w:rFonts w:ascii="Verdana" w:hAnsi="Verdana"/>
          <w:sz w:val="20"/>
          <w:lang w:val="es-CR"/>
        </w:rPr>
        <w:t xml:space="preserve">s irreparables en sus personas. </w:t>
      </w:r>
      <w:r w:rsidR="0030077F" w:rsidRPr="00A51B57">
        <w:rPr>
          <w:rFonts w:ascii="Verdana" w:hAnsi="Verdana"/>
          <w:sz w:val="20"/>
          <w:lang w:val="es-CR"/>
        </w:rPr>
        <w:t xml:space="preserve">En cuanto al robo que el señor Gutiérrez Soler afirma que sufrió el 24 de julio de 2017, no hay elementos de juicio que permitan diferenciarlo de una circunstancia de criminalidad ordinaria. </w:t>
      </w:r>
      <w:r w:rsidR="00A51B57" w:rsidRPr="0007720F">
        <w:rPr>
          <w:rFonts w:ascii="Verdana" w:hAnsi="Verdana"/>
          <w:sz w:val="20"/>
          <w:lang w:val="es-CR"/>
        </w:rPr>
        <w:t xml:space="preserve">En relación con los hechos señalados el representante </w:t>
      </w:r>
      <w:r w:rsidR="0007720F" w:rsidRPr="0007720F">
        <w:rPr>
          <w:rFonts w:ascii="Verdana" w:hAnsi="Verdana"/>
          <w:sz w:val="20"/>
          <w:lang w:val="es-CR"/>
        </w:rPr>
        <w:t xml:space="preserve">no </w:t>
      </w:r>
      <w:r w:rsidR="00A51B57" w:rsidRPr="0007720F">
        <w:rPr>
          <w:rFonts w:ascii="Verdana" w:hAnsi="Verdana"/>
          <w:sz w:val="20"/>
          <w:lang w:val="es-CR"/>
        </w:rPr>
        <w:t>ha desarrollado consideraciones que permitan colegir su vinculación al caso conocido por esta Corte, o</w:t>
      </w:r>
      <w:r w:rsidR="00A51B57">
        <w:rPr>
          <w:rFonts w:ascii="Verdana" w:hAnsi="Verdana"/>
          <w:sz w:val="20"/>
          <w:lang w:val="es-CR"/>
        </w:rPr>
        <w:t xml:space="preserve"> a la implementación de las medidas ordenadas en la Sentencia. </w:t>
      </w:r>
    </w:p>
    <w:p w:rsidR="00327177" w:rsidRPr="00327177" w:rsidRDefault="00327177" w:rsidP="00327177">
      <w:pPr>
        <w:pStyle w:val="ListParagraph"/>
        <w:rPr>
          <w:rFonts w:ascii="Verdana" w:hAnsi="Verdana"/>
          <w:sz w:val="20"/>
          <w:lang w:val="es-CR"/>
        </w:rPr>
      </w:pPr>
    </w:p>
    <w:p w:rsidR="00327177" w:rsidRDefault="00327177" w:rsidP="00327177">
      <w:pPr>
        <w:pStyle w:val="ListParagraph"/>
        <w:numPr>
          <w:ilvl w:val="0"/>
          <w:numId w:val="9"/>
        </w:numPr>
        <w:tabs>
          <w:tab w:val="left" w:pos="567"/>
        </w:tabs>
        <w:spacing w:after="0" w:line="240" w:lineRule="auto"/>
        <w:ind w:left="0" w:hanging="11"/>
        <w:jc w:val="both"/>
        <w:rPr>
          <w:rFonts w:ascii="Verdana" w:hAnsi="Verdana"/>
          <w:sz w:val="20"/>
          <w:lang w:val="es-CR"/>
        </w:rPr>
      </w:pPr>
      <w:r>
        <w:rPr>
          <w:rFonts w:ascii="Verdana" w:hAnsi="Verdana"/>
          <w:sz w:val="20"/>
          <w:lang w:val="es-CR"/>
        </w:rPr>
        <w:t>Por otra parte, los argumentos del representante en cuanto a las supuestas características de gravedad y urgencia extremas en relación con la posibilidad de daños irreparables (</w:t>
      </w:r>
      <w:r>
        <w:rPr>
          <w:rFonts w:ascii="Verdana" w:hAnsi="Verdana"/>
          <w:i/>
          <w:sz w:val="20"/>
          <w:lang w:val="es-CR"/>
        </w:rPr>
        <w:t>supra</w:t>
      </w:r>
      <w:r>
        <w:rPr>
          <w:rFonts w:ascii="Verdana" w:hAnsi="Verdana"/>
          <w:sz w:val="20"/>
          <w:lang w:val="es-CR"/>
        </w:rPr>
        <w:t xml:space="preserve"> Considerando </w:t>
      </w:r>
      <w:r w:rsidR="00536879">
        <w:rPr>
          <w:rFonts w:ascii="Verdana" w:hAnsi="Verdana"/>
          <w:sz w:val="20"/>
          <w:lang w:val="es-CR"/>
        </w:rPr>
        <w:t>9</w:t>
      </w:r>
      <w:r>
        <w:rPr>
          <w:rFonts w:ascii="Verdana" w:hAnsi="Verdana"/>
          <w:sz w:val="20"/>
          <w:lang w:val="es-CR"/>
        </w:rPr>
        <w:t xml:space="preserve">), refieren a circunstancias (el “exilio” en Estados Unidos de América y daños a la salud) que no son futuras, ni presentan vinculación con </w:t>
      </w:r>
      <w:r w:rsidR="00CB3CDF">
        <w:rPr>
          <w:rFonts w:ascii="Verdana" w:hAnsi="Verdana"/>
          <w:sz w:val="20"/>
          <w:lang w:val="es-CR"/>
        </w:rPr>
        <w:t>los hechos en que el señor Gutié</w:t>
      </w:r>
      <w:r>
        <w:rPr>
          <w:rFonts w:ascii="Verdana" w:hAnsi="Verdana"/>
          <w:sz w:val="20"/>
          <w:lang w:val="es-CR"/>
        </w:rPr>
        <w:t>rrez Soler pretende fundar la procedencia de las medidas provisi</w:t>
      </w:r>
      <w:r w:rsidR="0023749F">
        <w:rPr>
          <w:rFonts w:ascii="Verdana" w:hAnsi="Verdana"/>
          <w:sz w:val="20"/>
          <w:lang w:val="es-CR"/>
        </w:rPr>
        <w:t>onales que solicita</w:t>
      </w:r>
      <w:r>
        <w:rPr>
          <w:rFonts w:ascii="Verdana" w:hAnsi="Verdana"/>
          <w:sz w:val="20"/>
          <w:lang w:val="es-CR"/>
        </w:rPr>
        <w:t>.</w:t>
      </w:r>
    </w:p>
    <w:p w:rsidR="00327177" w:rsidRPr="00327177" w:rsidRDefault="00327177" w:rsidP="00327177">
      <w:pPr>
        <w:pStyle w:val="ListParagraph"/>
        <w:rPr>
          <w:rFonts w:ascii="Verdana" w:hAnsi="Verdana"/>
          <w:sz w:val="20"/>
          <w:lang w:val="es-CR"/>
        </w:rPr>
      </w:pPr>
    </w:p>
    <w:p w:rsidR="00327177" w:rsidRDefault="000E2E05" w:rsidP="00327177">
      <w:pPr>
        <w:pStyle w:val="ListParagraph"/>
        <w:numPr>
          <w:ilvl w:val="0"/>
          <w:numId w:val="9"/>
        </w:numPr>
        <w:tabs>
          <w:tab w:val="left" w:pos="567"/>
        </w:tabs>
        <w:spacing w:after="0" w:line="240" w:lineRule="auto"/>
        <w:ind w:left="0" w:hanging="11"/>
        <w:jc w:val="both"/>
        <w:rPr>
          <w:rFonts w:ascii="Verdana" w:hAnsi="Verdana"/>
          <w:sz w:val="20"/>
          <w:lang w:val="es-CR"/>
        </w:rPr>
      </w:pPr>
      <w:r>
        <w:rPr>
          <w:rFonts w:ascii="Verdana" w:hAnsi="Verdana"/>
          <w:sz w:val="20"/>
          <w:lang w:val="es-CR"/>
        </w:rPr>
        <w:t>Aunque las consideraciones expuestas resultan suficientes para rechazar la solicitud de medidas provisionales, d</w:t>
      </w:r>
      <w:r w:rsidR="00327177">
        <w:rPr>
          <w:rFonts w:ascii="Verdana" w:hAnsi="Verdana"/>
          <w:sz w:val="20"/>
          <w:lang w:val="es-CR"/>
        </w:rPr>
        <w:t xml:space="preserve">e modo adicional, </w:t>
      </w:r>
      <w:r>
        <w:rPr>
          <w:rFonts w:ascii="Verdana" w:hAnsi="Verdana"/>
          <w:sz w:val="20"/>
          <w:lang w:val="es-CR"/>
        </w:rPr>
        <w:t xml:space="preserve">este Tribunal considera pertinente dejar sentado que </w:t>
      </w:r>
      <w:r w:rsidR="00935C82">
        <w:rPr>
          <w:rFonts w:ascii="Verdana" w:hAnsi="Verdana"/>
          <w:sz w:val="20"/>
          <w:lang w:val="es-CR"/>
        </w:rPr>
        <w:t xml:space="preserve">los pedidos del señor Gutiérrez Soler respecto al otorgamiento de viviendas, así como de diversos bienes para solventar presuntos gastos, no corresponden a la naturaleza de las medidas provisionales, que tiene por objeto resguardar a las personas de eventuales daños irreparables. </w:t>
      </w:r>
      <w:r w:rsidR="00327177">
        <w:rPr>
          <w:rFonts w:ascii="Verdana" w:hAnsi="Verdana"/>
          <w:sz w:val="20"/>
          <w:lang w:val="es-CR"/>
        </w:rPr>
        <w:t xml:space="preserve">  </w:t>
      </w:r>
    </w:p>
    <w:p w:rsidR="0030077F" w:rsidRPr="0030077F" w:rsidRDefault="0030077F" w:rsidP="0030077F">
      <w:pPr>
        <w:pStyle w:val="ListParagraph"/>
        <w:tabs>
          <w:tab w:val="left" w:pos="567"/>
        </w:tabs>
        <w:spacing w:after="0" w:line="240" w:lineRule="auto"/>
        <w:ind w:left="0"/>
        <w:jc w:val="both"/>
        <w:rPr>
          <w:rFonts w:ascii="Verdana" w:hAnsi="Verdana"/>
          <w:sz w:val="20"/>
          <w:lang w:val="es-CR"/>
        </w:rPr>
      </w:pPr>
    </w:p>
    <w:p w:rsidR="000E2E05" w:rsidRDefault="0030077F" w:rsidP="001C5B86">
      <w:pPr>
        <w:pStyle w:val="ListParagraph"/>
        <w:numPr>
          <w:ilvl w:val="0"/>
          <w:numId w:val="9"/>
        </w:numPr>
        <w:tabs>
          <w:tab w:val="left" w:pos="567"/>
        </w:tabs>
        <w:spacing w:after="0" w:line="240" w:lineRule="auto"/>
        <w:ind w:left="0" w:hanging="11"/>
        <w:jc w:val="both"/>
        <w:rPr>
          <w:rFonts w:ascii="Verdana" w:hAnsi="Verdana"/>
          <w:sz w:val="20"/>
          <w:lang w:val="es-CR"/>
        </w:rPr>
      </w:pPr>
      <w:r>
        <w:rPr>
          <w:rFonts w:ascii="Verdana" w:hAnsi="Verdana"/>
          <w:sz w:val="20"/>
          <w:lang w:val="es-CR"/>
        </w:rPr>
        <w:t xml:space="preserve"> </w:t>
      </w:r>
      <w:r w:rsidR="000E2E05">
        <w:rPr>
          <w:rFonts w:ascii="Verdana" w:hAnsi="Verdana"/>
          <w:sz w:val="20"/>
          <w:lang w:val="es-CR"/>
        </w:rPr>
        <w:t xml:space="preserve">De igual modo, </w:t>
      </w:r>
      <w:r w:rsidR="000068A4">
        <w:rPr>
          <w:rFonts w:ascii="Verdana" w:hAnsi="Verdana"/>
          <w:sz w:val="20"/>
          <w:lang w:val="es-CR"/>
        </w:rPr>
        <w:t xml:space="preserve">cabe notar que </w:t>
      </w:r>
      <w:r w:rsidR="00FC0257">
        <w:rPr>
          <w:rFonts w:ascii="Verdana" w:hAnsi="Verdana"/>
          <w:sz w:val="20"/>
          <w:lang w:val="es-CR"/>
        </w:rPr>
        <w:t>de lo expuesto por el señor Gutiérrez Soler surge que él, así como al menos la mayor parte de sus familiares, residen en Estados Unidos de Am</w:t>
      </w:r>
      <w:r w:rsidR="009638D0">
        <w:rPr>
          <w:rFonts w:ascii="Verdana" w:hAnsi="Verdana"/>
          <w:sz w:val="20"/>
          <w:lang w:val="es-CR"/>
        </w:rPr>
        <w:t>érica y</w:t>
      </w:r>
      <w:r w:rsidR="00FC0257">
        <w:rPr>
          <w:rFonts w:ascii="Verdana" w:hAnsi="Verdana"/>
          <w:sz w:val="20"/>
          <w:lang w:val="es-CR"/>
        </w:rPr>
        <w:t xml:space="preserve"> </w:t>
      </w:r>
      <w:r w:rsidR="009638D0">
        <w:rPr>
          <w:rFonts w:ascii="Verdana" w:hAnsi="Verdana"/>
          <w:sz w:val="20"/>
          <w:lang w:val="es-CR"/>
        </w:rPr>
        <w:t>el Estado no tiene posibilidad de implementar medidas fuera de su territorio</w:t>
      </w:r>
      <w:r w:rsidR="009638D0">
        <w:rPr>
          <w:rStyle w:val="FootnoteReference"/>
          <w:rFonts w:ascii="Verdana" w:hAnsi="Verdana"/>
          <w:sz w:val="20"/>
          <w:lang w:val="es-CR"/>
        </w:rPr>
        <w:footnoteReference w:id="25"/>
      </w:r>
      <w:r w:rsidR="000E2E05">
        <w:rPr>
          <w:rFonts w:ascii="Verdana" w:hAnsi="Verdana"/>
          <w:sz w:val="20"/>
          <w:lang w:val="es-CR"/>
        </w:rPr>
        <w:t>. Al respecto,</w:t>
      </w:r>
      <w:r w:rsidR="009638D0">
        <w:rPr>
          <w:rFonts w:ascii="Verdana" w:hAnsi="Verdana"/>
          <w:sz w:val="20"/>
          <w:lang w:val="es-CR"/>
        </w:rPr>
        <w:t xml:space="preserve"> l</w:t>
      </w:r>
      <w:r w:rsidR="000E2B70">
        <w:rPr>
          <w:rFonts w:ascii="Verdana" w:hAnsi="Verdana"/>
          <w:sz w:val="20"/>
          <w:lang w:val="es-CR"/>
        </w:rPr>
        <w:t xml:space="preserve">as manifestaciones del representante no resultan claras en cuanto a </w:t>
      </w:r>
      <w:r w:rsidR="000E2E05">
        <w:rPr>
          <w:rFonts w:ascii="Verdana" w:hAnsi="Verdana"/>
          <w:sz w:val="20"/>
          <w:lang w:val="es-CR"/>
        </w:rPr>
        <w:t xml:space="preserve">si </w:t>
      </w:r>
      <w:r w:rsidR="000E2B70">
        <w:rPr>
          <w:rFonts w:ascii="Verdana" w:hAnsi="Verdana"/>
          <w:sz w:val="20"/>
          <w:lang w:val="es-CR"/>
        </w:rPr>
        <w:t>solicit</w:t>
      </w:r>
      <w:r w:rsidR="000E2E05">
        <w:rPr>
          <w:rFonts w:ascii="Verdana" w:hAnsi="Verdana"/>
          <w:sz w:val="20"/>
          <w:lang w:val="es-CR"/>
        </w:rPr>
        <w:t>a</w:t>
      </w:r>
      <w:r w:rsidR="000E2B70">
        <w:rPr>
          <w:rFonts w:ascii="Verdana" w:hAnsi="Verdana"/>
          <w:sz w:val="20"/>
          <w:lang w:val="es-CR"/>
        </w:rPr>
        <w:t xml:space="preserve"> medidas de protección </w:t>
      </w:r>
      <w:r w:rsidR="000E2B70">
        <w:rPr>
          <w:rFonts w:ascii="Verdana" w:hAnsi="Verdana"/>
          <w:sz w:val="20"/>
          <w:lang w:val="es-CR"/>
        </w:rPr>
        <w:lastRenderedPageBreak/>
        <w:t xml:space="preserve">durante </w:t>
      </w:r>
      <w:r w:rsidR="00FC0257">
        <w:rPr>
          <w:rFonts w:ascii="Verdana" w:hAnsi="Verdana"/>
          <w:sz w:val="20"/>
          <w:lang w:val="es-CR"/>
        </w:rPr>
        <w:t xml:space="preserve">estadías temporales en </w:t>
      </w:r>
      <w:r>
        <w:rPr>
          <w:rFonts w:ascii="Verdana" w:hAnsi="Verdana"/>
          <w:sz w:val="20"/>
          <w:lang w:val="es-CR"/>
        </w:rPr>
        <w:t>Colombia</w:t>
      </w:r>
      <w:r w:rsidR="008F6F51">
        <w:rPr>
          <w:rFonts w:ascii="Verdana" w:hAnsi="Verdana"/>
          <w:sz w:val="20"/>
          <w:lang w:val="es-CR"/>
        </w:rPr>
        <w:t>,</w:t>
      </w:r>
      <w:r>
        <w:rPr>
          <w:rFonts w:ascii="Verdana" w:hAnsi="Verdana"/>
          <w:sz w:val="20"/>
          <w:lang w:val="es-CR"/>
        </w:rPr>
        <w:t xml:space="preserve"> </w:t>
      </w:r>
      <w:r w:rsidR="000E2B70">
        <w:rPr>
          <w:rFonts w:ascii="Verdana" w:hAnsi="Verdana"/>
          <w:sz w:val="20"/>
          <w:lang w:val="es-CR"/>
        </w:rPr>
        <w:t xml:space="preserve">de él o sus familiares </w:t>
      </w:r>
      <w:r>
        <w:rPr>
          <w:rFonts w:ascii="Verdana" w:hAnsi="Verdana"/>
          <w:sz w:val="20"/>
          <w:lang w:val="es-CR"/>
        </w:rPr>
        <w:t>que residen fuera del país</w:t>
      </w:r>
      <w:r w:rsidR="000E2B70">
        <w:rPr>
          <w:rStyle w:val="FootnoteReference"/>
          <w:rFonts w:ascii="Verdana" w:hAnsi="Verdana"/>
          <w:sz w:val="20"/>
          <w:lang w:val="es-CR"/>
        </w:rPr>
        <w:footnoteReference w:id="26"/>
      </w:r>
      <w:r w:rsidR="000E2B70">
        <w:rPr>
          <w:rFonts w:ascii="Verdana" w:hAnsi="Verdana"/>
          <w:sz w:val="20"/>
          <w:lang w:val="es-CR"/>
        </w:rPr>
        <w:t xml:space="preserve">, o si </w:t>
      </w:r>
      <w:r w:rsidR="009638D0">
        <w:rPr>
          <w:rFonts w:ascii="Verdana" w:hAnsi="Verdana"/>
          <w:sz w:val="20"/>
          <w:lang w:val="es-CR"/>
        </w:rPr>
        <w:t xml:space="preserve">las </w:t>
      </w:r>
      <w:r w:rsidR="000E2B70">
        <w:rPr>
          <w:rFonts w:ascii="Verdana" w:hAnsi="Verdana"/>
          <w:sz w:val="20"/>
          <w:lang w:val="es-CR"/>
        </w:rPr>
        <w:t xml:space="preserve">pide a efectos de </w:t>
      </w:r>
      <w:r w:rsidR="008F6F51">
        <w:rPr>
          <w:rFonts w:ascii="Verdana" w:hAnsi="Verdana"/>
          <w:sz w:val="20"/>
          <w:lang w:val="es-CR"/>
        </w:rPr>
        <w:t xml:space="preserve">un retorno </w:t>
      </w:r>
      <w:r>
        <w:rPr>
          <w:rFonts w:ascii="Verdana" w:hAnsi="Verdana"/>
          <w:sz w:val="20"/>
          <w:lang w:val="es-CR"/>
        </w:rPr>
        <w:t>permanente al territorio estatal</w:t>
      </w:r>
      <w:r w:rsidR="000E2B70">
        <w:rPr>
          <w:rFonts w:ascii="Verdana" w:hAnsi="Verdana"/>
          <w:sz w:val="20"/>
          <w:lang w:val="es-CR"/>
        </w:rPr>
        <w:t xml:space="preserve">. </w:t>
      </w:r>
      <w:r w:rsidR="00FC0257">
        <w:rPr>
          <w:rFonts w:ascii="Verdana" w:hAnsi="Verdana"/>
          <w:sz w:val="20"/>
          <w:lang w:val="es-CR"/>
        </w:rPr>
        <w:t xml:space="preserve">Frente a esta imprecisión, la Corte no puede asumir ninguna de las dos cosas, </w:t>
      </w:r>
      <w:r w:rsidR="009638D0">
        <w:rPr>
          <w:rFonts w:ascii="Verdana" w:hAnsi="Verdana"/>
          <w:sz w:val="20"/>
          <w:lang w:val="es-CR"/>
        </w:rPr>
        <w:t>lo</w:t>
      </w:r>
      <w:r w:rsidR="00935C82">
        <w:rPr>
          <w:rFonts w:ascii="Verdana" w:hAnsi="Verdana"/>
          <w:sz w:val="20"/>
          <w:lang w:val="es-CR"/>
        </w:rPr>
        <w:t xml:space="preserve"> que </w:t>
      </w:r>
      <w:r w:rsidR="009638D0">
        <w:rPr>
          <w:rFonts w:ascii="Verdana" w:hAnsi="Verdana"/>
          <w:sz w:val="20"/>
          <w:lang w:val="es-CR"/>
        </w:rPr>
        <w:t xml:space="preserve">le </w:t>
      </w:r>
      <w:r w:rsidR="00935C82">
        <w:rPr>
          <w:rFonts w:ascii="Verdana" w:hAnsi="Verdana"/>
          <w:sz w:val="20"/>
          <w:lang w:val="es-CR"/>
        </w:rPr>
        <w:t xml:space="preserve">impide evaluar adecuadamente </w:t>
      </w:r>
      <w:r w:rsidR="009638D0">
        <w:rPr>
          <w:rFonts w:ascii="Verdana" w:hAnsi="Verdana"/>
          <w:sz w:val="20"/>
          <w:lang w:val="es-CR"/>
        </w:rPr>
        <w:t xml:space="preserve">la petición del representante. </w:t>
      </w:r>
      <w:r w:rsidR="00784818">
        <w:rPr>
          <w:rFonts w:ascii="Verdana" w:hAnsi="Verdana"/>
          <w:sz w:val="20"/>
          <w:lang w:val="es-CR"/>
        </w:rPr>
        <w:t xml:space="preserve">Sin perjuicio de ello, la Corte entiende relevante manifestar que comparte las consideraciones de la Comisión en cuanto a que si personas que residían en Colombia volvieren al país, es pertinente que, de ser el caso, el Estado adopte las medidas </w:t>
      </w:r>
      <w:r w:rsidR="00F743DF">
        <w:rPr>
          <w:rFonts w:ascii="Verdana" w:hAnsi="Verdana"/>
          <w:sz w:val="20"/>
          <w:lang w:val="es-CR"/>
        </w:rPr>
        <w:t>correspondientes</w:t>
      </w:r>
      <w:r w:rsidR="00784818">
        <w:rPr>
          <w:rFonts w:ascii="Verdana" w:hAnsi="Verdana"/>
          <w:sz w:val="20"/>
          <w:lang w:val="es-CR"/>
        </w:rPr>
        <w:t xml:space="preserve"> para garantizar un retorno seguro (</w:t>
      </w:r>
      <w:r w:rsidR="00784818">
        <w:rPr>
          <w:rFonts w:ascii="Verdana" w:hAnsi="Verdana"/>
          <w:i/>
          <w:sz w:val="20"/>
          <w:lang w:val="es-CR"/>
        </w:rPr>
        <w:t>supra</w:t>
      </w:r>
      <w:r w:rsidR="00784818">
        <w:rPr>
          <w:rFonts w:ascii="Verdana" w:hAnsi="Verdana"/>
          <w:sz w:val="20"/>
          <w:lang w:val="es-CR"/>
        </w:rPr>
        <w:t xml:space="preserve"> Considerando 13). En ese sentido, este Tribunal toma nota de las manifestaciones estatales sobre la posibilidad de que, en su caso, el señor Gutiérrez Soler y sus familiares acudan a las “instancias nacionales competentes” (</w:t>
      </w:r>
      <w:r w:rsidR="00784818">
        <w:rPr>
          <w:rFonts w:ascii="Verdana" w:hAnsi="Verdana"/>
          <w:i/>
          <w:sz w:val="20"/>
          <w:lang w:val="es-CR"/>
        </w:rPr>
        <w:t>supra</w:t>
      </w:r>
      <w:r w:rsidR="00784818">
        <w:rPr>
          <w:rFonts w:ascii="Verdana" w:hAnsi="Verdana"/>
          <w:sz w:val="20"/>
          <w:lang w:val="es-CR"/>
        </w:rPr>
        <w:t xml:space="preserve"> Considerando 12). </w:t>
      </w:r>
    </w:p>
    <w:p w:rsidR="000E2E05" w:rsidRPr="000E2E05" w:rsidRDefault="000E2E05" w:rsidP="000E2E05">
      <w:pPr>
        <w:pStyle w:val="ListParagraph"/>
        <w:rPr>
          <w:i/>
          <w:sz w:val="20"/>
          <w:szCs w:val="20"/>
          <w:lang w:val="es-CR"/>
        </w:rPr>
      </w:pPr>
    </w:p>
    <w:p w:rsidR="000E2E05" w:rsidRPr="000E2E05" w:rsidRDefault="004073F4" w:rsidP="001C5B86">
      <w:pPr>
        <w:pStyle w:val="ListParagraph"/>
        <w:numPr>
          <w:ilvl w:val="0"/>
          <w:numId w:val="9"/>
        </w:numPr>
        <w:tabs>
          <w:tab w:val="left" w:pos="567"/>
        </w:tabs>
        <w:spacing w:after="0" w:line="240" w:lineRule="auto"/>
        <w:ind w:left="0" w:hanging="11"/>
        <w:jc w:val="both"/>
        <w:rPr>
          <w:rFonts w:ascii="Verdana" w:hAnsi="Verdana"/>
          <w:sz w:val="20"/>
          <w:szCs w:val="20"/>
          <w:lang w:val="es-CR"/>
        </w:rPr>
      </w:pPr>
      <w:r>
        <w:rPr>
          <w:rFonts w:ascii="Verdana" w:hAnsi="Verdana"/>
          <w:sz w:val="20"/>
          <w:szCs w:val="20"/>
          <w:lang w:val="es-CR"/>
        </w:rPr>
        <w:t xml:space="preserve">De acuerdo a </w:t>
      </w:r>
      <w:r w:rsidR="001C5B86" w:rsidRPr="000E2E05">
        <w:rPr>
          <w:rFonts w:ascii="Verdana" w:hAnsi="Verdana"/>
          <w:sz w:val="20"/>
          <w:szCs w:val="20"/>
          <w:lang w:val="es-CR"/>
        </w:rPr>
        <w:t>lo expuesto, la Corte encuentra improcedente la adopción de las medidas provisionales solicitadas en el presente caso.</w:t>
      </w:r>
    </w:p>
    <w:p w:rsidR="000E2E05" w:rsidRPr="000E2E05" w:rsidRDefault="000E2E05" w:rsidP="000E2E05">
      <w:pPr>
        <w:pStyle w:val="ListParagraph"/>
        <w:rPr>
          <w:rFonts w:ascii="Verdana" w:hAnsi="Verdana"/>
          <w:sz w:val="20"/>
          <w:szCs w:val="20"/>
          <w:lang w:val="es-CR"/>
        </w:rPr>
      </w:pPr>
    </w:p>
    <w:p w:rsidR="002F7DAD" w:rsidRPr="002D2FBE" w:rsidRDefault="001C5B86" w:rsidP="001C5B86">
      <w:pPr>
        <w:pStyle w:val="ListParagraph"/>
        <w:numPr>
          <w:ilvl w:val="0"/>
          <w:numId w:val="9"/>
        </w:numPr>
        <w:tabs>
          <w:tab w:val="left" w:pos="567"/>
        </w:tabs>
        <w:spacing w:after="0" w:line="240" w:lineRule="auto"/>
        <w:ind w:left="0" w:hanging="11"/>
        <w:jc w:val="both"/>
        <w:rPr>
          <w:rFonts w:ascii="Verdana" w:hAnsi="Verdana"/>
          <w:sz w:val="20"/>
          <w:szCs w:val="20"/>
          <w:lang w:val="es-CR"/>
        </w:rPr>
      </w:pPr>
      <w:r w:rsidRPr="000E2E05">
        <w:rPr>
          <w:rFonts w:ascii="Verdana" w:hAnsi="Verdana"/>
          <w:sz w:val="20"/>
          <w:szCs w:val="20"/>
          <w:lang w:val="es-CR"/>
        </w:rPr>
        <w:t>Sin perjuicio de lo anterior, se recuerda al Estado que el artículo 1.1 de la Convención Americana establece las obligaciones generales que tienen los Estados Parte de respetar los derechos y libertades en ella consagrados y de garantizar su libre y pleno ejercicio a toda persona que esté sujeta a su jurisdicción. Este deber se torna aún más evidente en relación con quienes estén vinculados a procesos ante los órganos de supervisión de la Convención</w:t>
      </w:r>
      <w:r w:rsidRPr="000E2E05">
        <w:rPr>
          <w:rFonts w:ascii="Verdana" w:hAnsi="Verdana"/>
          <w:sz w:val="20"/>
          <w:szCs w:val="20"/>
          <w:vertAlign w:val="superscript"/>
          <w:lang w:val="es-CR"/>
        </w:rPr>
        <w:footnoteReference w:id="27"/>
      </w:r>
      <w:r w:rsidRPr="000E2E05">
        <w:rPr>
          <w:rFonts w:ascii="Verdana" w:hAnsi="Verdana"/>
          <w:sz w:val="20"/>
          <w:szCs w:val="20"/>
          <w:lang w:val="es-CR"/>
        </w:rPr>
        <w:t xml:space="preserve">. Por ello, </w:t>
      </w:r>
      <w:r w:rsidR="000E2E05">
        <w:rPr>
          <w:rFonts w:ascii="Verdana" w:hAnsi="Verdana"/>
          <w:sz w:val="20"/>
          <w:szCs w:val="20"/>
          <w:lang w:val="es-CR"/>
        </w:rPr>
        <w:t xml:space="preserve">de ser el caso que el señor Gutiérrez Soler o sus familiares se encontraren sometidos a la jurisdicción estatal, Colombia </w:t>
      </w:r>
      <w:r w:rsidRPr="000E2E05">
        <w:rPr>
          <w:rFonts w:ascii="Verdana" w:hAnsi="Verdana"/>
          <w:sz w:val="20"/>
          <w:szCs w:val="20"/>
          <w:lang w:val="es-CR"/>
        </w:rPr>
        <w:t xml:space="preserve">se encuentra obligado a garantizar </w:t>
      </w:r>
      <w:r w:rsidR="000E2E05">
        <w:rPr>
          <w:rFonts w:ascii="Verdana" w:hAnsi="Verdana"/>
          <w:sz w:val="20"/>
          <w:szCs w:val="20"/>
          <w:lang w:val="es-CR"/>
        </w:rPr>
        <w:t>sus</w:t>
      </w:r>
      <w:r w:rsidR="008D503B">
        <w:rPr>
          <w:rFonts w:ascii="Verdana" w:hAnsi="Verdana"/>
          <w:sz w:val="20"/>
          <w:szCs w:val="20"/>
          <w:lang w:val="es-CR"/>
        </w:rPr>
        <w:t xml:space="preserve"> derechos</w:t>
      </w:r>
      <w:r w:rsidRPr="000E2E05">
        <w:rPr>
          <w:rFonts w:ascii="Verdana" w:hAnsi="Verdana"/>
          <w:sz w:val="20"/>
          <w:szCs w:val="20"/>
          <w:lang w:val="es-CR"/>
        </w:rPr>
        <w:t xml:space="preserve">, </w:t>
      </w:r>
      <w:r w:rsidR="008D503B">
        <w:rPr>
          <w:rFonts w:ascii="Verdana" w:hAnsi="Verdana"/>
          <w:sz w:val="20"/>
          <w:szCs w:val="20"/>
          <w:lang w:val="es-CR"/>
        </w:rPr>
        <w:t xml:space="preserve">en el modo que fuere procedente, </w:t>
      </w:r>
      <w:r w:rsidRPr="000E2E05">
        <w:rPr>
          <w:rFonts w:ascii="Verdana" w:hAnsi="Verdana"/>
          <w:sz w:val="20"/>
          <w:szCs w:val="20"/>
          <w:lang w:val="es-CR"/>
        </w:rPr>
        <w:t>a través de los mecanismos internos existentes para ello.</w:t>
      </w:r>
    </w:p>
    <w:p w:rsidR="002F7DAD" w:rsidRPr="001C5B86" w:rsidRDefault="002F7DAD" w:rsidP="001C5B86">
      <w:pPr>
        <w:tabs>
          <w:tab w:val="left" w:pos="567"/>
        </w:tabs>
        <w:spacing w:after="0" w:line="240" w:lineRule="auto"/>
        <w:jc w:val="both"/>
        <w:rPr>
          <w:rFonts w:ascii="Verdana" w:hAnsi="Verdana"/>
          <w:b/>
          <w:i/>
          <w:sz w:val="20"/>
          <w:lang w:val="es-CR"/>
        </w:rPr>
      </w:pPr>
    </w:p>
    <w:p w:rsidR="001C5B86" w:rsidRPr="000E2E05" w:rsidRDefault="001C5B86" w:rsidP="001C5B86">
      <w:pPr>
        <w:tabs>
          <w:tab w:val="left" w:pos="567"/>
        </w:tabs>
        <w:spacing w:after="0" w:line="240" w:lineRule="auto"/>
        <w:jc w:val="both"/>
        <w:rPr>
          <w:rFonts w:ascii="Verdana" w:hAnsi="Verdana"/>
          <w:b/>
          <w:sz w:val="20"/>
          <w:lang w:val="es-CR"/>
        </w:rPr>
      </w:pPr>
      <w:r w:rsidRPr="000E2E05">
        <w:rPr>
          <w:rFonts w:ascii="Verdana" w:hAnsi="Verdana"/>
          <w:b/>
          <w:sz w:val="20"/>
          <w:lang w:val="es-CR"/>
        </w:rPr>
        <w:t>POR TANTO:</w:t>
      </w:r>
    </w:p>
    <w:p w:rsidR="002F7DAD" w:rsidRPr="000E2E05" w:rsidRDefault="002F7DAD" w:rsidP="001C5B86">
      <w:pPr>
        <w:tabs>
          <w:tab w:val="left" w:pos="567"/>
        </w:tabs>
        <w:spacing w:after="0" w:line="240" w:lineRule="auto"/>
        <w:jc w:val="both"/>
        <w:rPr>
          <w:rFonts w:ascii="Verdana" w:hAnsi="Verdana"/>
          <w:b/>
          <w:sz w:val="20"/>
          <w:lang w:val="es-CR"/>
        </w:rPr>
      </w:pPr>
    </w:p>
    <w:p w:rsidR="001C5B86" w:rsidRPr="000E2E05" w:rsidRDefault="001C5B86" w:rsidP="001C5B86">
      <w:pPr>
        <w:tabs>
          <w:tab w:val="left" w:pos="567"/>
        </w:tabs>
        <w:spacing w:after="0" w:line="240" w:lineRule="auto"/>
        <w:jc w:val="both"/>
        <w:rPr>
          <w:rFonts w:ascii="Verdana" w:hAnsi="Verdana"/>
          <w:b/>
          <w:sz w:val="20"/>
          <w:lang w:val="es-CR"/>
        </w:rPr>
      </w:pPr>
      <w:r w:rsidRPr="000E2E05">
        <w:rPr>
          <w:rFonts w:ascii="Verdana" w:hAnsi="Verdana"/>
          <w:b/>
          <w:sz w:val="20"/>
          <w:lang w:val="es-CR"/>
        </w:rPr>
        <w:t>LA CORTE INTERAMERICANA DE DERECHOS HUMANOS,</w:t>
      </w:r>
    </w:p>
    <w:p w:rsidR="001C5B86" w:rsidRPr="000E2E05" w:rsidRDefault="001C5B86" w:rsidP="001C5B86">
      <w:pPr>
        <w:tabs>
          <w:tab w:val="left" w:pos="567"/>
        </w:tabs>
        <w:spacing w:after="0" w:line="240" w:lineRule="auto"/>
        <w:jc w:val="both"/>
        <w:rPr>
          <w:rFonts w:ascii="Verdana" w:hAnsi="Verdana"/>
          <w:b/>
          <w:sz w:val="20"/>
          <w:lang w:val="es-CR"/>
        </w:rPr>
      </w:pPr>
    </w:p>
    <w:p w:rsidR="002F7DAD" w:rsidRDefault="001C5B86" w:rsidP="001C5B86">
      <w:pPr>
        <w:spacing w:after="0" w:line="240" w:lineRule="auto"/>
        <w:jc w:val="both"/>
        <w:rPr>
          <w:rFonts w:ascii="Verdana" w:hAnsi="Verdana"/>
          <w:sz w:val="20"/>
          <w:lang w:val="es-CR"/>
        </w:rPr>
      </w:pPr>
      <w:r w:rsidRPr="000E2E05">
        <w:rPr>
          <w:rFonts w:ascii="Verdana" w:hAnsi="Verdana"/>
          <w:sz w:val="20"/>
          <w:lang w:val="es-CR"/>
        </w:rPr>
        <w:t>en uso de las atribuciones que le confieren el artículo 63.2 de la Convención Americana, y los artículos 27</w:t>
      </w:r>
      <w:r w:rsidR="00C31555">
        <w:rPr>
          <w:rFonts w:ascii="Verdana" w:hAnsi="Verdana"/>
          <w:sz w:val="20"/>
          <w:lang w:val="es-CR"/>
        </w:rPr>
        <w:t xml:space="preserve"> y </w:t>
      </w:r>
      <w:r w:rsidRPr="000E2E05">
        <w:rPr>
          <w:rFonts w:ascii="Verdana" w:hAnsi="Verdana"/>
          <w:sz w:val="20"/>
          <w:lang w:val="es-CR"/>
        </w:rPr>
        <w:t xml:space="preserve"> 31  del Reglamento,</w:t>
      </w:r>
    </w:p>
    <w:p w:rsidR="002F7DAD" w:rsidRPr="000E2E05" w:rsidRDefault="002F7DAD" w:rsidP="001C5B86">
      <w:pPr>
        <w:spacing w:after="0" w:line="240" w:lineRule="auto"/>
        <w:jc w:val="both"/>
        <w:rPr>
          <w:rFonts w:ascii="Verdana" w:hAnsi="Verdana"/>
          <w:sz w:val="20"/>
          <w:lang w:val="es-CR"/>
        </w:rPr>
      </w:pPr>
    </w:p>
    <w:p w:rsidR="001C5B86" w:rsidRPr="000E2E05" w:rsidRDefault="001C5B86" w:rsidP="001C5B86">
      <w:pPr>
        <w:tabs>
          <w:tab w:val="left" w:pos="567"/>
        </w:tabs>
        <w:spacing w:after="0" w:line="240" w:lineRule="auto"/>
        <w:jc w:val="both"/>
        <w:rPr>
          <w:rFonts w:ascii="Verdana" w:hAnsi="Verdana"/>
          <w:b/>
          <w:sz w:val="20"/>
          <w:lang w:val="es-CR"/>
        </w:rPr>
      </w:pPr>
      <w:r w:rsidRPr="000E2E05">
        <w:rPr>
          <w:rFonts w:ascii="Verdana" w:hAnsi="Verdana"/>
          <w:b/>
          <w:sz w:val="20"/>
          <w:lang w:val="es-CR"/>
        </w:rPr>
        <w:t>RESUELVE:</w:t>
      </w:r>
    </w:p>
    <w:p w:rsidR="001C5B86" w:rsidRDefault="001C5B86" w:rsidP="001C5B86">
      <w:pPr>
        <w:tabs>
          <w:tab w:val="left" w:pos="567"/>
        </w:tabs>
        <w:spacing w:after="0" w:line="240" w:lineRule="auto"/>
        <w:jc w:val="both"/>
        <w:rPr>
          <w:rFonts w:ascii="Verdana" w:hAnsi="Verdana"/>
          <w:b/>
          <w:sz w:val="20"/>
          <w:lang w:val="es-CR"/>
        </w:rPr>
      </w:pPr>
    </w:p>
    <w:p w:rsidR="002F7DAD" w:rsidRPr="000E2E05" w:rsidRDefault="002F7DAD" w:rsidP="001C5B86">
      <w:pPr>
        <w:tabs>
          <w:tab w:val="left" w:pos="567"/>
        </w:tabs>
        <w:spacing w:after="0" w:line="240" w:lineRule="auto"/>
        <w:jc w:val="both"/>
        <w:rPr>
          <w:rFonts w:ascii="Verdana" w:hAnsi="Verdana"/>
          <w:b/>
          <w:sz w:val="20"/>
          <w:lang w:val="es-CR"/>
        </w:rPr>
      </w:pPr>
    </w:p>
    <w:p w:rsidR="001C5B86" w:rsidRDefault="001C5B86" w:rsidP="001C5B86">
      <w:pPr>
        <w:pStyle w:val="Prrafodelista1"/>
        <w:numPr>
          <w:ilvl w:val="0"/>
          <w:numId w:val="3"/>
        </w:numPr>
        <w:tabs>
          <w:tab w:val="clear" w:pos="360"/>
          <w:tab w:val="num" w:pos="567"/>
        </w:tabs>
        <w:ind w:left="0" w:firstLine="0"/>
        <w:contextualSpacing w:val="0"/>
        <w:jc w:val="both"/>
        <w:rPr>
          <w:sz w:val="20"/>
          <w:lang w:val="es-CR"/>
        </w:rPr>
      </w:pPr>
      <w:r w:rsidRPr="000E2E05">
        <w:rPr>
          <w:sz w:val="20"/>
          <w:lang w:val="es-CR"/>
        </w:rPr>
        <w:t xml:space="preserve">Desestimar la solicitud de medidas provisionales </w:t>
      </w:r>
      <w:r w:rsidR="00945BB2">
        <w:rPr>
          <w:sz w:val="20"/>
          <w:lang w:val="es-CR"/>
        </w:rPr>
        <w:t>presentada</w:t>
      </w:r>
      <w:r w:rsidRPr="000E2E05">
        <w:rPr>
          <w:sz w:val="20"/>
          <w:lang w:val="es-CR"/>
        </w:rPr>
        <w:t xml:space="preserve"> por </w:t>
      </w:r>
      <w:r w:rsidR="000E2E05">
        <w:rPr>
          <w:sz w:val="20"/>
          <w:lang w:val="es-CR"/>
        </w:rPr>
        <w:t xml:space="preserve">el señor </w:t>
      </w:r>
      <w:r w:rsidR="00C31555">
        <w:rPr>
          <w:sz w:val="20"/>
          <w:lang w:val="es-CR"/>
        </w:rPr>
        <w:t xml:space="preserve">Ricardo </w:t>
      </w:r>
      <w:r w:rsidR="000E2E05">
        <w:rPr>
          <w:sz w:val="20"/>
          <w:lang w:val="es-CR"/>
        </w:rPr>
        <w:t>Gutiérrez Soler</w:t>
      </w:r>
      <w:r w:rsidRPr="000E2E05">
        <w:rPr>
          <w:sz w:val="20"/>
          <w:lang w:val="es-CR"/>
        </w:rPr>
        <w:t>.</w:t>
      </w:r>
    </w:p>
    <w:p w:rsidR="000E2E05" w:rsidRDefault="000E2E05" w:rsidP="000E2E05">
      <w:pPr>
        <w:pStyle w:val="Prrafodelista1"/>
        <w:contextualSpacing w:val="0"/>
        <w:jc w:val="both"/>
        <w:rPr>
          <w:sz w:val="20"/>
          <w:lang w:val="es-CR"/>
        </w:rPr>
      </w:pPr>
    </w:p>
    <w:p w:rsidR="000E2E05" w:rsidRPr="000E2E05" w:rsidRDefault="000E2E05" w:rsidP="001C5B86">
      <w:pPr>
        <w:pStyle w:val="Prrafodelista1"/>
        <w:numPr>
          <w:ilvl w:val="0"/>
          <w:numId w:val="3"/>
        </w:numPr>
        <w:tabs>
          <w:tab w:val="clear" w:pos="360"/>
          <w:tab w:val="num" w:pos="567"/>
        </w:tabs>
        <w:ind w:left="0" w:firstLine="0"/>
        <w:contextualSpacing w:val="0"/>
        <w:jc w:val="both"/>
        <w:rPr>
          <w:sz w:val="20"/>
          <w:lang w:val="es-CR"/>
        </w:rPr>
      </w:pPr>
      <w:r>
        <w:rPr>
          <w:sz w:val="20"/>
          <w:lang w:val="es-CR"/>
        </w:rPr>
        <w:t>Archivar el expediente</w:t>
      </w:r>
      <w:r w:rsidR="003F669E">
        <w:rPr>
          <w:sz w:val="20"/>
          <w:lang w:val="es-CR"/>
        </w:rPr>
        <w:t xml:space="preserve"> correspondiente a esta solicitud</w:t>
      </w:r>
      <w:r>
        <w:rPr>
          <w:sz w:val="20"/>
          <w:lang w:val="es-CR"/>
        </w:rPr>
        <w:t>.</w:t>
      </w:r>
    </w:p>
    <w:p w:rsidR="002F7DAD" w:rsidRPr="000E2E05" w:rsidRDefault="002F7DAD" w:rsidP="001C5B86">
      <w:pPr>
        <w:pStyle w:val="Prrafodelista1"/>
        <w:contextualSpacing w:val="0"/>
        <w:jc w:val="both"/>
        <w:rPr>
          <w:sz w:val="20"/>
          <w:lang w:val="es-CR"/>
        </w:rPr>
      </w:pPr>
    </w:p>
    <w:p w:rsidR="001C5B86" w:rsidRPr="000E2E05" w:rsidRDefault="001C5B86" w:rsidP="001C5B86">
      <w:pPr>
        <w:pStyle w:val="Prrafodelista1"/>
        <w:numPr>
          <w:ilvl w:val="0"/>
          <w:numId w:val="3"/>
        </w:numPr>
        <w:tabs>
          <w:tab w:val="clear" w:pos="360"/>
          <w:tab w:val="num" w:pos="567"/>
        </w:tabs>
        <w:ind w:left="0" w:firstLine="0"/>
        <w:contextualSpacing w:val="0"/>
        <w:jc w:val="both"/>
        <w:rPr>
          <w:sz w:val="20"/>
          <w:lang w:val="es-CR"/>
        </w:rPr>
      </w:pPr>
      <w:r w:rsidRPr="000E2E05">
        <w:rPr>
          <w:sz w:val="20"/>
          <w:lang w:val="es-CR"/>
        </w:rPr>
        <w:t>Requerir a la Secretaría de la Corte que notifique la presente Resolución a</w:t>
      </w:r>
      <w:r w:rsidR="006B75F8">
        <w:rPr>
          <w:sz w:val="20"/>
          <w:lang w:val="es-CR"/>
        </w:rPr>
        <w:t>l</w:t>
      </w:r>
      <w:r w:rsidR="00923011">
        <w:rPr>
          <w:sz w:val="20"/>
          <w:lang w:val="es-CR"/>
        </w:rPr>
        <w:t xml:space="preserve">  representante</w:t>
      </w:r>
      <w:r w:rsidRPr="000E2E05">
        <w:rPr>
          <w:sz w:val="20"/>
          <w:lang w:val="es-CR"/>
        </w:rPr>
        <w:t xml:space="preserve">, al Estado  de  </w:t>
      </w:r>
      <w:r w:rsidR="006B75F8">
        <w:rPr>
          <w:sz w:val="20"/>
          <w:lang w:val="es-CR"/>
        </w:rPr>
        <w:t xml:space="preserve">Colombia </w:t>
      </w:r>
      <w:r w:rsidRPr="000E2E05">
        <w:rPr>
          <w:sz w:val="20"/>
          <w:lang w:val="es-CR"/>
        </w:rPr>
        <w:t>y a la Comisión Interamericana de Derechos Humanos.</w:t>
      </w:r>
    </w:p>
    <w:p w:rsidR="001C5B86" w:rsidRPr="001C5B86" w:rsidRDefault="001C5B86" w:rsidP="001C5B86">
      <w:pPr>
        <w:tabs>
          <w:tab w:val="left" w:pos="567"/>
        </w:tabs>
        <w:spacing w:after="0" w:line="240" w:lineRule="auto"/>
        <w:jc w:val="both"/>
        <w:rPr>
          <w:rFonts w:ascii="Verdana" w:hAnsi="Verdana"/>
          <w:b/>
          <w:i/>
          <w:sz w:val="20"/>
          <w:lang w:val="es-CR"/>
        </w:rPr>
      </w:pPr>
    </w:p>
    <w:p w:rsidR="001C5B86" w:rsidRPr="001C5B86" w:rsidRDefault="001C5B86" w:rsidP="001C5B86">
      <w:pPr>
        <w:spacing w:after="0"/>
        <w:jc w:val="both"/>
        <w:rPr>
          <w:rFonts w:ascii="Verdana" w:hAnsi="Verdana"/>
          <w:i/>
          <w:sz w:val="20"/>
          <w:lang w:val="es-CR"/>
        </w:rPr>
      </w:pPr>
    </w:p>
    <w:p w:rsidR="001C5B86" w:rsidRDefault="001C5B86" w:rsidP="001C5B86">
      <w:pPr>
        <w:spacing w:after="0"/>
        <w:jc w:val="center"/>
        <w:rPr>
          <w:rFonts w:ascii="Verdana" w:hAnsi="Verdana"/>
          <w:i/>
          <w:sz w:val="20"/>
          <w:lang w:val="es-ES"/>
        </w:rPr>
      </w:pPr>
    </w:p>
    <w:p w:rsidR="008F6F51" w:rsidRDefault="008F6F51" w:rsidP="001C5B86">
      <w:pPr>
        <w:spacing w:after="0"/>
        <w:jc w:val="center"/>
        <w:rPr>
          <w:rFonts w:ascii="Verdana" w:hAnsi="Verdana"/>
          <w:i/>
          <w:sz w:val="20"/>
          <w:lang w:val="es-ES"/>
        </w:rPr>
      </w:pPr>
    </w:p>
    <w:p w:rsidR="008F6F51" w:rsidRDefault="008F6F51" w:rsidP="001C5B86">
      <w:pPr>
        <w:spacing w:after="0"/>
        <w:jc w:val="center"/>
        <w:rPr>
          <w:rFonts w:ascii="Verdana" w:hAnsi="Verdana"/>
          <w:i/>
          <w:sz w:val="20"/>
          <w:lang w:val="es-ES"/>
        </w:rPr>
      </w:pPr>
    </w:p>
    <w:p w:rsidR="008F6F51" w:rsidRDefault="008F6F51" w:rsidP="001C5B86">
      <w:pPr>
        <w:spacing w:after="0"/>
        <w:jc w:val="center"/>
        <w:rPr>
          <w:rFonts w:ascii="Verdana" w:hAnsi="Verdana"/>
          <w:i/>
          <w:sz w:val="20"/>
          <w:lang w:val="es-ES"/>
        </w:rPr>
      </w:pPr>
    </w:p>
    <w:p w:rsidR="008F6F51" w:rsidRDefault="008F6F51" w:rsidP="001C5B86">
      <w:pPr>
        <w:spacing w:after="0"/>
        <w:jc w:val="center"/>
        <w:rPr>
          <w:rFonts w:ascii="Verdana" w:hAnsi="Verdana"/>
          <w:i/>
          <w:sz w:val="20"/>
          <w:lang w:val="es-ES"/>
        </w:rPr>
      </w:pPr>
    </w:p>
    <w:p w:rsidR="00DA27FA" w:rsidRDefault="00DA27FA" w:rsidP="004A4401">
      <w:pPr>
        <w:spacing w:after="0"/>
        <w:jc w:val="both"/>
        <w:rPr>
          <w:rFonts w:ascii="Verdana" w:hAnsi="Verdana"/>
          <w:i/>
          <w:sz w:val="20"/>
          <w:lang w:val="es-ES"/>
        </w:rPr>
      </w:pPr>
    </w:p>
    <w:p w:rsidR="00DA27FA" w:rsidRDefault="00DA27FA" w:rsidP="004A4401">
      <w:pPr>
        <w:spacing w:after="0"/>
        <w:jc w:val="both"/>
        <w:rPr>
          <w:rFonts w:ascii="Verdana" w:hAnsi="Verdana"/>
          <w:i/>
          <w:sz w:val="20"/>
          <w:lang w:val="es-ES"/>
        </w:rPr>
      </w:pPr>
    </w:p>
    <w:p w:rsidR="00DA27FA" w:rsidRDefault="00DA27FA" w:rsidP="004A4401">
      <w:pPr>
        <w:spacing w:after="0"/>
        <w:jc w:val="both"/>
        <w:rPr>
          <w:rFonts w:ascii="Verdana" w:hAnsi="Verdana"/>
          <w:i/>
          <w:sz w:val="20"/>
          <w:lang w:val="es-ES"/>
        </w:rPr>
      </w:pPr>
    </w:p>
    <w:p w:rsidR="00DA27FA" w:rsidRDefault="00DA27FA" w:rsidP="004A4401">
      <w:pPr>
        <w:spacing w:after="0"/>
        <w:jc w:val="both"/>
        <w:rPr>
          <w:rFonts w:ascii="Verdana" w:hAnsi="Verdana"/>
          <w:i/>
          <w:sz w:val="20"/>
          <w:lang w:val="es-ES"/>
        </w:rPr>
      </w:pPr>
    </w:p>
    <w:p w:rsidR="008F6F51" w:rsidRPr="004A4401" w:rsidRDefault="004A4401" w:rsidP="004A4401">
      <w:pPr>
        <w:spacing w:after="0"/>
        <w:jc w:val="both"/>
        <w:rPr>
          <w:rFonts w:ascii="Verdana" w:hAnsi="Verdana"/>
          <w:sz w:val="20"/>
          <w:lang w:val="es-ES"/>
        </w:rPr>
      </w:pPr>
      <w:r w:rsidRPr="004A4401">
        <w:rPr>
          <w:rFonts w:ascii="Verdana" w:hAnsi="Verdana"/>
          <w:i/>
          <w:sz w:val="20"/>
          <w:lang w:val="es-ES"/>
        </w:rPr>
        <w:t xml:space="preserve"> </w:t>
      </w:r>
      <w:r w:rsidR="006013E5">
        <w:rPr>
          <w:rFonts w:ascii="Verdana" w:hAnsi="Verdana"/>
          <w:sz w:val="20"/>
          <w:lang w:val="es-ES"/>
        </w:rPr>
        <w:t xml:space="preserve">Corte IDH. </w:t>
      </w:r>
      <w:r w:rsidRPr="004A4401">
        <w:rPr>
          <w:rFonts w:ascii="Verdana" w:hAnsi="Verdana"/>
          <w:i/>
          <w:sz w:val="20"/>
          <w:lang w:val="es-ES"/>
        </w:rPr>
        <w:t xml:space="preserve">Caso </w:t>
      </w:r>
      <w:r>
        <w:rPr>
          <w:rFonts w:ascii="Verdana" w:hAnsi="Verdana"/>
          <w:i/>
          <w:sz w:val="20"/>
          <w:lang w:val="es-ES"/>
        </w:rPr>
        <w:t>Gutiérrez Soler y otros Vs. Colombia</w:t>
      </w:r>
      <w:r w:rsidRPr="004A4401">
        <w:rPr>
          <w:rFonts w:ascii="Verdana" w:hAnsi="Verdana"/>
          <w:i/>
          <w:sz w:val="20"/>
          <w:lang w:val="es-ES"/>
        </w:rPr>
        <w:t xml:space="preserve">. </w:t>
      </w:r>
      <w:r w:rsidR="005B0E3A" w:rsidRPr="005B0E3A">
        <w:rPr>
          <w:rFonts w:ascii="Verdana" w:hAnsi="Verdana"/>
          <w:sz w:val="20"/>
          <w:lang w:val="es-ES"/>
        </w:rPr>
        <w:t xml:space="preserve">Rechazo de la </w:t>
      </w:r>
      <w:r w:rsidRPr="004A4401">
        <w:rPr>
          <w:rFonts w:ascii="Verdana" w:hAnsi="Verdana"/>
          <w:sz w:val="20"/>
          <w:lang w:val="es-ES"/>
        </w:rPr>
        <w:t>Solicitud de Medidas</w:t>
      </w:r>
      <w:r>
        <w:rPr>
          <w:rFonts w:ascii="Verdana" w:hAnsi="Verdana"/>
          <w:sz w:val="20"/>
          <w:lang w:val="es-ES"/>
        </w:rPr>
        <w:t xml:space="preserve"> Provisionales. Resolución de </w:t>
      </w:r>
      <w:r w:rsidR="005B0E3A">
        <w:rPr>
          <w:rFonts w:ascii="Verdana" w:hAnsi="Verdana"/>
          <w:sz w:val="20"/>
          <w:lang w:val="es-ES"/>
        </w:rPr>
        <w:t xml:space="preserve">la Corte Interamericana de Derechos Humanos de </w:t>
      </w:r>
      <w:r w:rsidR="006B75F8">
        <w:rPr>
          <w:rFonts w:ascii="Verdana" w:hAnsi="Verdana"/>
          <w:sz w:val="20"/>
          <w:lang w:val="es-ES"/>
        </w:rPr>
        <w:t>22</w:t>
      </w:r>
      <w:r w:rsidRPr="004A4401">
        <w:rPr>
          <w:rFonts w:ascii="Verdana" w:hAnsi="Verdana"/>
          <w:sz w:val="20"/>
          <w:lang w:val="es-ES"/>
        </w:rPr>
        <w:t xml:space="preserve"> de </w:t>
      </w:r>
      <w:r w:rsidR="006B75F8">
        <w:rPr>
          <w:rFonts w:ascii="Verdana" w:hAnsi="Verdana"/>
          <w:sz w:val="20"/>
          <w:lang w:val="es-ES"/>
        </w:rPr>
        <w:t>agosto</w:t>
      </w:r>
      <w:r w:rsidR="00923011">
        <w:rPr>
          <w:rFonts w:ascii="Verdana" w:hAnsi="Verdana"/>
          <w:sz w:val="20"/>
          <w:lang w:val="es-ES"/>
        </w:rPr>
        <w:t xml:space="preserve"> </w:t>
      </w:r>
      <w:r w:rsidRPr="004A4401">
        <w:rPr>
          <w:rFonts w:ascii="Verdana" w:hAnsi="Verdana"/>
          <w:sz w:val="20"/>
          <w:lang w:val="es-ES"/>
        </w:rPr>
        <w:t>de 2017.</w:t>
      </w:r>
    </w:p>
    <w:p w:rsidR="008F6F51" w:rsidRDefault="008F6F51" w:rsidP="001C5B86">
      <w:pPr>
        <w:spacing w:after="0"/>
        <w:jc w:val="center"/>
        <w:rPr>
          <w:rFonts w:ascii="Verdana" w:hAnsi="Verdana"/>
          <w:i/>
          <w:sz w:val="20"/>
          <w:lang w:val="es-ES"/>
        </w:rPr>
      </w:pPr>
    </w:p>
    <w:p w:rsidR="004A4401" w:rsidRDefault="004A4401" w:rsidP="001C5B86">
      <w:pPr>
        <w:spacing w:after="0"/>
        <w:jc w:val="center"/>
        <w:rPr>
          <w:rFonts w:ascii="Verdana" w:hAnsi="Verdana"/>
          <w:i/>
          <w:sz w:val="20"/>
          <w:lang w:val="es-ES"/>
        </w:rPr>
      </w:pPr>
    </w:p>
    <w:p w:rsidR="002F7DAD" w:rsidRDefault="002F7DAD" w:rsidP="001C5B86">
      <w:pPr>
        <w:spacing w:after="0"/>
        <w:jc w:val="center"/>
        <w:rPr>
          <w:rFonts w:ascii="Verdana" w:hAnsi="Verdana"/>
          <w:i/>
          <w:sz w:val="20"/>
          <w:lang w:val="es-ES"/>
        </w:rPr>
      </w:pPr>
    </w:p>
    <w:p w:rsidR="004A4401" w:rsidRDefault="004A4401" w:rsidP="001C5B86">
      <w:pPr>
        <w:spacing w:after="0"/>
        <w:jc w:val="center"/>
        <w:rPr>
          <w:rFonts w:ascii="Verdana" w:hAnsi="Verdana"/>
          <w:i/>
          <w:sz w:val="20"/>
          <w:lang w:val="es-ES"/>
        </w:rPr>
      </w:pPr>
    </w:p>
    <w:p w:rsidR="008F6F51" w:rsidRPr="001C5B86" w:rsidRDefault="00923011" w:rsidP="001C5B86">
      <w:pPr>
        <w:spacing w:after="0"/>
        <w:jc w:val="center"/>
        <w:rPr>
          <w:rFonts w:ascii="Verdana" w:hAnsi="Verdana"/>
          <w:i/>
          <w:sz w:val="20"/>
          <w:lang w:val="es-ES"/>
        </w:rPr>
      </w:pPr>
      <w:r w:rsidRPr="000E2E05">
        <w:rPr>
          <w:rFonts w:ascii="Verdana" w:hAnsi="Verdana"/>
          <w:sz w:val="20"/>
          <w:lang w:val="es-ES"/>
        </w:rPr>
        <w:t>Eduardo Ferrer Mac-Gregor Poisot</w:t>
      </w:r>
      <w:r w:rsidRPr="000E2E05">
        <w:rPr>
          <w:rFonts w:ascii="Verdana" w:hAnsi="Verdana"/>
          <w:sz w:val="20"/>
          <w:lang w:val="es-ES"/>
        </w:rPr>
        <w:tab/>
      </w:r>
    </w:p>
    <w:p w:rsidR="001C5B86" w:rsidRPr="00923011" w:rsidRDefault="00923011" w:rsidP="001C5B86">
      <w:pPr>
        <w:spacing w:after="0"/>
        <w:jc w:val="both"/>
        <w:rPr>
          <w:rFonts w:ascii="Verdana" w:hAnsi="Verdana"/>
          <w:sz w:val="20"/>
          <w:lang w:val="es-ES"/>
        </w:rPr>
      </w:pPr>
      <w:r>
        <w:rPr>
          <w:rFonts w:ascii="Verdana" w:hAnsi="Verdana"/>
          <w:i/>
          <w:sz w:val="20"/>
          <w:lang w:val="es-ES"/>
        </w:rPr>
        <w:tab/>
      </w:r>
      <w:r>
        <w:rPr>
          <w:rFonts w:ascii="Verdana" w:hAnsi="Verdana"/>
          <w:i/>
          <w:sz w:val="20"/>
          <w:lang w:val="es-ES"/>
        </w:rPr>
        <w:tab/>
      </w:r>
      <w:r>
        <w:rPr>
          <w:rFonts w:ascii="Verdana" w:hAnsi="Verdana"/>
          <w:i/>
          <w:sz w:val="20"/>
          <w:lang w:val="es-ES"/>
        </w:rPr>
        <w:tab/>
      </w:r>
      <w:r>
        <w:rPr>
          <w:rFonts w:ascii="Verdana" w:hAnsi="Verdana"/>
          <w:i/>
          <w:sz w:val="20"/>
          <w:lang w:val="es-ES"/>
        </w:rPr>
        <w:tab/>
      </w:r>
      <w:r>
        <w:rPr>
          <w:rFonts w:ascii="Verdana" w:hAnsi="Verdana"/>
          <w:i/>
          <w:sz w:val="20"/>
          <w:lang w:val="es-ES"/>
        </w:rPr>
        <w:tab/>
        <w:t xml:space="preserve"> </w:t>
      </w:r>
      <w:r w:rsidRPr="00923011">
        <w:rPr>
          <w:rFonts w:ascii="Verdana" w:hAnsi="Verdana"/>
          <w:sz w:val="20"/>
          <w:lang w:val="es-ES"/>
        </w:rPr>
        <w:t>Presidente en ejercicio</w:t>
      </w:r>
    </w:p>
    <w:p w:rsidR="000E2E05" w:rsidRPr="000E2E05" w:rsidRDefault="000E2E05" w:rsidP="001C5B86">
      <w:pPr>
        <w:spacing w:after="0"/>
        <w:jc w:val="both"/>
        <w:rPr>
          <w:rFonts w:ascii="Verdana" w:hAnsi="Verdana"/>
          <w:sz w:val="20"/>
          <w:lang w:val="es-ES"/>
        </w:rPr>
      </w:pPr>
    </w:p>
    <w:p w:rsidR="00923011" w:rsidRDefault="00923011" w:rsidP="001C5B86">
      <w:pPr>
        <w:spacing w:after="0"/>
        <w:jc w:val="both"/>
        <w:rPr>
          <w:rFonts w:ascii="Verdana" w:hAnsi="Verdana"/>
          <w:sz w:val="20"/>
          <w:lang w:val="es-ES"/>
        </w:rPr>
      </w:pPr>
    </w:p>
    <w:p w:rsidR="00923011" w:rsidRDefault="001C5B86" w:rsidP="000E2E05">
      <w:pPr>
        <w:spacing w:after="0"/>
        <w:jc w:val="both"/>
        <w:rPr>
          <w:rFonts w:ascii="Verdana" w:hAnsi="Verdana"/>
          <w:sz w:val="20"/>
          <w:lang w:val="es-ES"/>
        </w:rPr>
      </w:pPr>
      <w:r w:rsidRPr="000E2E05">
        <w:rPr>
          <w:rFonts w:ascii="Verdana" w:hAnsi="Verdana"/>
          <w:sz w:val="20"/>
          <w:lang w:val="es-ES"/>
        </w:rPr>
        <w:t xml:space="preserve">  Eduardo Vio Grossi</w:t>
      </w:r>
      <w:r w:rsidR="00923011">
        <w:rPr>
          <w:rFonts w:ascii="Verdana" w:hAnsi="Verdana"/>
          <w:sz w:val="20"/>
          <w:lang w:val="es-ES"/>
        </w:rPr>
        <w:tab/>
      </w:r>
      <w:r w:rsidR="00923011">
        <w:rPr>
          <w:rFonts w:ascii="Verdana" w:hAnsi="Verdana"/>
          <w:sz w:val="20"/>
          <w:lang w:val="es-ES"/>
        </w:rPr>
        <w:tab/>
      </w:r>
      <w:r w:rsidR="00923011">
        <w:rPr>
          <w:rFonts w:ascii="Verdana" w:hAnsi="Verdana"/>
          <w:sz w:val="20"/>
          <w:lang w:val="es-ES"/>
        </w:rPr>
        <w:tab/>
      </w:r>
      <w:r w:rsidR="00923011">
        <w:rPr>
          <w:rFonts w:ascii="Verdana" w:hAnsi="Verdana"/>
          <w:sz w:val="20"/>
          <w:lang w:val="es-ES"/>
        </w:rPr>
        <w:tab/>
      </w:r>
      <w:r w:rsidR="00923011">
        <w:rPr>
          <w:rFonts w:ascii="Verdana" w:hAnsi="Verdana"/>
          <w:sz w:val="20"/>
          <w:lang w:val="es-ES"/>
        </w:rPr>
        <w:tab/>
      </w:r>
      <w:r w:rsidR="00923011">
        <w:rPr>
          <w:rFonts w:ascii="Verdana" w:hAnsi="Verdana"/>
          <w:sz w:val="20"/>
          <w:lang w:val="es-ES"/>
        </w:rPr>
        <w:tab/>
      </w:r>
      <w:r w:rsidR="00923011">
        <w:rPr>
          <w:rFonts w:ascii="Verdana" w:hAnsi="Verdana"/>
          <w:sz w:val="20"/>
          <w:lang w:val="es-ES"/>
        </w:rPr>
        <w:tab/>
      </w:r>
      <w:r w:rsidR="00923011">
        <w:rPr>
          <w:rFonts w:ascii="Verdana" w:hAnsi="Verdana"/>
          <w:sz w:val="20"/>
          <w:lang w:val="es-ES"/>
        </w:rPr>
        <w:tab/>
      </w:r>
      <w:r w:rsidRPr="000E2E05">
        <w:rPr>
          <w:rFonts w:ascii="Verdana" w:hAnsi="Verdana"/>
          <w:sz w:val="20"/>
          <w:lang w:val="es-ES"/>
        </w:rPr>
        <w:t xml:space="preserve">Elizabeth Odio Benito </w:t>
      </w:r>
      <w:r w:rsidR="000E2E05" w:rsidRPr="000E2E05">
        <w:rPr>
          <w:rFonts w:ascii="Verdana" w:hAnsi="Verdana"/>
          <w:sz w:val="20"/>
          <w:lang w:val="es-ES"/>
        </w:rPr>
        <w:t xml:space="preserve">  </w:t>
      </w:r>
      <w:r w:rsidR="000E2E05" w:rsidRPr="000E2E05">
        <w:rPr>
          <w:rFonts w:ascii="Verdana" w:hAnsi="Verdana"/>
          <w:sz w:val="20"/>
          <w:lang w:val="es-ES"/>
        </w:rPr>
        <w:tab/>
      </w:r>
      <w:r w:rsidR="000E2E05" w:rsidRPr="000E2E05">
        <w:rPr>
          <w:rFonts w:ascii="Verdana" w:hAnsi="Verdana"/>
          <w:sz w:val="20"/>
          <w:lang w:val="es-ES"/>
        </w:rPr>
        <w:tab/>
      </w:r>
      <w:r w:rsidR="000E2E05" w:rsidRPr="000E2E05">
        <w:rPr>
          <w:rFonts w:ascii="Verdana" w:hAnsi="Verdana"/>
          <w:sz w:val="20"/>
          <w:lang w:val="es-ES"/>
        </w:rPr>
        <w:tab/>
      </w:r>
      <w:r w:rsidR="000E2E05" w:rsidRPr="000E2E05">
        <w:rPr>
          <w:rFonts w:ascii="Verdana" w:hAnsi="Verdana"/>
          <w:sz w:val="20"/>
          <w:lang w:val="es-ES"/>
        </w:rPr>
        <w:tab/>
      </w:r>
      <w:r w:rsidR="000E2E05" w:rsidRPr="000E2E05">
        <w:rPr>
          <w:rFonts w:ascii="Verdana" w:hAnsi="Verdana"/>
          <w:sz w:val="20"/>
          <w:lang w:val="es-ES"/>
        </w:rPr>
        <w:tab/>
      </w:r>
      <w:r w:rsidR="000E2E05" w:rsidRPr="000E2E05">
        <w:rPr>
          <w:rFonts w:ascii="Verdana" w:hAnsi="Verdana"/>
          <w:sz w:val="20"/>
          <w:lang w:val="es-ES"/>
        </w:rPr>
        <w:tab/>
      </w:r>
      <w:r w:rsidR="000E2E05" w:rsidRPr="000E2E05">
        <w:rPr>
          <w:rFonts w:ascii="Verdana" w:hAnsi="Verdana"/>
          <w:sz w:val="20"/>
          <w:lang w:val="es-ES"/>
        </w:rPr>
        <w:tab/>
      </w:r>
      <w:r w:rsidR="000E2E05" w:rsidRPr="000E2E05">
        <w:rPr>
          <w:rFonts w:ascii="Verdana" w:hAnsi="Verdana"/>
          <w:sz w:val="20"/>
          <w:lang w:val="es-ES"/>
        </w:rPr>
        <w:tab/>
      </w:r>
    </w:p>
    <w:p w:rsidR="00923011" w:rsidRDefault="00923011" w:rsidP="000E2E05">
      <w:pPr>
        <w:spacing w:after="0"/>
        <w:jc w:val="both"/>
        <w:rPr>
          <w:rFonts w:ascii="Verdana" w:hAnsi="Verdana"/>
          <w:sz w:val="20"/>
          <w:lang w:val="es-ES"/>
        </w:rPr>
      </w:pPr>
    </w:p>
    <w:p w:rsidR="00923011" w:rsidRDefault="00923011" w:rsidP="000E2E05">
      <w:pPr>
        <w:spacing w:after="0"/>
        <w:jc w:val="both"/>
        <w:rPr>
          <w:rFonts w:ascii="Verdana" w:hAnsi="Verdana"/>
          <w:sz w:val="20"/>
          <w:lang w:val="es-ES"/>
        </w:rPr>
      </w:pPr>
    </w:p>
    <w:p w:rsidR="001C5B86" w:rsidRPr="000E2E05" w:rsidRDefault="001C5B86" w:rsidP="000E2E05">
      <w:pPr>
        <w:spacing w:after="0"/>
        <w:jc w:val="both"/>
        <w:rPr>
          <w:rFonts w:ascii="Verdana" w:hAnsi="Verdana"/>
          <w:sz w:val="20"/>
          <w:lang w:val="es-ES"/>
        </w:rPr>
      </w:pPr>
      <w:r w:rsidRPr="000E2E05">
        <w:rPr>
          <w:rFonts w:ascii="Verdana" w:hAnsi="Verdana"/>
          <w:sz w:val="20"/>
          <w:lang w:val="es-ES"/>
        </w:rPr>
        <w:t xml:space="preserve">Eugenio Raúl Zaffaroni </w:t>
      </w:r>
      <w:r w:rsidRPr="000E2E05">
        <w:rPr>
          <w:rFonts w:ascii="Verdana" w:hAnsi="Verdana"/>
          <w:sz w:val="20"/>
          <w:lang w:val="es-ES"/>
        </w:rPr>
        <w:tab/>
      </w:r>
      <w:r w:rsidR="00923011">
        <w:rPr>
          <w:rFonts w:ascii="Verdana" w:hAnsi="Verdana"/>
          <w:sz w:val="20"/>
          <w:lang w:val="es-ES"/>
        </w:rPr>
        <w:tab/>
      </w:r>
      <w:r w:rsidR="00923011">
        <w:rPr>
          <w:rFonts w:ascii="Verdana" w:hAnsi="Verdana"/>
          <w:sz w:val="20"/>
          <w:lang w:val="es-ES"/>
        </w:rPr>
        <w:tab/>
      </w:r>
      <w:r w:rsidR="00923011">
        <w:rPr>
          <w:rFonts w:ascii="Verdana" w:hAnsi="Verdana"/>
          <w:sz w:val="20"/>
          <w:lang w:val="es-ES"/>
        </w:rPr>
        <w:tab/>
      </w:r>
      <w:r w:rsidR="00923011">
        <w:rPr>
          <w:rFonts w:ascii="Verdana" w:hAnsi="Verdana"/>
          <w:sz w:val="20"/>
          <w:lang w:val="es-ES"/>
        </w:rPr>
        <w:tab/>
      </w:r>
      <w:r w:rsidR="00923011">
        <w:rPr>
          <w:rFonts w:ascii="Verdana" w:hAnsi="Verdana"/>
          <w:sz w:val="20"/>
          <w:lang w:val="es-ES"/>
        </w:rPr>
        <w:tab/>
      </w:r>
      <w:r w:rsidR="00923011">
        <w:rPr>
          <w:rFonts w:ascii="Verdana" w:hAnsi="Verdana"/>
          <w:sz w:val="20"/>
          <w:lang w:val="es-ES"/>
        </w:rPr>
        <w:tab/>
      </w:r>
      <w:r w:rsidRPr="000E2E05">
        <w:rPr>
          <w:rFonts w:ascii="Verdana" w:hAnsi="Verdana"/>
          <w:sz w:val="20"/>
          <w:lang w:val="es-ES"/>
        </w:rPr>
        <w:t xml:space="preserve"> L. Patricio Pazmiño Freire</w:t>
      </w:r>
    </w:p>
    <w:p w:rsidR="001C5B86" w:rsidRPr="000E2E05" w:rsidRDefault="001C5B86" w:rsidP="001C5B86">
      <w:pPr>
        <w:spacing w:after="0"/>
        <w:jc w:val="both"/>
        <w:rPr>
          <w:rFonts w:ascii="Verdana" w:hAnsi="Verdana"/>
          <w:sz w:val="20"/>
          <w:lang w:val="es-ES"/>
        </w:rPr>
      </w:pPr>
    </w:p>
    <w:p w:rsidR="001C5B86" w:rsidRPr="000E2E05" w:rsidRDefault="001C5B86" w:rsidP="001C5B86">
      <w:pPr>
        <w:spacing w:after="0"/>
        <w:jc w:val="both"/>
        <w:rPr>
          <w:rFonts w:ascii="Verdana" w:hAnsi="Verdana"/>
          <w:sz w:val="20"/>
          <w:lang w:val="es-CR"/>
        </w:rPr>
      </w:pPr>
    </w:p>
    <w:p w:rsidR="001C5B86" w:rsidRDefault="001C5B86" w:rsidP="001C5B86">
      <w:pPr>
        <w:spacing w:after="0"/>
        <w:jc w:val="both"/>
        <w:rPr>
          <w:rFonts w:ascii="Verdana" w:hAnsi="Verdana"/>
          <w:sz w:val="20"/>
          <w:lang w:val="es-ES"/>
        </w:rPr>
      </w:pPr>
    </w:p>
    <w:p w:rsidR="002F7DAD" w:rsidRDefault="002F7DAD" w:rsidP="001C5B86">
      <w:pPr>
        <w:spacing w:after="0"/>
        <w:jc w:val="both"/>
        <w:rPr>
          <w:rFonts w:ascii="Verdana" w:hAnsi="Verdana"/>
          <w:sz w:val="20"/>
          <w:lang w:val="es-ES"/>
        </w:rPr>
      </w:pPr>
    </w:p>
    <w:p w:rsidR="004A4401" w:rsidRPr="000E2E05" w:rsidRDefault="004A4401" w:rsidP="001C5B86">
      <w:pPr>
        <w:spacing w:after="0"/>
        <w:jc w:val="both"/>
        <w:rPr>
          <w:rFonts w:ascii="Verdana" w:hAnsi="Verdana"/>
          <w:sz w:val="20"/>
          <w:lang w:val="es-ES"/>
        </w:rPr>
      </w:pPr>
    </w:p>
    <w:p w:rsidR="001C5B86" w:rsidRPr="000E2E05" w:rsidRDefault="001C5B86" w:rsidP="001C5B86">
      <w:pPr>
        <w:spacing w:after="0"/>
        <w:jc w:val="center"/>
        <w:rPr>
          <w:rFonts w:ascii="Verdana" w:hAnsi="Verdana"/>
          <w:sz w:val="20"/>
          <w:lang w:val="es-ES"/>
        </w:rPr>
      </w:pPr>
      <w:r w:rsidRPr="000E2E05">
        <w:rPr>
          <w:rFonts w:ascii="Verdana" w:hAnsi="Verdana"/>
          <w:sz w:val="20"/>
          <w:lang w:val="es-ES"/>
        </w:rPr>
        <w:t>Pablo Saavedra Alessandri</w:t>
      </w:r>
    </w:p>
    <w:p w:rsidR="001C5B86" w:rsidRPr="000E2E05" w:rsidRDefault="001C5B86" w:rsidP="001C5B86">
      <w:pPr>
        <w:spacing w:after="0"/>
        <w:jc w:val="center"/>
        <w:rPr>
          <w:rFonts w:ascii="Verdana" w:hAnsi="Verdana"/>
          <w:sz w:val="20"/>
          <w:lang w:val="es-ES"/>
        </w:rPr>
      </w:pPr>
      <w:r w:rsidRPr="000E2E05">
        <w:rPr>
          <w:rFonts w:ascii="Verdana" w:hAnsi="Verdana"/>
          <w:sz w:val="20"/>
          <w:lang w:val="es-ES"/>
        </w:rPr>
        <w:t>Secretario</w:t>
      </w:r>
    </w:p>
    <w:p w:rsidR="001C5B86" w:rsidRDefault="001C5B86" w:rsidP="001C5B86">
      <w:pPr>
        <w:pStyle w:val="FootnoteText"/>
        <w:rPr>
          <w:rFonts w:ascii="Verdana" w:hAnsi="Verdana"/>
          <w:lang w:val="es-ES"/>
        </w:rPr>
      </w:pPr>
    </w:p>
    <w:p w:rsidR="004A4401" w:rsidRDefault="004A4401" w:rsidP="001C5B86">
      <w:pPr>
        <w:pStyle w:val="FootnoteText"/>
        <w:rPr>
          <w:rFonts w:ascii="Verdana" w:hAnsi="Verdana"/>
          <w:lang w:val="es-ES"/>
        </w:rPr>
      </w:pPr>
    </w:p>
    <w:p w:rsidR="004A4401" w:rsidRPr="000E2E05" w:rsidRDefault="004A4401" w:rsidP="001C5B86">
      <w:pPr>
        <w:pStyle w:val="FootnoteText"/>
        <w:rPr>
          <w:rFonts w:ascii="Verdana" w:hAnsi="Verdana"/>
          <w:lang w:val="es-ES"/>
        </w:rPr>
      </w:pPr>
    </w:p>
    <w:p w:rsidR="001C5B86" w:rsidRPr="000E2E05" w:rsidRDefault="001C5B86" w:rsidP="001C5B86">
      <w:pPr>
        <w:pStyle w:val="FootnoteText"/>
        <w:rPr>
          <w:rFonts w:ascii="Verdana" w:hAnsi="Verdana"/>
          <w:lang w:val="es-ES"/>
        </w:rPr>
      </w:pPr>
    </w:p>
    <w:p w:rsidR="001C5B86" w:rsidRPr="000E2E05" w:rsidRDefault="001C5B86" w:rsidP="001C5B86">
      <w:pPr>
        <w:pStyle w:val="FootnoteText"/>
        <w:rPr>
          <w:rFonts w:ascii="Verdana" w:hAnsi="Verdana"/>
          <w:lang w:val="es-ES"/>
        </w:rPr>
      </w:pPr>
    </w:p>
    <w:p w:rsidR="001C5B86" w:rsidRPr="000E2E05" w:rsidRDefault="001C5B86" w:rsidP="001C5B86">
      <w:pPr>
        <w:spacing w:after="0"/>
        <w:jc w:val="both"/>
        <w:rPr>
          <w:rFonts w:ascii="Verdana" w:hAnsi="Verdana"/>
          <w:sz w:val="20"/>
          <w:lang w:val="es-ES"/>
        </w:rPr>
      </w:pPr>
      <w:r w:rsidRPr="000E2E05">
        <w:rPr>
          <w:rFonts w:ascii="Verdana" w:hAnsi="Verdana"/>
          <w:sz w:val="20"/>
          <w:lang w:val="es-ES"/>
        </w:rPr>
        <w:t>Comuníquese y ejecútese,</w:t>
      </w:r>
    </w:p>
    <w:p w:rsidR="001C5B86" w:rsidRPr="000E2E05" w:rsidRDefault="001C5B86" w:rsidP="001C5B86">
      <w:pPr>
        <w:spacing w:after="0"/>
        <w:jc w:val="both"/>
        <w:rPr>
          <w:rFonts w:ascii="Verdana" w:hAnsi="Verdana"/>
          <w:sz w:val="20"/>
          <w:lang w:val="es-ES"/>
        </w:rPr>
      </w:pPr>
    </w:p>
    <w:p w:rsidR="00923011" w:rsidRDefault="00923011" w:rsidP="00923011">
      <w:pPr>
        <w:spacing w:after="0"/>
        <w:jc w:val="center"/>
        <w:rPr>
          <w:rFonts w:ascii="Verdana" w:hAnsi="Verdana"/>
          <w:i/>
          <w:sz w:val="20"/>
          <w:lang w:val="es-ES"/>
        </w:rPr>
      </w:pPr>
    </w:p>
    <w:p w:rsidR="00923011" w:rsidRPr="001C5B86" w:rsidRDefault="00923011" w:rsidP="00923011">
      <w:pPr>
        <w:spacing w:after="0"/>
        <w:ind w:left="2832" w:firstLine="708"/>
        <w:jc w:val="center"/>
        <w:rPr>
          <w:rFonts w:ascii="Verdana" w:hAnsi="Verdana"/>
          <w:i/>
          <w:sz w:val="20"/>
          <w:lang w:val="es-ES"/>
        </w:rPr>
      </w:pPr>
      <w:r w:rsidRPr="000E2E05">
        <w:rPr>
          <w:rFonts w:ascii="Verdana" w:hAnsi="Verdana"/>
          <w:sz w:val="20"/>
          <w:lang w:val="es-ES"/>
        </w:rPr>
        <w:t>Eduardo Ferrer Mac-Gregor Poisot</w:t>
      </w:r>
      <w:r w:rsidRPr="000E2E05">
        <w:rPr>
          <w:rFonts w:ascii="Verdana" w:hAnsi="Verdana"/>
          <w:sz w:val="20"/>
          <w:lang w:val="es-ES"/>
        </w:rPr>
        <w:tab/>
      </w:r>
    </w:p>
    <w:p w:rsidR="00923011" w:rsidRPr="00923011" w:rsidRDefault="00923011" w:rsidP="00923011">
      <w:pPr>
        <w:spacing w:after="0"/>
        <w:jc w:val="both"/>
        <w:rPr>
          <w:rFonts w:ascii="Verdana" w:hAnsi="Verdana"/>
          <w:sz w:val="20"/>
          <w:lang w:val="es-ES"/>
        </w:rPr>
      </w:pPr>
      <w:r>
        <w:rPr>
          <w:rFonts w:ascii="Verdana" w:hAnsi="Verdana"/>
          <w:i/>
          <w:sz w:val="20"/>
          <w:lang w:val="es-ES"/>
        </w:rPr>
        <w:tab/>
      </w:r>
      <w:r>
        <w:rPr>
          <w:rFonts w:ascii="Verdana" w:hAnsi="Verdana"/>
          <w:i/>
          <w:sz w:val="20"/>
          <w:lang w:val="es-ES"/>
        </w:rPr>
        <w:tab/>
      </w:r>
      <w:r>
        <w:rPr>
          <w:rFonts w:ascii="Verdana" w:hAnsi="Verdana"/>
          <w:i/>
          <w:sz w:val="20"/>
          <w:lang w:val="es-ES"/>
        </w:rPr>
        <w:tab/>
      </w:r>
      <w:r>
        <w:rPr>
          <w:rFonts w:ascii="Verdana" w:hAnsi="Verdana"/>
          <w:i/>
          <w:sz w:val="20"/>
          <w:lang w:val="es-ES"/>
        </w:rPr>
        <w:tab/>
      </w:r>
      <w:r>
        <w:rPr>
          <w:rFonts w:ascii="Verdana" w:hAnsi="Verdana"/>
          <w:i/>
          <w:sz w:val="20"/>
          <w:lang w:val="es-ES"/>
        </w:rPr>
        <w:tab/>
      </w:r>
      <w:r>
        <w:rPr>
          <w:rFonts w:ascii="Verdana" w:hAnsi="Verdana"/>
          <w:i/>
          <w:sz w:val="20"/>
          <w:lang w:val="es-ES"/>
        </w:rPr>
        <w:tab/>
      </w:r>
      <w:r>
        <w:rPr>
          <w:rFonts w:ascii="Verdana" w:hAnsi="Verdana"/>
          <w:i/>
          <w:sz w:val="20"/>
          <w:lang w:val="es-ES"/>
        </w:rPr>
        <w:tab/>
      </w:r>
      <w:r>
        <w:rPr>
          <w:rFonts w:ascii="Verdana" w:hAnsi="Verdana"/>
          <w:i/>
          <w:sz w:val="20"/>
          <w:lang w:val="es-ES"/>
        </w:rPr>
        <w:tab/>
        <w:t xml:space="preserve"> </w:t>
      </w:r>
      <w:r w:rsidRPr="00923011">
        <w:rPr>
          <w:rFonts w:ascii="Verdana" w:hAnsi="Verdana"/>
          <w:sz w:val="20"/>
          <w:lang w:val="es-ES"/>
        </w:rPr>
        <w:t>Presidente en ejercicio</w:t>
      </w:r>
    </w:p>
    <w:p w:rsidR="001C5B86" w:rsidRPr="000E2E05" w:rsidRDefault="001C5B86" w:rsidP="001C5B86">
      <w:pPr>
        <w:spacing w:after="0"/>
        <w:jc w:val="both"/>
        <w:rPr>
          <w:rFonts w:ascii="Verdana" w:hAnsi="Verdana"/>
          <w:sz w:val="20"/>
          <w:lang w:val="es-ES"/>
        </w:rPr>
      </w:pPr>
    </w:p>
    <w:p w:rsidR="001C5B86" w:rsidRPr="000E2E05" w:rsidRDefault="001C5B86" w:rsidP="001C5B86">
      <w:pPr>
        <w:spacing w:after="0"/>
        <w:jc w:val="both"/>
        <w:rPr>
          <w:rFonts w:ascii="Verdana" w:hAnsi="Verdana"/>
          <w:sz w:val="20"/>
          <w:lang w:val="es-ES"/>
        </w:rPr>
      </w:pPr>
      <w:r w:rsidRPr="000E2E05">
        <w:rPr>
          <w:rFonts w:ascii="Verdana" w:hAnsi="Verdana"/>
          <w:sz w:val="20"/>
          <w:lang w:val="es-ES"/>
        </w:rPr>
        <w:t>Pablo Saavedra Alessandri</w:t>
      </w:r>
    </w:p>
    <w:p w:rsidR="001C5B86" w:rsidRPr="000E2E05" w:rsidRDefault="001C5B86" w:rsidP="001C5B86">
      <w:pPr>
        <w:spacing w:after="0"/>
        <w:rPr>
          <w:rFonts w:ascii="Verdana" w:hAnsi="Verdana"/>
          <w:sz w:val="20"/>
          <w:lang w:val="es-CR"/>
        </w:rPr>
      </w:pPr>
      <w:r w:rsidRPr="000E2E05">
        <w:rPr>
          <w:rFonts w:ascii="Verdana" w:hAnsi="Verdana"/>
          <w:sz w:val="20"/>
          <w:lang w:val="es-ES"/>
        </w:rPr>
        <w:tab/>
      </w:r>
      <w:r w:rsidRPr="000E2E05">
        <w:rPr>
          <w:rFonts w:ascii="Verdana" w:hAnsi="Verdana"/>
          <w:sz w:val="20"/>
          <w:lang w:val="es-CR"/>
        </w:rPr>
        <w:t>Secretario</w:t>
      </w:r>
    </w:p>
    <w:p w:rsidR="005B393C" w:rsidRPr="001C5B86" w:rsidRDefault="005B393C">
      <w:pPr>
        <w:rPr>
          <w:i/>
        </w:rPr>
      </w:pPr>
    </w:p>
    <w:sectPr w:rsidR="005B393C" w:rsidRPr="001C5B86" w:rsidSect="008951DB">
      <w:footerReference w:type="default" r:id="rId9"/>
      <w:pgSz w:w="12240" w:h="15840"/>
      <w:pgMar w:top="1440" w:right="1080" w:bottom="1440" w:left="1080" w:header="68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DE1" w:rsidRDefault="00550DE1" w:rsidP="001C5B86">
      <w:pPr>
        <w:spacing w:after="0" w:line="240" w:lineRule="auto"/>
      </w:pPr>
      <w:r>
        <w:separator/>
      </w:r>
    </w:p>
  </w:endnote>
  <w:endnote w:type="continuationSeparator" w:id="0">
    <w:p w:rsidR="00550DE1" w:rsidRDefault="00550DE1" w:rsidP="001C5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92sqry,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07ttbuggtvvrcbg">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71442"/>
      <w:docPartObj>
        <w:docPartGallery w:val="Page Numbers (Bottom of Page)"/>
        <w:docPartUnique/>
      </w:docPartObj>
    </w:sdtPr>
    <w:sdtEndPr>
      <w:rPr>
        <w:noProof/>
      </w:rPr>
    </w:sdtEndPr>
    <w:sdtContent>
      <w:p w:rsidR="007D6B81" w:rsidRDefault="007D6B81">
        <w:pPr>
          <w:pStyle w:val="Footer"/>
          <w:jc w:val="center"/>
        </w:pPr>
        <w:r>
          <w:t>-</w:t>
        </w:r>
        <w:r>
          <w:fldChar w:fldCharType="begin"/>
        </w:r>
        <w:r>
          <w:instrText xml:space="preserve"> PAGE   \* MERGEFORMAT </w:instrText>
        </w:r>
        <w:r>
          <w:fldChar w:fldCharType="separate"/>
        </w:r>
        <w:r w:rsidR="0069682E">
          <w:rPr>
            <w:noProof/>
          </w:rPr>
          <w:t>2</w:t>
        </w:r>
        <w:r>
          <w:rPr>
            <w:noProof/>
          </w:rPr>
          <w:fldChar w:fldCharType="end"/>
        </w:r>
        <w:r>
          <w:rPr>
            <w:noProof/>
          </w:rPr>
          <w:t>-</w:t>
        </w:r>
      </w:p>
    </w:sdtContent>
  </w:sdt>
  <w:p w:rsidR="007D6B81" w:rsidRDefault="007D6B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DE1" w:rsidRDefault="00550DE1" w:rsidP="001C5B86">
      <w:pPr>
        <w:spacing w:after="0" w:line="240" w:lineRule="auto"/>
      </w:pPr>
      <w:r>
        <w:separator/>
      </w:r>
    </w:p>
  </w:footnote>
  <w:footnote w:type="continuationSeparator" w:id="0">
    <w:p w:rsidR="00550DE1" w:rsidRDefault="00550DE1" w:rsidP="001C5B86">
      <w:pPr>
        <w:spacing w:after="0" w:line="240" w:lineRule="auto"/>
      </w:pPr>
      <w:r>
        <w:continuationSeparator/>
      </w:r>
    </w:p>
  </w:footnote>
  <w:footnote w:id="1">
    <w:p w:rsidR="00140AFE" w:rsidRPr="00246DBD" w:rsidRDefault="00140AFE" w:rsidP="00F87402">
      <w:pPr>
        <w:spacing w:after="0"/>
        <w:jc w:val="both"/>
        <w:rPr>
          <w:rFonts w:ascii="Verdana" w:eastAsia="Times New Roman" w:hAnsi="Verdana" w:cs="Times New Roman"/>
          <w:color w:val="1F497D"/>
          <w:sz w:val="16"/>
          <w:szCs w:val="16"/>
          <w:lang w:val="es-CR"/>
        </w:rPr>
      </w:pPr>
      <w:r w:rsidRPr="00246DBD">
        <w:rPr>
          <w:rStyle w:val="FootnoteReference"/>
          <w:rFonts w:ascii="Verdana" w:hAnsi="Verdana"/>
          <w:sz w:val="16"/>
          <w:szCs w:val="16"/>
          <w:lang w:val="es-CR"/>
        </w:rPr>
        <w:t>*</w:t>
      </w:r>
      <w:r w:rsidR="00F32228">
        <w:rPr>
          <w:rFonts w:ascii="Verdana" w:hAnsi="Verdana"/>
          <w:sz w:val="16"/>
          <w:szCs w:val="16"/>
          <w:lang w:val="es-CR"/>
        </w:rPr>
        <w:t xml:space="preserve"> </w:t>
      </w:r>
      <w:r w:rsidR="00F87402" w:rsidRPr="00246DBD">
        <w:rPr>
          <w:rFonts w:ascii="Verdana" w:eastAsia="MS Mincho" w:hAnsi="Verdana" w:cs="Times New Roman"/>
          <w:sz w:val="16"/>
          <w:szCs w:val="16"/>
          <w:lang w:val="es-CR"/>
        </w:rPr>
        <w:t xml:space="preserve">El </w:t>
      </w:r>
      <w:r w:rsidR="00F87402" w:rsidRPr="00F32228">
        <w:rPr>
          <w:rFonts w:ascii="Verdana" w:eastAsia="MS Mincho" w:hAnsi="Verdana" w:cs="Times New Roman"/>
          <w:sz w:val="16"/>
          <w:szCs w:val="16"/>
          <w:lang w:val="es-CR"/>
        </w:rPr>
        <w:t>Juez Presidente</w:t>
      </w:r>
      <w:r w:rsidR="00F87402" w:rsidRPr="00246DBD">
        <w:rPr>
          <w:rFonts w:ascii="Verdana" w:eastAsia="MS Mincho" w:hAnsi="Verdana" w:cs="Times New Roman"/>
          <w:sz w:val="16"/>
          <w:szCs w:val="16"/>
          <w:lang w:val="es-CR"/>
        </w:rPr>
        <w:t xml:space="preserve"> Roberto F. Caldas, por razones de fuerza mayor aceptadas por el Pleno, no participó en la deliberación y firma de la presente </w:t>
      </w:r>
      <w:r w:rsidR="0027235F" w:rsidRPr="00246DBD">
        <w:rPr>
          <w:rFonts w:ascii="Verdana" w:eastAsia="MS Mincho" w:hAnsi="Verdana" w:cs="Times New Roman"/>
          <w:sz w:val="16"/>
          <w:szCs w:val="16"/>
          <w:lang w:val="es-CR"/>
        </w:rPr>
        <w:t>Resolución</w:t>
      </w:r>
      <w:r w:rsidR="00F87402" w:rsidRPr="00246DBD">
        <w:rPr>
          <w:rFonts w:ascii="Verdana" w:eastAsia="MS Mincho" w:hAnsi="Verdana" w:cs="Times New Roman"/>
          <w:sz w:val="16"/>
          <w:szCs w:val="16"/>
          <w:lang w:val="es-CR"/>
        </w:rPr>
        <w:t xml:space="preserve">. Por tal motivo, de conformidad con los artículos 4.2 y 5 del Reglamento del Tribunal, el Juez Eduardo Ferrer Mac-Gregor Poisot, Vicepresidente de la Corte, asumió la Presidencia en ejercicio respecto del presente caso. </w:t>
      </w:r>
      <w:r w:rsidRPr="00F32228">
        <w:rPr>
          <w:rFonts w:ascii="Verdana" w:eastAsia="MS Mincho" w:hAnsi="Verdana" w:cs="Times New Roman"/>
          <w:sz w:val="16"/>
          <w:szCs w:val="16"/>
          <w:lang w:val="es-CR"/>
        </w:rPr>
        <w:t xml:space="preserve">El Juez Humberto Antonio Sierra Porto, de nacionalidad colombiana, no participó en </w:t>
      </w:r>
      <w:r w:rsidR="003F669E">
        <w:rPr>
          <w:rFonts w:ascii="Verdana" w:eastAsia="MS Mincho" w:hAnsi="Verdana" w:cs="Times New Roman"/>
          <w:sz w:val="16"/>
          <w:szCs w:val="16"/>
          <w:lang w:val="es-CR"/>
        </w:rPr>
        <w:t xml:space="preserve">la </w:t>
      </w:r>
      <w:r w:rsidRPr="00F32228">
        <w:rPr>
          <w:rFonts w:ascii="Verdana" w:eastAsia="MS Mincho" w:hAnsi="Verdana" w:cs="Times New Roman"/>
          <w:sz w:val="16"/>
          <w:szCs w:val="16"/>
          <w:lang w:val="es-CR"/>
        </w:rPr>
        <w:t xml:space="preserve">deliberación </w:t>
      </w:r>
      <w:r w:rsidR="003F669E">
        <w:rPr>
          <w:rFonts w:ascii="Verdana" w:eastAsia="MS Mincho" w:hAnsi="Verdana" w:cs="Times New Roman"/>
          <w:sz w:val="16"/>
          <w:szCs w:val="16"/>
          <w:lang w:val="es-CR"/>
        </w:rPr>
        <w:t xml:space="preserve">y firma </w:t>
      </w:r>
      <w:r w:rsidRPr="00F32228">
        <w:rPr>
          <w:rFonts w:ascii="Verdana" w:eastAsia="MS Mincho" w:hAnsi="Verdana" w:cs="Times New Roman"/>
          <w:sz w:val="16"/>
          <w:szCs w:val="16"/>
          <w:lang w:val="es-CR"/>
        </w:rPr>
        <w:t>de la presente Resolución, de conformidad con el artículo 19.1 del Reglamento de la Corte Interamericana de Derechos Humanos.</w:t>
      </w:r>
      <w:r w:rsidRPr="00246DBD">
        <w:rPr>
          <w:rFonts w:ascii="Verdana" w:hAnsi="Verdana"/>
          <w:sz w:val="16"/>
          <w:szCs w:val="16"/>
          <w:lang w:val="es-CR"/>
        </w:rPr>
        <w:t xml:space="preserve">  </w:t>
      </w:r>
    </w:p>
  </w:footnote>
  <w:footnote w:id="2">
    <w:p w:rsidR="0007720F" w:rsidRPr="00246DBD" w:rsidRDefault="0007720F" w:rsidP="0007720F">
      <w:pPr>
        <w:pStyle w:val="FootnoteText"/>
        <w:jc w:val="both"/>
        <w:rPr>
          <w:rFonts w:ascii="Verdana" w:hAnsi="Verdana"/>
          <w:sz w:val="16"/>
          <w:szCs w:val="16"/>
          <w:lang w:val="es-CR"/>
        </w:rPr>
      </w:pPr>
      <w:r w:rsidRPr="00246DBD">
        <w:rPr>
          <w:rStyle w:val="FootnoteReference"/>
          <w:rFonts w:ascii="Verdana" w:hAnsi="Verdana"/>
          <w:sz w:val="16"/>
          <w:szCs w:val="16"/>
        </w:rPr>
        <w:footnoteRef/>
      </w:r>
      <w:r w:rsidRPr="00246DBD">
        <w:rPr>
          <w:rFonts w:ascii="Verdana" w:hAnsi="Verdana"/>
          <w:sz w:val="16"/>
          <w:szCs w:val="16"/>
          <w:lang w:val="es-CR"/>
        </w:rPr>
        <w:t xml:space="preserve"> </w:t>
      </w:r>
      <w:r w:rsidRPr="0007720F">
        <w:rPr>
          <w:rFonts w:ascii="Verdana" w:hAnsi="Verdana"/>
          <w:i/>
          <w:sz w:val="16"/>
          <w:szCs w:val="16"/>
          <w:lang w:val="es-CR"/>
        </w:rPr>
        <w:t>Caso Gutiérrez Soler Vs. Colombia. F</w:t>
      </w:r>
      <w:r w:rsidRPr="0007720F">
        <w:rPr>
          <w:rFonts w:ascii="Verdana" w:eastAsia="Times New Roman" w:hAnsi="Verdana"/>
          <w:i/>
          <w:sz w:val="16"/>
          <w:szCs w:val="16"/>
          <w:lang w:val="es-CR"/>
        </w:rPr>
        <w:t>ondo, reparaciones y costas</w:t>
      </w:r>
      <w:r w:rsidRPr="0007720F">
        <w:rPr>
          <w:rFonts w:ascii="Verdana" w:eastAsia="Times New Roman" w:hAnsi="Verdana"/>
          <w:sz w:val="16"/>
          <w:szCs w:val="16"/>
          <w:lang w:val="es-CR"/>
        </w:rPr>
        <w:t xml:space="preserve">. </w:t>
      </w:r>
      <w:r w:rsidRPr="0007720F">
        <w:rPr>
          <w:rFonts w:ascii="Verdana" w:hAnsi="Verdana"/>
          <w:sz w:val="16"/>
          <w:szCs w:val="16"/>
          <w:lang w:val="es-CR"/>
        </w:rPr>
        <w:t xml:space="preserve">Sentencia de 12 de septiembre de 2005. Serie C </w:t>
      </w:r>
      <w:proofErr w:type="spellStart"/>
      <w:r w:rsidRPr="0007720F">
        <w:rPr>
          <w:rFonts w:ascii="Verdana" w:hAnsi="Verdana"/>
          <w:sz w:val="16"/>
          <w:szCs w:val="16"/>
          <w:lang w:val="es-CR"/>
        </w:rPr>
        <w:t>Nо</w:t>
      </w:r>
      <w:proofErr w:type="spellEnd"/>
      <w:r w:rsidRPr="0007720F">
        <w:rPr>
          <w:rFonts w:ascii="Verdana" w:hAnsi="Verdana"/>
          <w:sz w:val="16"/>
          <w:szCs w:val="16"/>
          <w:lang w:val="es-CR"/>
        </w:rPr>
        <w:t>. 132, párrs. 48.14 y 56.</w:t>
      </w:r>
      <w:r w:rsidRPr="00246DBD">
        <w:rPr>
          <w:rFonts w:ascii="Verdana" w:hAnsi="Verdana"/>
          <w:sz w:val="16"/>
          <w:szCs w:val="16"/>
          <w:lang w:val="es-CR"/>
        </w:rPr>
        <w:t xml:space="preserve"> </w:t>
      </w:r>
    </w:p>
  </w:footnote>
  <w:footnote w:id="3">
    <w:p w:rsidR="007D6B81" w:rsidRPr="000E2E05" w:rsidRDefault="007D6B81" w:rsidP="00F87402">
      <w:pPr>
        <w:pStyle w:val="FootnoteText"/>
        <w:jc w:val="both"/>
        <w:rPr>
          <w:rFonts w:ascii="Verdana" w:hAnsi="Verdana"/>
          <w:sz w:val="16"/>
          <w:szCs w:val="16"/>
          <w:lang w:val="es-CR"/>
        </w:rPr>
      </w:pPr>
      <w:r w:rsidRPr="000E2E05">
        <w:rPr>
          <w:rStyle w:val="FootnoteReference"/>
          <w:rFonts w:ascii="Verdana" w:hAnsi="Verdana"/>
          <w:sz w:val="16"/>
          <w:szCs w:val="16"/>
        </w:rPr>
        <w:footnoteRef/>
      </w:r>
      <w:r w:rsidRPr="000E2E05">
        <w:rPr>
          <w:rFonts w:ascii="Verdana" w:hAnsi="Verdana"/>
          <w:sz w:val="16"/>
          <w:szCs w:val="16"/>
          <w:lang w:val="es-CR"/>
        </w:rPr>
        <w:t xml:space="preserve"> </w:t>
      </w:r>
      <w:r w:rsidRPr="000E2E05">
        <w:rPr>
          <w:rFonts w:ascii="Verdana" w:hAnsi="Verdana"/>
          <w:sz w:val="16"/>
          <w:szCs w:val="16"/>
          <w:lang w:val="es-ES_tradnl"/>
        </w:rPr>
        <w:t>En su última Resolución, la Corte “[d]</w:t>
      </w:r>
      <w:proofErr w:type="spellStart"/>
      <w:r w:rsidRPr="000E2E05">
        <w:rPr>
          <w:rFonts w:ascii="Verdana" w:hAnsi="Verdana"/>
          <w:sz w:val="16"/>
          <w:szCs w:val="16"/>
          <w:lang w:val="es-ES_tradnl"/>
        </w:rPr>
        <w:t>eclar</w:t>
      </w:r>
      <w:proofErr w:type="spellEnd"/>
      <w:r w:rsidRPr="000E2E05">
        <w:rPr>
          <w:rFonts w:ascii="Verdana" w:hAnsi="Verdana"/>
          <w:sz w:val="16"/>
          <w:szCs w:val="16"/>
          <w:lang w:val="es-ES_tradnl"/>
        </w:rPr>
        <w:t>[</w:t>
      </w:r>
      <w:proofErr w:type="spellStart"/>
      <w:r w:rsidRPr="000E2E05">
        <w:rPr>
          <w:rFonts w:ascii="Verdana" w:hAnsi="Verdana"/>
          <w:sz w:val="16"/>
          <w:szCs w:val="16"/>
          <w:lang w:val="es-ES_tradnl"/>
        </w:rPr>
        <w:t>ó</w:t>
      </w:r>
      <w:proofErr w:type="spellEnd"/>
      <w:r w:rsidRPr="000E2E05">
        <w:rPr>
          <w:rFonts w:ascii="Verdana" w:hAnsi="Verdana"/>
          <w:sz w:val="16"/>
          <w:szCs w:val="16"/>
          <w:lang w:val="es-ES_tradnl"/>
        </w:rPr>
        <w:t xml:space="preserve">]”, </w:t>
      </w:r>
      <w:r w:rsidRPr="000E2E05">
        <w:rPr>
          <w:rFonts w:ascii="Verdana" w:hAnsi="Verdana"/>
          <w:i/>
          <w:sz w:val="16"/>
          <w:szCs w:val="16"/>
          <w:lang w:val="es-ES_tradnl"/>
        </w:rPr>
        <w:t xml:space="preserve">inter </w:t>
      </w:r>
      <w:proofErr w:type="spellStart"/>
      <w:r w:rsidRPr="000E2E05">
        <w:rPr>
          <w:rFonts w:ascii="Verdana" w:hAnsi="Verdana"/>
          <w:i/>
          <w:sz w:val="16"/>
          <w:szCs w:val="16"/>
          <w:lang w:val="es-ES_tradnl"/>
        </w:rPr>
        <w:t>alia</w:t>
      </w:r>
      <w:proofErr w:type="spellEnd"/>
      <w:r w:rsidRPr="000E2E05">
        <w:rPr>
          <w:rFonts w:ascii="Verdana" w:hAnsi="Verdana"/>
          <w:sz w:val="16"/>
          <w:szCs w:val="16"/>
          <w:lang w:val="es-ES_tradnl"/>
        </w:rPr>
        <w:t>, “[q]</w:t>
      </w:r>
      <w:r w:rsidRPr="000E2E05">
        <w:rPr>
          <w:rFonts w:ascii="Verdana" w:hAnsi="Verdana"/>
          <w:sz w:val="16"/>
          <w:szCs w:val="16"/>
          <w:lang w:val="es-CR"/>
        </w:rPr>
        <w:t>ue […] se encuentran pendientes de cumplimiento las siguientes obligaciones: a)</w:t>
      </w:r>
      <w:r w:rsidRPr="000E2E05">
        <w:rPr>
          <w:rFonts w:ascii="Verdana" w:hAnsi="Verdana"/>
          <w:sz w:val="16"/>
          <w:szCs w:val="16"/>
          <w:lang w:val="es-ES"/>
        </w:rPr>
        <w:t xml:space="preserve"> </w:t>
      </w:r>
      <w:r w:rsidRPr="000E2E05">
        <w:rPr>
          <w:rFonts w:ascii="Verdana" w:hAnsi="Verdana"/>
          <w:sz w:val="16"/>
          <w:szCs w:val="16"/>
          <w:lang w:val="es-CR"/>
        </w:rPr>
        <w:t>cumplir las medidas dispuestas relativas a su obligación de investigar los hechos denunciados, así como identificar, juzgar y sancionar a los responsables […];</w:t>
      </w:r>
      <w:r w:rsidR="0027235F">
        <w:rPr>
          <w:rFonts w:ascii="Verdana" w:hAnsi="Verdana"/>
          <w:sz w:val="16"/>
          <w:szCs w:val="16"/>
          <w:lang w:val="es-CR"/>
        </w:rPr>
        <w:t xml:space="preserve"> </w:t>
      </w:r>
      <w:r w:rsidRPr="000E2E05">
        <w:rPr>
          <w:rFonts w:ascii="Verdana" w:hAnsi="Verdana"/>
          <w:sz w:val="16"/>
          <w:szCs w:val="16"/>
          <w:lang w:val="es-CR"/>
        </w:rPr>
        <w:t>b) brindar gratuitamente tratamiento psicológico y psiquiátrico a través de las instituciones de salud que el propio Estado designe […], y c) adoptar las medidas que sean necesarias para fortalecer los mecanismos de control existentes en los centros estatales de detención”, y “[q]</w:t>
      </w:r>
      <w:r w:rsidRPr="000E2E05">
        <w:rPr>
          <w:rFonts w:ascii="Verdana" w:hAnsi="Verdana" w:cs="Verdana"/>
          <w:sz w:val="16"/>
          <w:szCs w:val="16"/>
          <w:lang w:val="es-CR"/>
        </w:rPr>
        <w:t xml:space="preserve">ue mantendrá abierto el procedimiento de supervisión hasta el cumplimiento total de las obligaciones señaladas en el punto declarativo anterior”. De modo consecuente, resolvió, </w:t>
      </w:r>
      <w:r w:rsidRPr="000E2E05">
        <w:rPr>
          <w:rFonts w:ascii="Verdana" w:hAnsi="Verdana" w:cs="Verdana"/>
          <w:i/>
          <w:sz w:val="16"/>
          <w:szCs w:val="16"/>
          <w:lang w:val="es-CR"/>
        </w:rPr>
        <w:t xml:space="preserve">inter </w:t>
      </w:r>
      <w:proofErr w:type="spellStart"/>
      <w:r w:rsidRPr="000E2E05">
        <w:rPr>
          <w:rFonts w:ascii="Verdana" w:hAnsi="Verdana" w:cs="Verdana"/>
          <w:i/>
          <w:sz w:val="16"/>
          <w:szCs w:val="16"/>
          <w:lang w:val="es-CR"/>
        </w:rPr>
        <w:t>alia</w:t>
      </w:r>
      <w:proofErr w:type="spellEnd"/>
      <w:r w:rsidRPr="000E2E05">
        <w:rPr>
          <w:rFonts w:ascii="Verdana" w:hAnsi="Verdana" w:cs="Verdana"/>
          <w:sz w:val="16"/>
          <w:szCs w:val="16"/>
          <w:lang w:val="es-CR"/>
        </w:rPr>
        <w:t>, “[c]</w:t>
      </w:r>
      <w:proofErr w:type="spellStart"/>
      <w:r w:rsidRPr="000E2E05">
        <w:rPr>
          <w:rFonts w:ascii="Verdana" w:eastAsia="Times New Roman" w:hAnsi="Verdana"/>
          <w:sz w:val="16"/>
          <w:szCs w:val="16"/>
          <w:lang w:val="es-CR"/>
        </w:rPr>
        <w:t>ontinuar</w:t>
      </w:r>
      <w:proofErr w:type="spellEnd"/>
      <w:r w:rsidRPr="000E2E05">
        <w:rPr>
          <w:rFonts w:ascii="Verdana" w:eastAsia="Times New Roman" w:hAnsi="Verdana"/>
          <w:sz w:val="16"/>
          <w:szCs w:val="16"/>
          <w:lang w:val="es-CR"/>
        </w:rPr>
        <w:t xml:space="preserve"> supervisando los puntos pendientes de cumplimiento de la Sentencia de fondo, reparaciones y costas de 12 de septiembre de 2005”.</w:t>
      </w:r>
    </w:p>
  </w:footnote>
  <w:footnote w:id="4">
    <w:p w:rsidR="007D6B81" w:rsidRPr="000E2E05" w:rsidRDefault="007D6B81" w:rsidP="000E2E05">
      <w:pPr>
        <w:pStyle w:val="FootnoteText"/>
        <w:jc w:val="both"/>
        <w:rPr>
          <w:rFonts w:ascii="Verdana" w:hAnsi="Verdana"/>
          <w:sz w:val="16"/>
          <w:szCs w:val="16"/>
          <w:lang w:val="es-CR"/>
        </w:rPr>
      </w:pPr>
      <w:r w:rsidRPr="000E2E05">
        <w:rPr>
          <w:rStyle w:val="FootnoteReference"/>
          <w:rFonts w:ascii="Verdana" w:hAnsi="Verdana"/>
          <w:sz w:val="16"/>
          <w:szCs w:val="16"/>
        </w:rPr>
        <w:footnoteRef/>
      </w:r>
      <w:r w:rsidRPr="000E2E05">
        <w:rPr>
          <w:rFonts w:ascii="Verdana" w:hAnsi="Verdana"/>
          <w:sz w:val="16"/>
          <w:szCs w:val="16"/>
          <w:lang w:val="es-CR"/>
        </w:rPr>
        <w:t xml:space="preserve"> En la misma oportunidad resolvió, </w:t>
      </w:r>
      <w:r w:rsidRPr="000E2E05">
        <w:rPr>
          <w:rFonts w:ascii="Verdana" w:hAnsi="Verdana"/>
          <w:i/>
          <w:sz w:val="16"/>
          <w:szCs w:val="16"/>
          <w:lang w:val="es-CR"/>
        </w:rPr>
        <w:t xml:space="preserve">inter </w:t>
      </w:r>
      <w:proofErr w:type="spellStart"/>
      <w:r w:rsidRPr="000E2E05">
        <w:rPr>
          <w:rFonts w:ascii="Verdana" w:hAnsi="Verdana"/>
          <w:i/>
          <w:sz w:val="16"/>
          <w:szCs w:val="16"/>
          <w:lang w:val="es-CR"/>
        </w:rPr>
        <w:t>alia</w:t>
      </w:r>
      <w:proofErr w:type="spellEnd"/>
      <w:r w:rsidRPr="000E2E05">
        <w:rPr>
          <w:rFonts w:ascii="Verdana" w:hAnsi="Verdana"/>
          <w:sz w:val="16"/>
          <w:szCs w:val="16"/>
          <w:lang w:val="es-CR"/>
        </w:rPr>
        <w:t>, “[l]</w:t>
      </w:r>
      <w:proofErr w:type="spellStart"/>
      <w:r w:rsidRPr="000E2E05">
        <w:rPr>
          <w:rFonts w:ascii="Verdana" w:hAnsi="Verdana"/>
          <w:sz w:val="16"/>
          <w:szCs w:val="16"/>
          <w:lang w:val="es-CR"/>
        </w:rPr>
        <w:t>evantar</w:t>
      </w:r>
      <w:proofErr w:type="spellEnd"/>
      <w:r w:rsidRPr="000E2E05">
        <w:rPr>
          <w:rFonts w:ascii="Verdana" w:hAnsi="Verdana"/>
          <w:sz w:val="16"/>
          <w:szCs w:val="16"/>
          <w:lang w:val="es-CR"/>
        </w:rPr>
        <w:t xml:space="preserve"> las medidas provisionales ordenadas [….] a favor del señor Wilson Gutiérrez Soler, Kevin Daniel Gutiérrez Niño y María Elena Gutiérrez de Soler” y antes, en su anterior Resolución, había resuelto</w:t>
      </w:r>
      <w:r w:rsidRPr="000E2E05">
        <w:rPr>
          <w:rFonts w:ascii="Verdana" w:eastAsia="Times New Roman" w:hAnsi="Verdana"/>
          <w:sz w:val="16"/>
          <w:szCs w:val="16"/>
          <w:lang w:val="es-CR"/>
        </w:rPr>
        <w:t xml:space="preserve">, </w:t>
      </w:r>
      <w:r w:rsidRPr="000E2E05">
        <w:rPr>
          <w:rFonts w:ascii="Verdana" w:eastAsia="Times New Roman" w:hAnsi="Verdana"/>
          <w:i/>
          <w:sz w:val="16"/>
          <w:szCs w:val="16"/>
          <w:lang w:val="es-CR"/>
        </w:rPr>
        <w:t xml:space="preserve">inter </w:t>
      </w:r>
      <w:proofErr w:type="spellStart"/>
      <w:r w:rsidRPr="000E2E05">
        <w:rPr>
          <w:rFonts w:ascii="Verdana" w:eastAsia="Times New Roman" w:hAnsi="Verdana"/>
          <w:i/>
          <w:sz w:val="16"/>
          <w:szCs w:val="16"/>
          <w:lang w:val="es-CR"/>
        </w:rPr>
        <w:t>alia</w:t>
      </w:r>
      <w:proofErr w:type="spellEnd"/>
      <w:r w:rsidRPr="000E2E05">
        <w:rPr>
          <w:rFonts w:ascii="Verdana" w:eastAsia="Times New Roman" w:hAnsi="Verdana"/>
          <w:sz w:val="16"/>
          <w:szCs w:val="16"/>
          <w:lang w:val="es-CR"/>
        </w:rPr>
        <w:t xml:space="preserve">, </w:t>
      </w:r>
      <w:r w:rsidRPr="000E2E05">
        <w:rPr>
          <w:rFonts w:ascii="Verdana" w:hAnsi="Verdana"/>
          <w:sz w:val="16"/>
          <w:szCs w:val="16"/>
          <w:lang w:val="es-CR"/>
        </w:rPr>
        <w:t>“[l]</w:t>
      </w:r>
      <w:proofErr w:type="spellStart"/>
      <w:r w:rsidRPr="000E2E05">
        <w:rPr>
          <w:rFonts w:ascii="Verdana" w:hAnsi="Verdana"/>
          <w:sz w:val="16"/>
          <w:szCs w:val="16"/>
          <w:lang w:val="es-CR"/>
        </w:rPr>
        <w:t>evantar</w:t>
      </w:r>
      <w:proofErr w:type="spellEnd"/>
      <w:r w:rsidRPr="000E2E05">
        <w:rPr>
          <w:rFonts w:ascii="Verdana" w:hAnsi="Verdana"/>
          <w:sz w:val="16"/>
          <w:szCs w:val="16"/>
          <w:lang w:val="es-CR"/>
        </w:rPr>
        <w:t xml:space="preserve"> y dar por concluidas las medidas provisionales ordenadas […] a favor de Ricardo Gutiérrez Soler, </w:t>
      </w:r>
      <w:proofErr w:type="spellStart"/>
      <w:r w:rsidRPr="000E2E05">
        <w:rPr>
          <w:rFonts w:ascii="Verdana" w:hAnsi="Verdana"/>
          <w:sz w:val="16"/>
          <w:szCs w:val="16"/>
          <w:lang w:val="es-CR"/>
        </w:rPr>
        <w:t>Yaqueline</w:t>
      </w:r>
      <w:proofErr w:type="spellEnd"/>
      <w:r w:rsidRPr="000E2E05">
        <w:rPr>
          <w:rFonts w:ascii="Verdana" w:hAnsi="Verdana"/>
          <w:sz w:val="16"/>
          <w:szCs w:val="16"/>
          <w:lang w:val="es-CR"/>
        </w:rPr>
        <w:t xml:space="preserve"> Reyes, Leonardo Gutiérrez Rubiano, Ricardo Gutiérrez Rubiano, </w:t>
      </w:r>
      <w:proofErr w:type="spellStart"/>
      <w:r w:rsidRPr="000E2E05">
        <w:rPr>
          <w:rFonts w:ascii="Verdana" w:hAnsi="Verdana"/>
          <w:sz w:val="16"/>
          <w:szCs w:val="16"/>
          <w:lang w:val="es-CR"/>
        </w:rPr>
        <w:t>Sulma</w:t>
      </w:r>
      <w:proofErr w:type="spellEnd"/>
      <w:r w:rsidRPr="000E2E05">
        <w:rPr>
          <w:rFonts w:ascii="Verdana" w:hAnsi="Verdana"/>
          <w:sz w:val="16"/>
          <w:szCs w:val="16"/>
          <w:lang w:val="es-CR"/>
        </w:rPr>
        <w:t xml:space="preserve"> Tatiana Gutiérrez Rubiano, Paula Camila Gutiérrez Reyes, Luisa Fernanda Gutiérrez Reyes, Carlos Andrés Gutiérrez Rubiano y </w:t>
      </w:r>
      <w:proofErr w:type="spellStart"/>
      <w:r w:rsidRPr="000E2E05">
        <w:rPr>
          <w:rFonts w:ascii="Verdana" w:hAnsi="Verdana"/>
          <w:sz w:val="16"/>
          <w:szCs w:val="16"/>
          <w:lang w:val="es-CR"/>
        </w:rPr>
        <w:t>Leydi</w:t>
      </w:r>
      <w:proofErr w:type="spellEnd"/>
      <w:r w:rsidRPr="000E2E05">
        <w:rPr>
          <w:rFonts w:ascii="Verdana" w:hAnsi="Verdana"/>
          <w:sz w:val="16"/>
          <w:szCs w:val="16"/>
          <w:lang w:val="es-CR"/>
        </w:rPr>
        <w:t xml:space="preserve"> </w:t>
      </w:r>
      <w:proofErr w:type="spellStart"/>
      <w:r w:rsidRPr="000E2E05">
        <w:rPr>
          <w:rFonts w:ascii="Verdana" w:hAnsi="Verdana"/>
          <w:sz w:val="16"/>
          <w:szCs w:val="16"/>
          <w:lang w:val="es-CR"/>
        </w:rPr>
        <w:t>Caterin</w:t>
      </w:r>
      <w:proofErr w:type="spellEnd"/>
      <w:r w:rsidRPr="000E2E05">
        <w:rPr>
          <w:rFonts w:ascii="Verdana" w:hAnsi="Verdana"/>
          <w:sz w:val="16"/>
          <w:szCs w:val="16"/>
          <w:lang w:val="es-CR"/>
        </w:rPr>
        <w:t xml:space="preserve"> Gutiérrez Peña”.</w:t>
      </w:r>
    </w:p>
  </w:footnote>
  <w:footnote w:id="5">
    <w:p w:rsidR="00483780" w:rsidRPr="00376E49" w:rsidRDefault="00483780" w:rsidP="00483780">
      <w:pPr>
        <w:pStyle w:val="FootnoteText"/>
        <w:jc w:val="both"/>
        <w:rPr>
          <w:lang w:val="es-CR"/>
        </w:rPr>
      </w:pPr>
      <w:r w:rsidRPr="00376E49">
        <w:rPr>
          <w:rStyle w:val="FootnoteReference"/>
          <w:rFonts w:ascii="Verdana" w:hAnsi="Verdana"/>
          <w:sz w:val="16"/>
          <w:szCs w:val="16"/>
        </w:rPr>
        <w:footnoteRef/>
      </w:r>
      <w:r w:rsidRPr="00376E49">
        <w:rPr>
          <w:rFonts w:ascii="Verdana" w:hAnsi="Verdana"/>
          <w:sz w:val="16"/>
          <w:szCs w:val="16"/>
          <w:lang w:val="es-CR"/>
        </w:rPr>
        <w:t xml:space="preserve"> Además, se deja constancia de que el señor Gutiérrez Soler el 6 de agosto de 2017, como lo había hecho también en su presentación de 22 de julio del mismo año, envió firmado el escrito del día 18</w:t>
      </w:r>
      <w:r w:rsidR="00246DBD">
        <w:rPr>
          <w:rFonts w:ascii="Verdana" w:hAnsi="Verdana"/>
          <w:sz w:val="16"/>
          <w:szCs w:val="16"/>
          <w:lang w:val="es-CR"/>
        </w:rPr>
        <w:t>.</w:t>
      </w:r>
    </w:p>
  </w:footnote>
  <w:footnote w:id="6">
    <w:p w:rsidR="007D6B81" w:rsidRPr="00246DBD" w:rsidRDefault="007D6B81" w:rsidP="000E2E05">
      <w:pPr>
        <w:autoSpaceDE w:val="0"/>
        <w:autoSpaceDN w:val="0"/>
        <w:adjustRightInd w:val="0"/>
        <w:spacing w:after="0" w:line="240" w:lineRule="auto"/>
        <w:jc w:val="both"/>
        <w:rPr>
          <w:rFonts w:ascii="Verdana" w:hAnsi="Verdana"/>
          <w:b/>
          <w:sz w:val="16"/>
          <w:szCs w:val="16"/>
          <w:lang w:val="es-CR"/>
        </w:rPr>
      </w:pPr>
      <w:r w:rsidRPr="000E2E05">
        <w:rPr>
          <w:rStyle w:val="FootnoteReference"/>
          <w:rFonts w:ascii="Verdana" w:hAnsi="Verdana"/>
          <w:sz w:val="16"/>
          <w:szCs w:val="16"/>
        </w:rPr>
        <w:footnoteRef/>
      </w:r>
      <w:r w:rsidRPr="000E2E05">
        <w:rPr>
          <w:rFonts w:ascii="Verdana" w:hAnsi="Verdana"/>
          <w:sz w:val="16"/>
          <w:szCs w:val="16"/>
          <w:lang w:val="es-CR"/>
        </w:rPr>
        <w:t xml:space="preserve"> </w:t>
      </w:r>
      <w:r w:rsidR="00BC5E02">
        <w:rPr>
          <w:rFonts w:ascii="Verdana" w:hAnsi="Verdana"/>
          <w:sz w:val="16"/>
          <w:szCs w:val="16"/>
          <w:lang w:val="es-CR"/>
        </w:rPr>
        <w:t>Las presentaciones indicadas refieren a la solicitud de medidas provisionales. Cabe aclarar que p</w:t>
      </w:r>
      <w:r w:rsidRPr="000E2E05">
        <w:rPr>
          <w:rFonts w:ascii="Verdana" w:hAnsi="Verdana"/>
          <w:sz w:val="16"/>
          <w:szCs w:val="16"/>
          <w:lang w:val="es-CR"/>
        </w:rPr>
        <w:t xml:space="preserve">or medio de dos escritos recibidos por la Secretaría de la Corte el 30 de junio de 2017 el señor Gutiérrez Soler indicó que “cesa de otorgar cualquier tipo de autorización” para que la Corporación Colectivo de Abogados “José Alvear Restrepo” y </w:t>
      </w:r>
      <w:r w:rsidR="00536879">
        <w:rPr>
          <w:rFonts w:ascii="Verdana" w:hAnsi="Verdana"/>
          <w:sz w:val="16"/>
          <w:szCs w:val="16"/>
          <w:lang w:val="es-CR"/>
        </w:rPr>
        <w:t>[el Centro por</w:t>
      </w:r>
      <w:r w:rsidR="003F4134">
        <w:rPr>
          <w:rFonts w:ascii="Verdana" w:hAnsi="Verdana"/>
          <w:sz w:val="16"/>
          <w:szCs w:val="16"/>
          <w:lang w:val="es-CR"/>
        </w:rPr>
        <w:t xml:space="preserve"> la Justicia </w:t>
      </w:r>
      <w:r w:rsidR="00536879">
        <w:rPr>
          <w:rFonts w:ascii="Verdana" w:hAnsi="Verdana"/>
          <w:sz w:val="16"/>
          <w:szCs w:val="16"/>
          <w:lang w:val="es-CR"/>
        </w:rPr>
        <w:t xml:space="preserve">y </w:t>
      </w:r>
      <w:r w:rsidR="003F4134">
        <w:rPr>
          <w:rFonts w:ascii="Verdana" w:hAnsi="Verdana"/>
          <w:sz w:val="16"/>
          <w:szCs w:val="16"/>
          <w:lang w:val="es-CR"/>
        </w:rPr>
        <w:t xml:space="preserve">el Derecho </w:t>
      </w:r>
      <w:r w:rsidR="00536879">
        <w:rPr>
          <w:rFonts w:ascii="Verdana" w:hAnsi="Verdana"/>
          <w:sz w:val="16"/>
          <w:szCs w:val="16"/>
          <w:lang w:val="es-CR"/>
        </w:rPr>
        <w:t xml:space="preserve">Internacional] </w:t>
      </w:r>
      <w:r w:rsidRPr="000E2E05">
        <w:rPr>
          <w:rFonts w:ascii="Verdana" w:hAnsi="Verdana"/>
          <w:sz w:val="16"/>
          <w:szCs w:val="16"/>
          <w:lang w:val="es-CR"/>
        </w:rPr>
        <w:t>CEJIL le representen ante la Corte. Asimismo, manifestó que sus familiares y víctimas del caso, “</w:t>
      </w:r>
      <w:proofErr w:type="spellStart"/>
      <w:r w:rsidRPr="000E2E05">
        <w:rPr>
          <w:rFonts w:ascii="Verdana" w:hAnsi="Verdana"/>
          <w:sz w:val="16"/>
          <w:szCs w:val="16"/>
          <w:lang w:val="es-CR"/>
        </w:rPr>
        <w:t>Yaqueline</w:t>
      </w:r>
      <w:proofErr w:type="spellEnd"/>
      <w:r w:rsidRPr="000E2E05">
        <w:rPr>
          <w:rFonts w:ascii="Verdana" w:hAnsi="Verdana"/>
          <w:sz w:val="16"/>
          <w:szCs w:val="16"/>
          <w:lang w:val="es-CR"/>
        </w:rPr>
        <w:t xml:space="preserve"> Reyes, Luisa Fernanda Gutiérrez Reyes, Paula Camila Gutiérrez Reyes, </w:t>
      </w:r>
      <w:proofErr w:type="spellStart"/>
      <w:r w:rsidRPr="000E2E05">
        <w:rPr>
          <w:rFonts w:ascii="Verdana" w:hAnsi="Verdana"/>
          <w:sz w:val="16"/>
          <w:szCs w:val="16"/>
          <w:lang w:val="es-CR"/>
        </w:rPr>
        <w:t>Leydi</w:t>
      </w:r>
      <w:proofErr w:type="spellEnd"/>
      <w:r w:rsidRPr="000E2E05">
        <w:rPr>
          <w:rFonts w:ascii="Verdana" w:hAnsi="Verdana"/>
          <w:sz w:val="16"/>
          <w:szCs w:val="16"/>
          <w:lang w:val="es-CR"/>
        </w:rPr>
        <w:t xml:space="preserve"> </w:t>
      </w:r>
      <w:proofErr w:type="spellStart"/>
      <w:r w:rsidRPr="000E2E05">
        <w:rPr>
          <w:rFonts w:ascii="Verdana" w:hAnsi="Verdana"/>
          <w:sz w:val="16"/>
          <w:szCs w:val="16"/>
          <w:lang w:val="es-CR"/>
        </w:rPr>
        <w:t>Caterin</w:t>
      </w:r>
      <w:proofErr w:type="spellEnd"/>
      <w:r w:rsidRPr="000E2E05">
        <w:rPr>
          <w:rFonts w:ascii="Verdana" w:hAnsi="Verdana"/>
          <w:sz w:val="16"/>
          <w:szCs w:val="16"/>
          <w:lang w:val="es-CR"/>
        </w:rPr>
        <w:t xml:space="preserve"> Gutiérrez Peña y Leonardo Gutiérrez </w:t>
      </w:r>
      <w:proofErr w:type="gramStart"/>
      <w:r w:rsidRPr="000E2E05">
        <w:rPr>
          <w:rFonts w:ascii="Verdana" w:hAnsi="Verdana"/>
          <w:sz w:val="16"/>
          <w:szCs w:val="16"/>
          <w:lang w:val="es-CR"/>
        </w:rPr>
        <w:t>Rubiano[</w:t>
      </w:r>
      <w:proofErr w:type="gramEnd"/>
      <w:r w:rsidRPr="000E2E05">
        <w:rPr>
          <w:rFonts w:ascii="Verdana" w:hAnsi="Verdana"/>
          <w:sz w:val="16"/>
          <w:szCs w:val="16"/>
          <w:lang w:val="es-CR"/>
        </w:rPr>
        <w:t>, … le] han otorgado el p</w:t>
      </w:r>
      <w:r w:rsidR="00246DBD">
        <w:rPr>
          <w:rFonts w:ascii="Verdana" w:hAnsi="Verdana"/>
          <w:sz w:val="16"/>
          <w:szCs w:val="16"/>
          <w:lang w:val="es-CR"/>
        </w:rPr>
        <w:t>oder para hablar en su nombre”.</w:t>
      </w:r>
      <w:r w:rsidRPr="000E2E05">
        <w:rPr>
          <w:rFonts w:ascii="Verdana" w:hAnsi="Verdana"/>
          <w:b/>
          <w:sz w:val="16"/>
          <w:szCs w:val="16"/>
          <w:lang w:val="es-CR"/>
        </w:rPr>
        <w:t xml:space="preserve"> </w:t>
      </w:r>
      <w:r w:rsidRPr="000E2E05">
        <w:rPr>
          <w:rFonts w:ascii="Verdana" w:hAnsi="Verdana"/>
          <w:sz w:val="16"/>
          <w:szCs w:val="16"/>
          <w:lang w:val="es-CR"/>
        </w:rPr>
        <w:t>El 4 de julio de 2017 expresó que solicitaba medidas de protección para las personas aludidas, indicando, luego de nombrarlas</w:t>
      </w:r>
      <w:r w:rsidR="005D4901">
        <w:rPr>
          <w:rFonts w:ascii="Verdana" w:hAnsi="Verdana"/>
          <w:sz w:val="16"/>
          <w:szCs w:val="16"/>
          <w:lang w:val="es-CR"/>
        </w:rPr>
        <w:t>, que</w:t>
      </w:r>
      <w:r w:rsidRPr="000E2E05">
        <w:rPr>
          <w:rFonts w:ascii="Verdana" w:hAnsi="Verdana"/>
          <w:sz w:val="16"/>
          <w:szCs w:val="16"/>
          <w:lang w:val="es-CR"/>
        </w:rPr>
        <w:t xml:space="preserve"> “[e]</w:t>
      </w:r>
      <w:r w:rsidRPr="000E2E05">
        <w:rPr>
          <w:rFonts w:ascii="Verdana" w:hAnsi="Verdana" w:cs="92sqry,Bold"/>
          <w:bCs/>
          <w:sz w:val="16"/>
          <w:szCs w:val="16"/>
          <w:lang w:val="es-CR"/>
        </w:rPr>
        <w:t>l resto no</w:t>
      </w:r>
      <w:r w:rsidR="005D4901">
        <w:rPr>
          <w:rFonts w:ascii="Verdana" w:hAnsi="Verdana" w:cs="92sqry,Bold"/>
          <w:bCs/>
          <w:sz w:val="16"/>
          <w:szCs w:val="16"/>
          <w:lang w:val="es-CR"/>
        </w:rPr>
        <w:t xml:space="preserve"> </w:t>
      </w:r>
      <w:r w:rsidRPr="000E2E05">
        <w:rPr>
          <w:rFonts w:ascii="Verdana" w:hAnsi="Verdana" w:cs="92sqry,Bold"/>
          <w:bCs/>
          <w:sz w:val="16"/>
          <w:szCs w:val="16"/>
          <w:lang w:val="es-CR"/>
        </w:rPr>
        <w:t>puede contactarse</w:t>
      </w:r>
      <w:r w:rsidR="005D4901">
        <w:rPr>
          <w:rFonts w:ascii="Verdana" w:hAnsi="Verdana" w:cs="92sqry,Bold"/>
          <w:bCs/>
          <w:sz w:val="16"/>
          <w:szCs w:val="16"/>
          <w:lang w:val="es-CR"/>
        </w:rPr>
        <w:t>”;</w:t>
      </w:r>
      <w:r w:rsidRPr="000E2E05">
        <w:rPr>
          <w:rFonts w:ascii="Verdana" w:hAnsi="Verdana" w:cs="92sqry,Bold"/>
          <w:bCs/>
          <w:sz w:val="16"/>
          <w:szCs w:val="16"/>
          <w:lang w:val="es-CR"/>
        </w:rPr>
        <w:t xml:space="preserve"> </w:t>
      </w:r>
      <w:r w:rsidR="005D4901">
        <w:rPr>
          <w:rFonts w:ascii="Verdana" w:hAnsi="Verdana" w:cs="92sqry,Bold"/>
          <w:bCs/>
          <w:sz w:val="16"/>
          <w:szCs w:val="16"/>
          <w:lang w:val="es-CR"/>
        </w:rPr>
        <w:t>mencionó también a “</w:t>
      </w:r>
      <w:r w:rsidRPr="000E2E05">
        <w:rPr>
          <w:rFonts w:ascii="Verdana" w:hAnsi="Verdana" w:cs="92sqry,Bold"/>
          <w:bCs/>
          <w:sz w:val="16"/>
          <w:szCs w:val="16"/>
          <w:lang w:val="es-CR"/>
        </w:rPr>
        <w:t xml:space="preserve">Jorge </w:t>
      </w:r>
      <w:proofErr w:type="spellStart"/>
      <w:r w:rsidRPr="000E2E05">
        <w:rPr>
          <w:rFonts w:ascii="Verdana" w:hAnsi="Verdana" w:cs="92sqry,Bold"/>
          <w:bCs/>
          <w:sz w:val="16"/>
          <w:szCs w:val="16"/>
          <w:lang w:val="es-CR"/>
        </w:rPr>
        <w:t>Ivan</w:t>
      </w:r>
      <w:proofErr w:type="spellEnd"/>
      <w:r w:rsidRPr="000E2E05">
        <w:rPr>
          <w:rFonts w:ascii="Verdana" w:hAnsi="Verdana" w:cs="92sqry,Bold"/>
          <w:bCs/>
          <w:sz w:val="16"/>
          <w:szCs w:val="16"/>
          <w:lang w:val="es-CR"/>
        </w:rPr>
        <w:t xml:space="preserve"> Guti[é]</w:t>
      </w:r>
      <w:proofErr w:type="spellStart"/>
      <w:r w:rsidRPr="000E2E05">
        <w:rPr>
          <w:rFonts w:ascii="Verdana" w:hAnsi="Verdana" w:cs="92sqry,Bold"/>
          <w:bCs/>
          <w:sz w:val="16"/>
          <w:szCs w:val="16"/>
          <w:lang w:val="es-CR"/>
        </w:rPr>
        <w:t>rrez</w:t>
      </w:r>
      <w:proofErr w:type="spellEnd"/>
      <w:r w:rsidRPr="000E2E05">
        <w:rPr>
          <w:rFonts w:ascii="Verdana" w:hAnsi="Verdana" w:cs="92sqry,Bold"/>
          <w:bCs/>
          <w:sz w:val="16"/>
          <w:szCs w:val="16"/>
          <w:lang w:val="es-CR"/>
        </w:rPr>
        <w:t xml:space="preserve"> Plata”.</w:t>
      </w:r>
      <w:r w:rsidRPr="000E2E05">
        <w:rPr>
          <w:rFonts w:ascii="Verdana" w:hAnsi="Verdana" w:cs="92sqry,Bold"/>
          <w:b/>
          <w:bCs/>
          <w:sz w:val="16"/>
          <w:szCs w:val="16"/>
          <w:lang w:val="es-CR"/>
        </w:rPr>
        <w:t xml:space="preserve"> </w:t>
      </w:r>
      <w:r w:rsidR="00246DBD">
        <w:rPr>
          <w:rFonts w:ascii="Verdana" w:hAnsi="Verdana"/>
          <w:sz w:val="16"/>
          <w:szCs w:val="16"/>
          <w:lang w:val="es-CR"/>
        </w:rPr>
        <w:t>El 18 de julio</w:t>
      </w:r>
      <w:r w:rsidR="00376E49">
        <w:rPr>
          <w:rFonts w:ascii="Verdana" w:hAnsi="Verdana"/>
          <w:b/>
          <w:sz w:val="16"/>
          <w:szCs w:val="16"/>
          <w:lang w:val="es-CR"/>
        </w:rPr>
        <w:t xml:space="preserve"> </w:t>
      </w:r>
      <w:r w:rsidR="00376E49" w:rsidRPr="00376E49">
        <w:rPr>
          <w:rFonts w:ascii="Verdana" w:hAnsi="Verdana"/>
          <w:sz w:val="16"/>
          <w:szCs w:val="16"/>
          <w:lang w:val="es-CR"/>
        </w:rPr>
        <w:t>y 6 de agosto</w:t>
      </w:r>
      <w:r w:rsidR="00246DBD">
        <w:rPr>
          <w:rFonts w:ascii="Verdana" w:hAnsi="Verdana"/>
          <w:b/>
          <w:sz w:val="16"/>
          <w:szCs w:val="16"/>
          <w:lang w:val="es-CR"/>
        </w:rPr>
        <w:t xml:space="preserve"> </w:t>
      </w:r>
      <w:r w:rsidRPr="000E2E05">
        <w:rPr>
          <w:rFonts w:ascii="Verdana" w:hAnsi="Verdana"/>
          <w:sz w:val="16"/>
          <w:szCs w:val="16"/>
          <w:lang w:val="es-CR"/>
        </w:rPr>
        <w:t>de 2017 el señor Gutiérrez Soler remitió documentos a través de los cuales las otras personas nombradas, a excepción del señor Gutiérrez Plata, expresaron su voluntad de ser representadas por él</w:t>
      </w:r>
      <w:r w:rsidR="00570BFA">
        <w:rPr>
          <w:rFonts w:ascii="Verdana" w:hAnsi="Verdana"/>
          <w:sz w:val="16"/>
          <w:szCs w:val="16"/>
          <w:lang w:val="es-CR"/>
        </w:rPr>
        <w:t>.</w:t>
      </w:r>
      <w:r w:rsidRPr="000E2E05">
        <w:rPr>
          <w:rFonts w:ascii="Verdana" w:hAnsi="Verdana"/>
          <w:sz w:val="16"/>
          <w:szCs w:val="16"/>
          <w:lang w:val="es-CR"/>
        </w:rPr>
        <w:t xml:space="preserve"> Teniendo en cuenta que el 18 de julio de 2017 el señor Gutierrez Soler expresó que solicitaba medidas provisionales para él y “para su familia” y que las personas representadas por él son sus familiares, la Corte entiende que la solicitud de medidas provisionales se ha formulado en beneficio de tales personas y del señor Gutiérrez Soler, y no analizará la solicitud en relación con el señor Gutiérrez Plata. </w:t>
      </w:r>
    </w:p>
  </w:footnote>
  <w:footnote w:id="7">
    <w:p w:rsidR="007D6EB7" w:rsidRPr="007D6EB7" w:rsidRDefault="00D476E1" w:rsidP="000E2E05">
      <w:pPr>
        <w:tabs>
          <w:tab w:val="left" w:pos="567"/>
        </w:tabs>
        <w:spacing w:after="0" w:line="240" w:lineRule="auto"/>
        <w:jc w:val="both"/>
        <w:rPr>
          <w:rFonts w:ascii="Verdana" w:hAnsi="Verdana"/>
          <w:sz w:val="16"/>
          <w:szCs w:val="16"/>
          <w:lang w:val="es-ES_tradnl"/>
        </w:rPr>
      </w:pPr>
      <w:r w:rsidRPr="000E2E05">
        <w:rPr>
          <w:rStyle w:val="FootnoteReference"/>
          <w:rFonts w:ascii="Verdana" w:hAnsi="Verdana"/>
          <w:sz w:val="16"/>
          <w:szCs w:val="16"/>
        </w:rPr>
        <w:footnoteRef/>
      </w:r>
      <w:r w:rsidR="000E2E05">
        <w:rPr>
          <w:rFonts w:ascii="Verdana" w:hAnsi="Verdana"/>
          <w:i/>
          <w:iCs/>
          <w:sz w:val="16"/>
          <w:szCs w:val="16"/>
          <w:lang w:val="es-ES"/>
        </w:rPr>
        <w:t xml:space="preserve"> </w:t>
      </w:r>
      <w:r w:rsidRPr="000E2E05">
        <w:rPr>
          <w:rFonts w:ascii="Verdana" w:hAnsi="Verdana"/>
          <w:i/>
          <w:iCs/>
          <w:sz w:val="16"/>
          <w:szCs w:val="16"/>
          <w:lang w:val="es-ES"/>
        </w:rPr>
        <w:t>Cfr.</w:t>
      </w:r>
      <w:r w:rsidR="007D6EB7">
        <w:rPr>
          <w:rFonts w:ascii="Verdana" w:hAnsi="Verdana"/>
          <w:sz w:val="16"/>
          <w:szCs w:val="16"/>
          <w:lang w:val="es-ES_tradnl"/>
        </w:rPr>
        <w:t xml:space="preserve"> </w:t>
      </w:r>
      <w:r w:rsidR="007D6EB7" w:rsidRPr="00246DBD">
        <w:rPr>
          <w:rFonts w:ascii="Verdana" w:hAnsi="Verdana"/>
          <w:i/>
          <w:sz w:val="16"/>
          <w:szCs w:val="16"/>
          <w:lang w:val="es-ES_tradnl"/>
        </w:rPr>
        <w:t>Asunto</w:t>
      </w:r>
      <w:r w:rsidR="007D6EB7">
        <w:rPr>
          <w:rFonts w:ascii="Verdana" w:hAnsi="Verdana"/>
          <w:sz w:val="16"/>
          <w:szCs w:val="16"/>
          <w:lang w:val="es-ES_tradnl"/>
        </w:rPr>
        <w:t xml:space="preserve"> </w:t>
      </w:r>
      <w:r w:rsidR="007D6EB7">
        <w:rPr>
          <w:rFonts w:ascii="Verdana" w:hAnsi="Verdana"/>
          <w:i/>
          <w:sz w:val="16"/>
          <w:szCs w:val="16"/>
          <w:lang w:val="es-ES_tradnl"/>
        </w:rPr>
        <w:t xml:space="preserve">Belfort </w:t>
      </w:r>
      <w:proofErr w:type="spellStart"/>
      <w:r w:rsidR="007D6EB7">
        <w:rPr>
          <w:rFonts w:ascii="Verdana" w:hAnsi="Verdana"/>
          <w:i/>
          <w:sz w:val="16"/>
          <w:szCs w:val="16"/>
          <w:lang w:val="es-ES_tradnl"/>
        </w:rPr>
        <w:t>Istúriz</w:t>
      </w:r>
      <w:proofErr w:type="spellEnd"/>
      <w:r w:rsidR="007D6EB7">
        <w:rPr>
          <w:rFonts w:ascii="Verdana" w:hAnsi="Verdana"/>
          <w:i/>
          <w:sz w:val="16"/>
          <w:szCs w:val="16"/>
          <w:lang w:val="es-ES_tradnl"/>
        </w:rPr>
        <w:t xml:space="preserve"> y otros respecto Venezuela. Medidas Provisionales. </w:t>
      </w:r>
      <w:r w:rsidR="007D6EB7" w:rsidRPr="00246DBD">
        <w:rPr>
          <w:rFonts w:ascii="Verdana" w:hAnsi="Verdana"/>
          <w:sz w:val="16"/>
          <w:szCs w:val="16"/>
          <w:lang w:val="es-ES_tradnl"/>
        </w:rPr>
        <w:t>Resolución de la Corte de 15 de abril de 2010, Considerando 5</w:t>
      </w:r>
      <w:r w:rsidRPr="000E2E05">
        <w:rPr>
          <w:rFonts w:ascii="Verdana" w:hAnsi="Verdana"/>
          <w:sz w:val="16"/>
          <w:szCs w:val="16"/>
          <w:lang w:val="es-ES_tradnl"/>
        </w:rPr>
        <w:t xml:space="preserve">, y </w:t>
      </w:r>
      <w:r w:rsidRPr="000E2E05">
        <w:rPr>
          <w:rFonts w:ascii="Verdana" w:hAnsi="Verdana"/>
          <w:i/>
          <w:sz w:val="16"/>
          <w:szCs w:val="16"/>
          <w:lang w:val="es-ES_tradnl"/>
        </w:rPr>
        <w:t>Caso I.V. Vs. Bolivia.</w:t>
      </w:r>
      <w:r w:rsidRPr="000E2E05">
        <w:rPr>
          <w:rFonts w:ascii="Verdana" w:hAnsi="Verdana"/>
          <w:sz w:val="16"/>
          <w:szCs w:val="16"/>
          <w:lang w:val="es-ES_tradnl"/>
        </w:rPr>
        <w:t xml:space="preserve"> </w:t>
      </w:r>
      <w:r w:rsidRPr="004A4401">
        <w:rPr>
          <w:rFonts w:ascii="Verdana" w:hAnsi="Verdana"/>
          <w:i/>
          <w:sz w:val="16"/>
          <w:szCs w:val="16"/>
          <w:lang w:val="es-ES_tradnl"/>
        </w:rPr>
        <w:t>Rechazo de la Solicitud de Medidas Provisionales</w:t>
      </w:r>
      <w:r w:rsidRPr="000E2E05">
        <w:rPr>
          <w:rFonts w:ascii="Verdana" w:hAnsi="Verdana"/>
          <w:sz w:val="16"/>
          <w:szCs w:val="16"/>
          <w:lang w:val="es-ES_tradnl"/>
        </w:rPr>
        <w:t xml:space="preserve">. Resolución de la Corte de 25 de mayo de 2017, Considerando 6. </w:t>
      </w:r>
    </w:p>
  </w:footnote>
  <w:footnote w:id="8">
    <w:p w:rsidR="00D476E1" w:rsidRPr="000E2E05" w:rsidRDefault="00D476E1" w:rsidP="000E2E05">
      <w:pPr>
        <w:tabs>
          <w:tab w:val="left" w:pos="567"/>
        </w:tabs>
        <w:spacing w:after="0" w:line="240" w:lineRule="auto"/>
        <w:jc w:val="both"/>
        <w:rPr>
          <w:rFonts w:ascii="Verdana" w:hAnsi="Verdana"/>
          <w:sz w:val="16"/>
          <w:szCs w:val="16"/>
          <w:lang w:val="es-DO"/>
        </w:rPr>
      </w:pPr>
      <w:r w:rsidRPr="000E2E05">
        <w:rPr>
          <w:rStyle w:val="FootnoteReference"/>
          <w:rFonts w:ascii="Verdana" w:hAnsi="Verdana"/>
          <w:sz w:val="16"/>
          <w:szCs w:val="16"/>
        </w:rPr>
        <w:footnoteRef/>
      </w:r>
      <w:r w:rsidR="000E2E05">
        <w:rPr>
          <w:rFonts w:ascii="Verdana" w:hAnsi="Verdana"/>
          <w:i/>
          <w:sz w:val="16"/>
          <w:szCs w:val="16"/>
          <w:lang w:val="es-CR"/>
        </w:rPr>
        <w:t xml:space="preserve"> </w:t>
      </w:r>
      <w:r w:rsidRPr="000E2E05">
        <w:rPr>
          <w:rFonts w:ascii="Verdana" w:hAnsi="Verdana"/>
          <w:i/>
          <w:sz w:val="16"/>
          <w:szCs w:val="16"/>
          <w:lang w:val="es-CR"/>
        </w:rPr>
        <w:t>Cfr. Asunto</w:t>
      </w:r>
      <w:r w:rsidR="00D906B2">
        <w:rPr>
          <w:rFonts w:ascii="Verdana" w:hAnsi="Verdana"/>
          <w:i/>
          <w:sz w:val="16"/>
          <w:szCs w:val="16"/>
          <w:lang w:val="es-CR"/>
        </w:rPr>
        <w:t xml:space="preserve"> del</w:t>
      </w:r>
      <w:r w:rsidRPr="000E2E05">
        <w:rPr>
          <w:rFonts w:ascii="Verdana" w:hAnsi="Verdana"/>
          <w:i/>
          <w:sz w:val="16"/>
          <w:szCs w:val="16"/>
          <w:lang w:val="es-CR"/>
        </w:rPr>
        <w:t xml:space="preserve"> Internado Judicial de Monagas (“La Pica”)</w:t>
      </w:r>
      <w:r w:rsidR="003F4134">
        <w:rPr>
          <w:rFonts w:ascii="Verdana" w:hAnsi="Verdana"/>
          <w:i/>
          <w:sz w:val="16"/>
          <w:szCs w:val="16"/>
          <w:lang w:val="es-CR"/>
        </w:rPr>
        <w:t xml:space="preserve"> </w:t>
      </w:r>
      <w:r w:rsidR="0071225C">
        <w:rPr>
          <w:rFonts w:ascii="Verdana" w:hAnsi="Verdana"/>
          <w:i/>
          <w:sz w:val="16"/>
          <w:szCs w:val="16"/>
          <w:lang w:val="es-CR"/>
        </w:rPr>
        <w:t>respecto Venezuela</w:t>
      </w:r>
      <w:r w:rsidRPr="000E2E05">
        <w:rPr>
          <w:rFonts w:ascii="Verdana" w:hAnsi="Verdana"/>
          <w:i/>
          <w:sz w:val="16"/>
          <w:szCs w:val="16"/>
          <w:lang w:val="es-CR"/>
        </w:rPr>
        <w:t xml:space="preserve">. </w:t>
      </w:r>
      <w:r w:rsidRPr="008F6F51">
        <w:rPr>
          <w:rFonts w:ascii="Verdana" w:hAnsi="Verdana"/>
          <w:i/>
          <w:sz w:val="16"/>
          <w:szCs w:val="16"/>
          <w:lang w:val="es-CR"/>
        </w:rPr>
        <w:t>Medidas Provisionales</w:t>
      </w:r>
      <w:r w:rsidRPr="000E2E05">
        <w:rPr>
          <w:rFonts w:ascii="Verdana" w:hAnsi="Verdana"/>
          <w:sz w:val="16"/>
          <w:szCs w:val="16"/>
          <w:lang w:val="es-CR"/>
        </w:rPr>
        <w:t xml:space="preserve">. Resolución de la Corte de 24 de noviembre de 2009, Considerando 3, y </w:t>
      </w:r>
      <w:r w:rsidRPr="000E2E05">
        <w:rPr>
          <w:rFonts w:ascii="Verdana" w:hAnsi="Verdana"/>
          <w:i/>
          <w:sz w:val="16"/>
          <w:szCs w:val="16"/>
          <w:lang w:val="es-ES_tradnl"/>
        </w:rPr>
        <w:t>Caso I.V. Vs. Bolivia.</w:t>
      </w:r>
      <w:r w:rsidRPr="000E2E05">
        <w:rPr>
          <w:rFonts w:ascii="Verdana" w:hAnsi="Verdana"/>
          <w:sz w:val="16"/>
          <w:szCs w:val="16"/>
          <w:lang w:val="es-ES_tradnl"/>
        </w:rPr>
        <w:t xml:space="preserve"> </w:t>
      </w:r>
      <w:r w:rsidRPr="008F6F51">
        <w:rPr>
          <w:rFonts w:ascii="Verdana" w:hAnsi="Verdana"/>
          <w:i/>
          <w:sz w:val="16"/>
          <w:szCs w:val="16"/>
          <w:lang w:val="es-ES_tradnl"/>
        </w:rPr>
        <w:t>Rechazo de la Solicitud de Medidas Provisionales</w:t>
      </w:r>
      <w:r w:rsidR="003F669E">
        <w:rPr>
          <w:rFonts w:ascii="Verdana" w:hAnsi="Verdana"/>
          <w:sz w:val="16"/>
          <w:szCs w:val="16"/>
          <w:lang w:val="es-ES_tradnl"/>
        </w:rPr>
        <w:t xml:space="preserve">, </w:t>
      </w:r>
      <w:r w:rsidR="003F669E" w:rsidRPr="003F669E">
        <w:rPr>
          <w:rFonts w:ascii="Verdana" w:hAnsi="Verdana"/>
          <w:i/>
          <w:sz w:val="16"/>
          <w:szCs w:val="16"/>
          <w:lang w:val="es-ES_tradnl"/>
        </w:rPr>
        <w:t>supra</w:t>
      </w:r>
      <w:r w:rsidRPr="000E2E05">
        <w:rPr>
          <w:rFonts w:ascii="Verdana" w:hAnsi="Verdana"/>
          <w:sz w:val="16"/>
          <w:szCs w:val="16"/>
          <w:lang w:val="es-ES_tradnl"/>
        </w:rPr>
        <w:t>, Considerando 6.</w:t>
      </w:r>
    </w:p>
  </w:footnote>
  <w:footnote w:id="9">
    <w:p w:rsidR="00D476E1" w:rsidRPr="000E2E05" w:rsidRDefault="00D476E1" w:rsidP="000E2E05">
      <w:pPr>
        <w:tabs>
          <w:tab w:val="left" w:pos="567"/>
          <w:tab w:val="left" w:pos="1215"/>
        </w:tabs>
        <w:spacing w:after="0" w:line="240" w:lineRule="auto"/>
        <w:jc w:val="both"/>
        <w:rPr>
          <w:rFonts w:ascii="Verdana" w:hAnsi="Verdana"/>
          <w:sz w:val="16"/>
          <w:szCs w:val="16"/>
          <w:lang w:val="es-CR"/>
        </w:rPr>
      </w:pPr>
      <w:r w:rsidRPr="000E2E05">
        <w:rPr>
          <w:rStyle w:val="FootnoteReference"/>
          <w:rFonts w:ascii="Verdana" w:hAnsi="Verdana" w:cs="Arial"/>
          <w:sz w:val="16"/>
          <w:szCs w:val="16"/>
        </w:rPr>
        <w:footnoteRef/>
      </w:r>
      <w:r w:rsidR="000E2E05">
        <w:rPr>
          <w:rFonts w:ascii="Verdana" w:hAnsi="Verdana"/>
          <w:i/>
          <w:sz w:val="16"/>
          <w:szCs w:val="16"/>
          <w:lang w:val="es-CR"/>
        </w:rPr>
        <w:t xml:space="preserve"> </w:t>
      </w:r>
      <w:r w:rsidRPr="000E2E05">
        <w:rPr>
          <w:rFonts w:ascii="Verdana" w:hAnsi="Verdana"/>
          <w:i/>
          <w:sz w:val="16"/>
          <w:szCs w:val="16"/>
          <w:lang w:val="es-CR"/>
        </w:rPr>
        <w:t xml:space="preserve">Cfr. </w:t>
      </w:r>
      <w:r w:rsidRPr="000E2E05">
        <w:rPr>
          <w:rFonts w:ascii="Verdana" w:hAnsi="Verdana"/>
          <w:i/>
          <w:sz w:val="16"/>
          <w:szCs w:val="16"/>
          <w:lang w:val="es-CR" w:bidi="en-US"/>
        </w:rPr>
        <w:t xml:space="preserve">Caso Carpio </w:t>
      </w:r>
      <w:proofErr w:type="spellStart"/>
      <w:r w:rsidRPr="000E2E05">
        <w:rPr>
          <w:rFonts w:ascii="Verdana" w:hAnsi="Verdana"/>
          <w:i/>
          <w:sz w:val="16"/>
          <w:szCs w:val="16"/>
          <w:lang w:val="es-CR" w:bidi="en-US"/>
        </w:rPr>
        <w:t>Nicolle</w:t>
      </w:r>
      <w:proofErr w:type="spellEnd"/>
      <w:r w:rsidR="003F4134">
        <w:rPr>
          <w:rFonts w:ascii="Verdana" w:hAnsi="Verdana"/>
          <w:i/>
          <w:sz w:val="16"/>
          <w:szCs w:val="16"/>
          <w:lang w:val="es-CR" w:bidi="en-US"/>
        </w:rPr>
        <w:t xml:space="preserve"> y otros respecto Guatemala</w:t>
      </w:r>
      <w:r w:rsidRPr="000E2E05">
        <w:rPr>
          <w:rFonts w:ascii="Verdana" w:hAnsi="Verdana"/>
          <w:i/>
          <w:sz w:val="16"/>
          <w:szCs w:val="16"/>
          <w:lang w:val="es-CR" w:bidi="en-US"/>
        </w:rPr>
        <w:t xml:space="preserve">. </w:t>
      </w:r>
      <w:r w:rsidRPr="008F6F51">
        <w:rPr>
          <w:rFonts w:ascii="Verdana" w:hAnsi="Verdana"/>
          <w:i/>
          <w:sz w:val="16"/>
          <w:szCs w:val="16"/>
          <w:lang w:val="es-CR" w:bidi="en-US"/>
        </w:rPr>
        <w:t>Medidas Provisionales</w:t>
      </w:r>
      <w:r w:rsidR="0071225C">
        <w:rPr>
          <w:rFonts w:ascii="Verdana" w:hAnsi="Verdana"/>
          <w:i/>
          <w:sz w:val="16"/>
          <w:szCs w:val="16"/>
          <w:lang w:val="es-CR" w:bidi="en-US"/>
        </w:rPr>
        <w:t>.</w:t>
      </w:r>
      <w:r w:rsidRPr="000E2E05">
        <w:rPr>
          <w:rFonts w:ascii="Verdana" w:hAnsi="Verdana"/>
          <w:sz w:val="16"/>
          <w:szCs w:val="16"/>
          <w:lang w:val="es-CR" w:bidi="en-US"/>
        </w:rPr>
        <w:t xml:space="preserve"> </w:t>
      </w:r>
      <w:r w:rsidR="008F6F51" w:rsidRPr="000E2E05">
        <w:rPr>
          <w:rFonts w:ascii="Verdana" w:hAnsi="Verdana"/>
          <w:sz w:val="16"/>
          <w:szCs w:val="16"/>
          <w:lang w:val="es-ES_tradnl"/>
        </w:rPr>
        <w:t>Resolución de la Corte de 6 de julio de 2009</w:t>
      </w:r>
      <w:r w:rsidRPr="000E2E05">
        <w:rPr>
          <w:rFonts w:ascii="Verdana" w:hAnsi="Verdana"/>
          <w:i/>
          <w:sz w:val="16"/>
          <w:szCs w:val="16"/>
          <w:lang w:val="es-CR" w:bidi="en-US"/>
        </w:rPr>
        <w:t>,</w:t>
      </w:r>
      <w:r w:rsidRPr="000E2E05">
        <w:rPr>
          <w:rFonts w:ascii="Verdana" w:hAnsi="Verdana"/>
          <w:sz w:val="16"/>
          <w:szCs w:val="16"/>
          <w:lang w:val="es-CR" w:bidi="en-US"/>
        </w:rPr>
        <w:t xml:space="preserve"> Considerando 14, y </w:t>
      </w:r>
      <w:r w:rsidRPr="000E2E05">
        <w:rPr>
          <w:rFonts w:ascii="Verdana" w:hAnsi="Verdana"/>
          <w:i/>
          <w:sz w:val="16"/>
          <w:szCs w:val="16"/>
          <w:lang w:val="es-ES_tradnl"/>
        </w:rPr>
        <w:t>Caso I.V. Vs. Bolivia.</w:t>
      </w:r>
      <w:r w:rsidRPr="000E2E05">
        <w:rPr>
          <w:rFonts w:ascii="Verdana" w:hAnsi="Verdana"/>
          <w:sz w:val="16"/>
          <w:szCs w:val="16"/>
          <w:lang w:val="es-ES_tradnl"/>
        </w:rPr>
        <w:t xml:space="preserve"> </w:t>
      </w:r>
      <w:r w:rsidRPr="008F6F51">
        <w:rPr>
          <w:rFonts w:ascii="Verdana" w:hAnsi="Verdana"/>
          <w:i/>
          <w:sz w:val="16"/>
          <w:szCs w:val="16"/>
          <w:lang w:val="es-ES_tradnl"/>
        </w:rPr>
        <w:t>Rechazo de la Solicitud de Medidas Provisionales</w:t>
      </w:r>
      <w:r w:rsidR="003F669E">
        <w:rPr>
          <w:rFonts w:ascii="Verdana" w:hAnsi="Verdana"/>
          <w:sz w:val="16"/>
          <w:szCs w:val="16"/>
          <w:lang w:val="es-ES_tradnl"/>
        </w:rPr>
        <w:t xml:space="preserve">, </w:t>
      </w:r>
      <w:r w:rsidR="003F669E" w:rsidRPr="003F669E">
        <w:rPr>
          <w:rFonts w:ascii="Verdana" w:hAnsi="Verdana"/>
          <w:i/>
          <w:sz w:val="16"/>
          <w:szCs w:val="16"/>
          <w:lang w:val="es-ES_tradnl"/>
        </w:rPr>
        <w:t>supra</w:t>
      </w:r>
      <w:r w:rsidRPr="000E2E05">
        <w:rPr>
          <w:rFonts w:ascii="Verdana" w:hAnsi="Verdana"/>
          <w:sz w:val="16"/>
          <w:szCs w:val="16"/>
          <w:lang w:val="es-ES_tradnl"/>
        </w:rPr>
        <w:t>, Considerando 6.</w:t>
      </w:r>
    </w:p>
  </w:footnote>
  <w:footnote w:id="10">
    <w:p w:rsidR="00D476E1" w:rsidRPr="000E2E05" w:rsidRDefault="00D476E1" w:rsidP="000E2E05">
      <w:pPr>
        <w:tabs>
          <w:tab w:val="left" w:pos="567"/>
        </w:tabs>
        <w:spacing w:after="0" w:line="240" w:lineRule="auto"/>
        <w:jc w:val="both"/>
        <w:rPr>
          <w:rFonts w:ascii="Verdana" w:hAnsi="Verdana"/>
          <w:b/>
          <w:sz w:val="16"/>
          <w:szCs w:val="16"/>
          <w:lang w:val="es-AR"/>
        </w:rPr>
      </w:pPr>
      <w:r w:rsidRPr="000E2E05">
        <w:rPr>
          <w:rStyle w:val="FootnoteReference"/>
          <w:rFonts w:ascii="Verdana" w:hAnsi="Verdana" w:cs="Arial"/>
          <w:sz w:val="16"/>
          <w:szCs w:val="16"/>
        </w:rPr>
        <w:footnoteRef/>
      </w:r>
      <w:r w:rsidR="000E2E05">
        <w:rPr>
          <w:rFonts w:ascii="Verdana" w:hAnsi="Verdana"/>
          <w:i/>
          <w:sz w:val="16"/>
          <w:szCs w:val="16"/>
          <w:lang w:val="es-ES"/>
        </w:rPr>
        <w:t xml:space="preserve"> </w:t>
      </w:r>
      <w:r w:rsidRPr="000E2E05">
        <w:rPr>
          <w:rFonts w:ascii="Verdana" w:hAnsi="Verdana"/>
          <w:i/>
          <w:sz w:val="16"/>
          <w:szCs w:val="16"/>
          <w:lang w:val="es-ES"/>
        </w:rPr>
        <w:t>Cfr.</w:t>
      </w:r>
      <w:r w:rsidRPr="000E2E05">
        <w:rPr>
          <w:rFonts w:ascii="Verdana" w:hAnsi="Verdana"/>
          <w:sz w:val="16"/>
          <w:szCs w:val="16"/>
          <w:lang w:val="es-ES"/>
        </w:rPr>
        <w:t xml:space="preserve"> </w:t>
      </w:r>
      <w:r w:rsidRPr="000E2E05">
        <w:rPr>
          <w:rFonts w:ascii="Verdana" w:hAnsi="Verdana"/>
          <w:i/>
          <w:sz w:val="16"/>
          <w:szCs w:val="16"/>
          <w:lang w:val="es-ES"/>
        </w:rPr>
        <w:t xml:space="preserve">Asunto James y </w:t>
      </w:r>
      <w:proofErr w:type="gramStart"/>
      <w:r w:rsidRPr="000E2E05">
        <w:rPr>
          <w:rFonts w:ascii="Verdana" w:hAnsi="Verdana"/>
          <w:i/>
          <w:sz w:val="16"/>
          <w:szCs w:val="16"/>
          <w:lang w:val="es-ES"/>
        </w:rPr>
        <w:t>otros</w:t>
      </w:r>
      <w:r w:rsidR="0071225C">
        <w:rPr>
          <w:rFonts w:ascii="Verdana" w:hAnsi="Verdana"/>
          <w:i/>
          <w:sz w:val="16"/>
          <w:szCs w:val="16"/>
          <w:lang w:val="es-ES"/>
        </w:rPr>
        <w:t xml:space="preserve"> respecto</w:t>
      </w:r>
      <w:proofErr w:type="gramEnd"/>
      <w:r w:rsidR="0071225C">
        <w:rPr>
          <w:rFonts w:ascii="Verdana" w:hAnsi="Verdana"/>
          <w:i/>
          <w:sz w:val="16"/>
          <w:szCs w:val="16"/>
          <w:lang w:val="es-ES"/>
        </w:rPr>
        <w:t xml:space="preserve"> Trinidad y Tobago</w:t>
      </w:r>
      <w:r w:rsidRPr="000E2E05">
        <w:rPr>
          <w:rFonts w:ascii="Verdana" w:hAnsi="Verdana"/>
          <w:i/>
          <w:sz w:val="16"/>
          <w:szCs w:val="16"/>
          <w:lang w:val="es-ES"/>
        </w:rPr>
        <w:t xml:space="preserve">. </w:t>
      </w:r>
      <w:r w:rsidRPr="008F6F51">
        <w:rPr>
          <w:rFonts w:ascii="Verdana" w:hAnsi="Verdana"/>
          <w:i/>
          <w:sz w:val="16"/>
          <w:szCs w:val="16"/>
          <w:lang w:val="es-ES"/>
        </w:rPr>
        <w:t>Medidas Provisionales</w:t>
      </w:r>
      <w:r w:rsidRPr="000E2E05">
        <w:rPr>
          <w:rFonts w:ascii="Verdana" w:hAnsi="Verdana"/>
          <w:i/>
          <w:sz w:val="16"/>
          <w:szCs w:val="16"/>
          <w:lang w:val="es-ES"/>
        </w:rPr>
        <w:t xml:space="preserve">. </w:t>
      </w:r>
      <w:r w:rsidRPr="000E2E05">
        <w:rPr>
          <w:rFonts w:ascii="Verdana" w:hAnsi="Verdana"/>
          <w:bCs/>
          <w:color w:val="000000"/>
          <w:sz w:val="16"/>
          <w:szCs w:val="16"/>
          <w:lang w:val="es-ES"/>
        </w:rPr>
        <w:t xml:space="preserve">Resolución de la Corte </w:t>
      </w:r>
      <w:r w:rsidRPr="000E2E05">
        <w:rPr>
          <w:rFonts w:ascii="Verdana" w:hAnsi="Verdana"/>
          <w:sz w:val="16"/>
          <w:szCs w:val="16"/>
          <w:lang w:val="es-ES"/>
        </w:rPr>
        <w:t>de 29 de agosto de 1998, Considerando 6, y</w:t>
      </w:r>
      <w:r w:rsidRPr="000E2E05">
        <w:rPr>
          <w:rFonts w:ascii="Verdana" w:hAnsi="Verdana"/>
          <w:i/>
          <w:sz w:val="16"/>
          <w:szCs w:val="16"/>
          <w:lang w:val="es-ES_tradnl"/>
        </w:rPr>
        <w:t xml:space="preserve"> Caso I.V. Vs. Bolivia.</w:t>
      </w:r>
      <w:r w:rsidRPr="000E2E05">
        <w:rPr>
          <w:rFonts w:ascii="Verdana" w:hAnsi="Verdana"/>
          <w:sz w:val="16"/>
          <w:szCs w:val="16"/>
          <w:lang w:val="es-ES_tradnl"/>
        </w:rPr>
        <w:t xml:space="preserve"> </w:t>
      </w:r>
      <w:r w:rsidRPr="008F6F51">
        <w:rPr>
          <w:rFonts w:ascii="Verdana" w:hAnsi="Verdana"/>
          <w:i/>
          <w:sz w:val="16"/>
          <w:szCs w:val="16"/>
          <w:lang w:val="es-ES_tradnl"/>
        </w:rPr>
        <w:t>Rechazo de la Solicitud de Medidas Provisionales</w:t>
      </w:r>
      <w:r w:rsidR="003F669E">
        <w:rPr>
          <w:rFonts w:ascii="Verdana" w:hAnsi="Verdana"/>
          <w:sz w:val="16"/>
          <w:szCs w:val="16"/>
          <w:lang w:val="es-ES_tradnl"/>
        </w:rPr>
        <w:t xml:space="preserve">, </w:t>
      </w:r>
      <w:r w:rsidR="003F669E" w:rsidRPr="003F669E">
        <w:rPr>
          <w:rFonts w:ascii="Verdana" w:hAnsi="Verdana"/>
          <w:i/>
          <w:sz w:val="16"/>
          <w:szCs w:val="16"/>
          <w:lang w:val="es-ES_tradnl"/>
        </w:rPr>
        <w:t>supra</w:t>
      </w:r>
      <w:r w:rsidRPr="000E2E05">
        <w:rPr>
          <w:rFonts w:ascii="Verdana" w:hAnsi="Verdana"/>
          <w:sz w:val="16"/>
          <w:szCs w:val="16"/>
          <w:lang w:val="es-ES_tradnl"/>
        </w:rPr>
        <w:t>, Considerando 6</w:t>
      </w:r>
      <w:r w:rsidRPr="000E2E05">
        <w:rPr>
          <w:rFonts w:ascii="Verdana" w:hAnsi="Verdana"/>
          <w:sz w:val="16"/>
          <w:szCs w:val="16"/>
          <w:lang w:val="es-ES"/>
        </w:rPr>
        <w:t>.</w:t>
      </w:r>
    </w:p>
  </w:footnote>
  <w:footnote w:id="11">
    <w:p w:rsidR="00D476E1" w:rsidRPr="000E2E05" w:rsidRDefault="00D476E1" w:rsidP="000E2E05">
      <w:pPr>
        <w:tabs>
          <w:tab w:val="left" w:pos="567"/>
        </w:tabs>
        <w:spacing w:after="0" w:line="240" w:lineRule="auto"/>
        <w:jc w:val="both"/>
        <w:rPr>
          <w:rFonts w:ascii="Verdana" w:hAnsi="Verdana"/>
          <w:b/>
          <w:sz w:val="16"/>
          <w:szCs w:val="16"/>
          <w:lang w:val="es-AR"/>
        </w:rPr>
      </w:pPr>
      <w:r w:rsidRPr="000E2E05">
        <w:rPr>
          <w:rStyle w:val="FootnoteReference"/>
          <w:rFonts w:ascii="Verdana" w:hAnsi="Verdana" w:cs="Arial"/>
          <w:sz w:val="16"/>
          <w:szCs w:val="16"/>
        </w:rPr>
        <w:footnoteRef/>
      </w:r>
      <w:r w:rsidRPr="000E2E05">
        <w:rPr>
          <w:rFonts w:ascii="Verdana" w:hAnsi="Verdana"/>
          <w:sz w:val="16"/>
          <w:szCs w:val="16"/>
          <w:lang w:val="es-GT"/>
        </w:rPr>
        <w:t xml:space="preserve"> </w:t>
      </w:r>
      <w:r w:rsidRPr="000E2E05">
        <w:rPr>
          <w:rFonts w:ascii="Verdana" w:hAnsi="Verdana"/>
          <w:i/>
          <w:sz w:val="16"/>
          <w:szCs w:val="16"/>
          <w:lang w:val="es-ES"/>
        </w:rPr>
        <w:t>Cfr.</w:t>
      </w:r>
      <w:r w:rsidRPr="000E2E05">
        <w:rPr>
          <w:rFonts w:ascii="Verdana" w:hAnsi="Verdana"/>
          <w:sz w:val="16"/>
          <w:szCs w:val="16"/>
          <w:lang w:val="es-ES"/>
        </w:rPr>
        <w:t xml:space="preserve">, en el mismo sentido, </w:t>
      </w:r>
      <w:r w:rsidRPr="000E2E05">
        <w:rPr>
          <w:rFonts w:ascii="Verdana" w:hAnsi="Verdana"/>
          <w:i/>
          <w:sz w:val="16"/>
          <w:szCs w:val="16"/>
          <w:lang w:val="es-ES_tradnl"/>
        </w:rPr>
        <w:t>Caso I.V. Vs. Bolivia.</w:t>
      </w:r>
      <w:r w:rsidRPr="000E2E05">
        <w:rPr>
          <w:rFonts w:ascii="Verdana" w:hAnsi="Verdana"/>
          <w:sz w:val="16"/>
          <w:szCs w:val="16"/>
          <w:lang w:val="es-ES_tradnl"/>
        </w:rPr>
        <w:t xml:space="preserve"> </w:t>
      </w:r>
      <w:r w:rsidRPr="00536879">
        <w:rPr>
          <w:rFonts w:ascii="Verdana" w:hAnsi="Verdana"/>
          <w:i/>
          <w:sz w:val="16"/>
          <w:szCs w:val="16"/>
          <w:lang w:val="es-ES_tradnl"/>
        </w:rPr>
        <w:t>Rechazo de la Solicitud de Medidas Provisionales</w:t>
      </w:r>
      <w:r w:rsidR="009D2BD2" w:rsidRPr="009D2BD2">
        <w:rPr>
          <w:rFonts w:ascii="Verdana" w:hAnsi="Verdana"/>
          <w:i/>
          <w:sz w:val="16"/>
          <w:szCs w:val="16"/>
          <w:lang w:val="es-ES_tradnl"/>
        </w:rPr>
        <w:t>, supra</w:t>
      </w:r>
      <w:r w:rsidRPr="000E2E05">
        <w:rPr>
          <w:rFonts w:ascii="Verdana" w:hAnsi="Verdana"/>
          <w:sz w:val="16"/>
          <w:szCs w:val="16"/>
          <w:lang w:val="es-ES_tradnl"/>
        </w:rPr>
        <w:t>, Considerando 6</w:t>
      </w:r>
      <w:r w:rsidRPr="000E2E05">
        <w:rPr>
          <w:rFonts w:ascii="Verdana" w:hAnsi="Verdana"/>
          <w:sz w:val="16"/>
          <w:szCs w:val="16"/>
          <w:lang w:val="es-ES"/>
        </w:rPr>
        <w:t>.</w:t>
      </w:r>
    </w:p>
  </w:footnote>
  <w:footnote w:id="12">
    <w:p w:rsidR="007D6B81" w:rsidRPr="000E2E05" w:rsidRDefault="007D6B81" w:rsidP="000E2E05">
      <w:pPr>
        <w:pStyle w:val="FootnoteText"/>
        <w:jc w:val="both"/>
        <w:rPr>
          <w:rFonts w:ascii="Verdana" w:hAnsi="Verdana"/>
          <w:sz w:val="16"/>
          <w:szCs w:val="16"/>
          <w:lang w:val="es-CR"/>
        </w:rPr>
      </w:pPr>
      <w:r w:rsidRPr="000E2E05">
        <w:rPr>
          <w:rStyle w:val="FootnoteReference"/>
          <w:rFonts w:ascii="Verdana" w:hAnsi="Verdana"/>
          <w:sz w:val="16"/>
          <w:szCs w:val="16"/>
        </w:rPr>
        <w:footnoteRef/>
      </w:r>
      <w:r w:rsidRPr="000E2E05">
        <w:rPr>
          <w:rFonts w:ascii="Verdana" w:hAnsi="Verdana"/>
          <w:sz w:val="16"/>
          <w:szCs w:val="16"/>
          <w:lang w:val="es-CR"/>
        </w:rPr>
        <w:t xml:space="preserve"> El representante expresó lo indicado en una comunicación dir</w:t>
      </w:r>
      <w:r w:rsidR="009D2BD2">
        <w:rPr>
          <w:rFonts w:ascii="Verdana" w:hAnsi="Verdana"/>
          <w:sz w:val="16"/>
          <w:szCs w:val="16"/>
          <w:lang w:val="es-CR"/>
        </w:rPr>
        <w:t>igida a autoridades internas de</w:t>
      </w:r>
      <w:r w:rsidR="00246DBD">
        <w:rPr>
          <w:rFonts w:ascii="Verdana" w:hAnsi="Verdana"/>
          <w:sz w:val="16"/>
          <w:szCs w:val="16"/>
          <w:lang w:val="es-CR"/>
        </w:rPr>
        <w:t xml:space="preserve"> 6 de noviembre de 2014.</w:t>
      </w:r>
    </w:p>
  </w:footnote>
  <w:footnote w:id="13">
    <w:p w:rsidR="007D6B81" w:rsidRPr="000E2E05" w:rsidRDefault="007D6B81" w:rsidP="000E2E05">
      <w:pPr>
        <w:pStyle w:val="FootnoteText"/>
        <w:jc w:val="both"/>
        <w:rPr>
          <w:rFonts w:ascii="Verdana" w:hAnsi="Verdana"/>
          <w:sz w:val="16"/>
          <w:szCs w:val="16"/>
          <w:lang w:val="es-CR"/>
        </w:rPr>
      </w:pPr>
      <w:r w:rsidRPr="000E2E05">
        <w:rPr>
          <w:rStyle w:val="FootnoteReference"/>
          <w:rFonts w:ascii="Verdana" w:hAnsi="Verdana"/>
          <w:sz w:val="16"/>
          <w:szCs w:val="16"/>
        </w:rPr>
        <w:footnoteRef/>
      </w:r>
      <w:r w:rsidRPr="000E2E05">
        <w:rPr>
          <w:rFonts w:ascii="Verdana" w:hAnsi="Verdana"/>
          <w:sz w:val="16"/>
          <w:szCs w:val="16"/>
          <w:lang w:val="es-CR"/>
        </w:rPr>
        <w:t xml:space="preserve"> </w:t>
      </w:r>
      <w:r w:rsidR="0071225C">
        <w:rPr>
          <w:rFonts w:ascii="Verdana" w:hAnsi="Verdana"/>
          <w:sz w:val="16"/>
          <w:szCs w:val="16"/>
          <w:lang w:val="es-CR"/>
        </w:rPr>
        <w:t xml:space="preserve">En el </w:t>
      </w:r>
      <w:r w:rsidRPr="000E2E05">
        <w:rPr>
          <w:rFonts w:ascii="Verdana" w:hAnsi="Verdana"/>
          <w:sz w:val="16"/>
          <w:szCs w:val="16"/>
          <w:lang w:val="es-CR"/>
        </w:rPr>
        <w:t xml:space="preserve">documento de 9 de diciembre de 2013, </w:t>
      </w:r>
      <w:r w:rsidR="0071225C">
        <w:rPr>
          <w:rFonts w:ascii="Verdana" w:hAnsi="Verdana"/>
          <w:sz w:val="16"/>
          <w:szCs w:val="16"/>
          <w:lang w:val="es-CR"/>
        </w:rPr>
        <w:t xml:space="preserve">se </w:t>
      </w:r>
      <w:r w:rsidRPr="000E2E05">
        <w:rPr>
          <w:rFonts w:ascii="Verdana" w:hAnsi="Verdana"/>
          <w:sz w:val="16"/>
          <w:szCs w:val="16"/>
          <w:lang w:val="es-CR"/>
        </w:rPr>
        <w:t xml:space="preserve">indica que durante la misma visita a Colombia en junio de 2013, fue robada el arma que legalmente portaba el señor Gutiérrez Soler. De la lectura del documento no surge con claridad si se trata o no del mismo hecho que el referido por el señor Gutiérrez Soler en su presentación de 4 de julio de 2017. </w:t>
      </w:r>
    </w:p>
  </w:footnote>
  <w:footnote w:id="14">
    <w:p w:rsidR="007D6B81" w:rsidRPr="000E2E05" w:rsidRDefault="007D6B81" w:rsidP="000E2E05">
      <w:pPr>
        <w:pStyle w:val="FootnoteText"/>
        <w:jc w:val="both"/>
        <w:rPr>
          <w:rFonts w:ascii="Verdana" w:hAnsi="Verdana"/>
          <w:sz w:val="16"/>
          <w:szCs w:val="16"/>
          <w:lang w:val="es-CR"/>
        </w:rPr>
      </w:pPr>
      <w:r w:rsidRPr="000E2E05">
        <w:rPr>
          <w:rStyle w:val="FootnoteReference"/>
          <w:rFonts w:ascii="Verdana" w:hAnsi="Verdana"/>
          <w:sz w:val="16"/>
          <w:szCs w:val="16"/>
        </w:rPr>
        <w:footnoteRef/>
      </w:r>
      <w:r w:rsidRPr="000E2E05">
        <w:rPr>
          <w:rFonts w:ascii="Verdana" w:hAnsi="Verdana"/>
          <w:sz w:val="16"/>
          <w:szCs w:val="16"/>
          <w:lang w:val="es-CR"/>
        </w:rPr>
        <w:t xml:space="preserve"> El representante no indicó expresamente la localidad en que se encontraba el restaurante, pero dijo su dirección haciendo referencia al cruce de una “calle” con una “carrera”, ambas identificadas con números, lo que es conteste al modo en que se señalan las direcciones en Bogotá. </w:t>
      </w:r>
    </w:p>
  </w:footnote>
  <w:footnote w:id="15">
    <w:p w:rsidR="00D27FF9" w:rsidRPr="000E2E05" w:rsidRDefault="00D27FF9" w:rsidP="000E2E05">
      <w:pPr>
        <w:pStyle w:val="FootnoteText"/>
        <w:jc w:val="both"/>
        <w:rPr>
          <w:rFonts w:ascii="Verdana" w:hAnsi="Verdana"/>
          <w:sz w:val="16"/>
          <w:szCs w:val="16"/>
          <w:lang w:val="es-CR"/>
        </w:rPr>
      </w:pPr>
      <w:r w:rsidRPr="000E2E05">
        <w:rPr>
          <w:rStyle w:val="FootnoteReference"/>
          <w:rFonts w:ascii="Verdana" w:hAnsi="Verdana"/>
          <w:sz w:val="16"/>
          <w:szCs w:val="16"/>
        </w:rPr>
        <w:footnoteRef/>
      </w:r>
      <w:r w:rsidRPr="000E2E05">
        <w:rPr>
          <w:rFonts w:ascii="Verdana" w:hAnsi="Verdana"/>
          <w:sz w:val="16"/>
          <w:szCs w:val="16"/>
          <w:lang w:val="es-CR"/>
        </w:rPr>
        <w:t xml:space="preserve"> En ese sentido, el señor Gutiérrez Soler expresó que “[u]na parte de la descripción de los hechos </w:t>
      </w:r>
      <w:r w:rsidR="0071225C">
        <w:rPr>
          <w:rFonts w:ascii="Verdana" w:hAnsi="Verdana"/>
          <w:sz w:val="16"/>
          <w:szCs w:val="16"/>
          <w:lang w:val="es-CR"/>
        </w:rPr>
        <w:t>[</w:t>
      </w:r>
      <w:r w:rsidRPr="000E2E05">
        <w:rPr>
          <w:rFonts w:ascii="Verdana" w:hAnsi="Verdana"/>
          <w:sz w:val="16"/>
          <w:szCs w:val="16"/>
          <w:lang w:val="es-CR"/>
        </w:rPr>
        <w:t>relevantes</w:t>
      </w:r>
      <w:r w:rsidR="0071225C">
        <w:rPr>
          <w:rFonts w:ascii="Verdana" w:hAnsi="Verdana"/>
          <w:sz w:val="16"/>
          <w:szCs w:val="16"/>
          <w:lang w:val="es-CR"/>
        </w:rPr>
        <w:t>…</w:t>
      </w:r>
      <w:r w:rsidRPr="000E2E05">
        <w:rPr>
          <w:rFonts w:ascii="Verdana" w:hAnsi="Verdana"/>
          <w:sz w:val="16"/>
          <w:szCs w:val="16"/>
          <w:lang w:val="es-CR"/>
        </w:rPr>
        <w:t>] se encuentra en el caso que […] reposa en los archivos de la [Corte]”, y en la documentación que remitió a la Corte enunció otros hechos anteriores a la Resolución de este Tribunal de 23 de octubre de 2012 (</w:t>
      </w:r>
      <w:r w:rsidRPr="000E2E05">
        <w:rPr>
          <w:rFonts w:ascii="Verdana" w:hAnsi="Verdana"/>
          <w:i/>
          <w:sz w:val="16"/>
          <w:szCs w:val="16"/>
          <w:lang w:val="es-CR"/>
        </w:rPr>
        <w:t>supra</w:t>
      </w:r>
      <w:r w:rsidRPr="000E2E05">
        <w:rPr>
          <w:rFonts w:ascii="Verdana" w:hAnsi="Verdana"/>
          <w:sz w:val="16"/>
          <w:szCs w:val="16"/>
          <w:lang w:val="es-CR"/>
        </w:rPr>
        <w:t xml:space="preserve"> Visto 3), tales como  “llamadas amenazantes” recibidas en diciembre de 2011 por Luisa Ferna</w:t>
      </w:r>
      <w:r w:rsidR="00536879">
        <w:rPr>
          <w:rFonts w:ascii="Verdana" w:hAnsi="Verdana"/>
          <w:sz w:val="16"/>
          <w:szCs w:val="16"/>
          <w:lang w:val="es-CR"/>
        </w:rPr>
        <w:t>n</w:t>
      </w:r>
      <w:r w:rsidR="00246DBD">
        <w:rPr>
          <w:rFonts w:ascii="Verdana" w:hAnsi="Verdana"/>
          <w:sz w:val="16"/>
          <w:szCs w:val="16"/>
          <w:lang w:val="es-CR"/>
        </w:rPr>
        <w:t>da Gutiérrez Reyes, entre otros.</w:t>
      </w:r>
      <w:r w:rsidRPr="000E2E05">
        <w:rPr>
          <w:rFonts w:ascii="Verdana" w:hAnsi="Verdana"/>
          <w:sz w:val="16"/>
          <w:szCs w:val="16"/>
          <w:lang w:val="es-CR"/>
        </w:rPr>
        <w:t xml:space="preserve"> Surge de dicha Resolución que la Corte ya ha considerado información presentada hasta el 28 de agosto de 2012 por quienes ejercían la representación del señor Gutiérrez Soler y sus familiares (</w:t>
      </w:r>
      <w:r w:rsidRPr="000E2E05">
        <w:rPr>
          <w:rFonts w:ascii="Verdana" w:hAnsi="Verdana"/>
          <w:i/>
          <w:sz w:val="16"/>
          <w:szCs w:val="16"/>
          <w:lang w:val="es-CR"/>
        </w:rPr>
        <w:t>cfr.</w:t>
      </w:r>
      <w:r w:rsidRPr="000E2E05">
        <w:rPr>
          <w:rFonts w:ascii="Verdana" w:hAnsi="Verdana"/>
          <w:sz w:val="16"/>
          <w:szCs w:val="16"/>
          <w:lang w:val="es-CR"/>
        </w:rPr>
        <w:t xml:space="preserve"> </w:t>
      </w:r>
      <w:r w:rsidRPr="000E2E05">
        <w:rPr>
          <w:rFonts w:ascii="Verdana" w:hAnsi="Verdana"/>
          <w:i/>
          <w:sz w:val="16"/>
          <w:szCs w:val="16"/>
          <w:lang w:val="es-CR"/>
        </w:rPr>
        <w:t>Caso Gutiérrez Soler respecto de Colombia. Medidas Provisionales</w:t>
      </w:r>
      <w:r w:rsidRPr="000E2E05">
        <w:rPr>
          <w:rFonts w:ascii="Verdana" w:hAnsi="Verdana"/>
          <w:sz w:val="16"/>
          <w:szCs w:val="16"/>
          <w:lang w:val="es-CR"/>
        </w:rPr>
        <w:t>. Resolución de la Corte de 23 de octubre de 2012, Visto 5). Por lo tanto, no corresponde que la Corte vuelva a considerar la situación de las personas referidas anterior a la última fecha indicada. En consecuencia, a efectos de la presente Resolución,</w:t>
      </w:r>
      <w:r w:rsidR="00CA1162">
        <w:rPr>
          <w:rFonts w:ascii="Verdana" w:hAnsi="Verdana"/>
          <w:sz w:val="16"/>
          <w:szCs w:val="16"/>
          <w:lang w:val="es-CR"/>
        </w:rPr>
        <w:t xml:space="preserve"> la Corte solo tiene en cuenta </w:t>
      </w:r>
      <w:r w:rsidRPr="000E2E05">
        <w:rPr>
          <w:rFonts w:ascii="Verdana" w:hAnsi="Verdana"/>
          <w:sz w:val="16"/>
          <w:szCs w:val="16"/>
          <w:lang w:val="es-CR"/>
        </w:rPr>
        <w:t>los hechos señalados por el representante que sean posteriores al 28 de agosto de 2012.</w:t>
      </w:r>
    </w:p>
  </w:footnote>
  <w:footnote w:id="16">
    <w:p w:rsidR="00A75A6E" w:rsidRPr="000E2E05" w:rsidRDefault="00A75A6E" w:rsidP="000E2E05">
      <w:pPr>
        <w:pStyle w:val="ListParagraph"/>
        <w:tabs>
          <w:tab w:val="left" w:pos="567"/>
        </w:tabs>
        <w:spacing w:after="0" w:line="240" w:lineRule="auto"/>
        <w:ind w:left="0"/>
        <w:jc w:val="both"/>
        <w:rPr>
          <w:rFonts w:ascii="Verdana" w:hAnsi="Verdana"/>
          <w:sz w:val="16"/>
          <w:szCs w:val="16"/>
          <w:lang w:val="es-CR"/>
        </w:rPr>
      </w:pPr>
      <w:r w:rsidRPr="000E2E05">
        <w:rPr>
          <w:rStyle w:val="FootnoteReference"/>
          <w:rFonts w:ascii="Verdana" w:hAnsi="Verdana"/>
          <w:sz w:val="16"/>
          <w:szCs w:val="16"/>
        </w:rPr>
        <w:footnoteRef/>
      </w:r>
      <w:r w:rsidR="009E52FA">
        <w:rPr>
          <w:rFonts w:ascii="Verdana" w:hAnsi="Verdana"/>
          <w:sz w:val="16"/>
          <w:szCs w:val="16"/>
          <w:lang w:val="es-CR"/>
        </w:rPr>
        <w:t xml:space="preserve"> </w:t>
      </w:r>
      <w:r w:rsidR="00D27FF9" w:rsidRPr="000E2E05">
        <w:rPr>
          <w:rFonts w:ascii="Verdana" w:hAnsi="Verdana"/>
          <w:sz w:val="16"/>
          <w:szCs w:val="16"/>
          <w:lang w:val="es-CR"/>
        </w:rPr>
        <w:t>Por ejemplo, el representante indicó que el 26 de noviembre de 2015 recibió una notific</w:t>
      </w:r>
      <w:r w:rsidR="00246DBD">
        <w:rPr>
          <w:rFonts w:ascii="Verdana" w:hAnsi="Verdana"/>
          <w:sz w:val="16"/>
          <w:szCs w:val="16"/>
          <w:lang w:val="es-CR"/>
        </w:rPr>
        <w:t>ación para prestar declaración</w:t>
      </w:r>
      <w:r w:rsidR="00EB1D88">
        <w:rPr>
          <w:rFonts w:ascii="Verdana" w:hAnsi="Verdana"/>
          <w:sz w:val="16"/>
          <w:szCs w:val="16"/>
          <w:lang w:val="es-CR"/>
        </w:rPr>
        <w:t>.</w:t>
      </w:r>
      <w:r w:rsidR="00D27FF9" w:rsidRPr="000E2E05">
        <w:rPr>
          <w:rFonts w:ascii="Verdana" w:hAnsi="Verdana"/>
          <w:sz w:val="16"/>
          <w:szCs w:val="16"/>
          <w:lang w:val="es-CR"/>
        </w:rPr>
        <w:t xml:space="preserve"> Asimismo, </w:t>
      </w:r>
      <w:r w:rsidRPr="000E2E05">
        <w:rPr>
          <w:rFonts w:ascii="Verdana" w:hAnsi="Verdana"/>
          <w:sz w:val="16"/>
          <w:szCs w:val="16"/>
          <w:lang w:val="es-CR"/>
        </w:rPr>
        <w:t xml:space="preserve">indicó que </w:t>
      </w:r>
      <w:proofErr w:type="spellStart"/>
      <w:r w:rsidRPr="000E2E05">
        <w:rPr>
          <w:rFonts w:ascii="Verdana" w:hAnsi="Verdana"/>
          <w:sz w:val="16"/>
          <w:szCs w:val="16"/>
          <w:lang w:val="es-CR"/>
        </w:rPr>
        <w:t>Leidy</w:t>
      </w:r>
      <w:proofErr w:type="spellEnd"/>
      <w:r w:rsidRPr="000E2E05">
        <w:rPr>
          <w:rFonts w:ascii="Verdana" w:hAnsi="Verdana"/>
          <w:sz w:val="16"/>
          <w:szCs w:val="16"/>
          <w:lang w:val="es-CR"/>
        </w:rPr>
        <w:t xml:space="preserve"> </w:t>
      </w:r>
      <w:proofErr w:type="spellStart"/>
      <w:r w:rsidRPr="000E2E05">
        <w:rPr>
          <w:rFonts w:ascii="Verdana" w:hAnsi="Verdana"/>
          <w:sz w:val="16"/>
          <w:szCs w:val="16"/>
          <w:lang w:val="es-CR"/>
        </w:rPr>
        <w:t>Caterine</w:t>
      </w:r>
      <w:proofErr w:type="spellEnd"/>
      <w:r w:rsidRPr="000E2E05">
        <w:rPr>
          <w:rFonts w:ascii="Verdana" w:hAnsi="Verdana"/>
          <w:sz w:val="16"/>
          <w:szCs w:val="16"/>
          <w:lang w:val="es-CR"/>
        </w:rPr>
        <w:t xml:space="preserve"> Gutiérrez Peña expresó que luego de la Sentencia emitida por la Corte “esperaba tener una vida más tranq</w:t>
      </w:r>
      <w:r w:rsidR="00246DBD">
        <w:rPr>
          <w:rFonts w:ascii="Verdana" w:hAnsi="Verdana"/>
          <w:sz w:val="16"/>
          <w:szCs w:val="16"/>
          <w:lang w:val="es-CR"/>
        </w:rPr>
        <w:t>uila”, pero que ello no fue así.</w:t>
      </w:r>
      <w:r w:rsidR="005A75B6" w:rsidRPr="000E2E05">
        <w:rPr>
          <w:rFonts w:ascii="Verdana" w:hAnsi="Verdana"/>
          <w:b/>
          <w:sz w:val="16"/>
          <w:szCs w:val="16"/>
          <w:lang w:val="es-CR"/>
        </w:rPr>
        <w:t xml:space="preserve"> </w:t>
      </w:r>
      <w:r w:rsidR="005A75B6" w:rsidRPr="000E2E05">
        <w:rPr>
          <w:rFonts w:ascii="Verdana" w:hAnsi="Verdana"/>
          <w:sz w:val="16"/>
          <w:szCs w:val="16"/>
          <w:lang w:val="es-CR"/>
        </w:rPr>
        <w:t>También hizo manifestaciones sobre el estado de salud de Paula Camila Gutiérrez Reyes “desde que nació”, y a circunstancias tales como que creció con temor a los agentes de policía por tener que presenciar abusos cometidos por ellos, sin señalar fechas o acontecimientos específicos.</w:t>
      </w:r>
      <w:r w:rsidR="00D27FF9" w:rsidRPr="000E2E05">
        <w:rPr>
          <w:rFonts w:ascii="Verdana" w:hAnsi="Verdana"/>
          <w:b/>
          <w:sz w:val="16"/>
          <w:szCs w:val="16"/>
          <w:lang w:val="es-CR"/>
        </w:rPr>
        <w:t xml:space="preserve"> </w:t>
      </w:r>
      <w:r w:rsidR="00D27FF9" w:rsidRPr="000E2E05">
        <w:rPr>
          <w:rFonts w:ascii="Verdana" w:hAnsi="Verdana"/>
          <w:sz w:val="16"/>
          <w:szCs w:val="16"/>
          <w:lang w:val="es-CR"/>
        </w:rPr>
        <w:t>La Corte entiende que tales señalamientos no son susceptibles, en sí mismos, de denotar una situación de riesgo respecto a posibles daños futuros a las personas, por lo que no los tendrá en consideración a efectos de determinar la procedencia de ordenar la adopción de medidas provisionales.</w:t>
      </w:r>
    </w:p>
  </w:footnote>
  <w:footnote w:id="17">
    <w:p w:rsidR="00387211" w:rsidRPr="000E2E05" w:rsidRDefault="00387211" w:rsidP="000E2E05">
      <w:pPr>
        <w:pStyle w:val="ListParagraph"/>
        <w:tabs>
          <w:tab w:val="left" w:pos="567"/>
        </w:tabs>
        <w:spacing w:after="0" w:line="240" w:lineRule="auto"/>
        <w:ind w:left="0"/>
        <w:jc w:val="both"/>
        <w:rPr>
          <w:rFonts w:ascii="Verdana" w:hAnsi="Verdana"/>
          <w:sz w:val="16"/>
          <w:szCs w:val="16"/>
          <w:lang w:val="es-CR"/>
        </w:rPr>
      </w:pPr>
      <w:r w:rsidRPr="000E2E05">
        <w:rPr>
          <w:rStyle w:val="FootnoteReference"/>
          <w:rFonts w:ascii="Verdana" w:hAnsi="Verdana"/>
          <w:sz w:val="16"/>
          <w:szCs w:val="16"/>
        </w:rPr>
        <w:footnoteRef/>
      </w:r>
      <w:r w:rsidRPr="000E2E05">
        <w:rPr>
          <w:rFonts w:ascii="Verdana" w:hAnsi="Verdana"/>
          <w:sz w:val="16"/>
          <w:szCs w:val="16"/>
          <w:lang w:val="es-CR"/>
        </w:rPr>
        <w:t xml:space="preserve"> Entre tales hechos, cabe mencionar las siguientes referencias en la documentación allegada por el representante: 1) respecto al señor Gutiérrez Soler: a) que él en varias ocasiones fue maltr</w:t>
      </w:r>
      <w:r w:rsidR="00246DBD">
        <w:rPr>
          <w:rFonts w:ascii="Verdana" w:hAnsi="Verdana"/>
          <w:sz w:val="16"/>
          <w:szCs w:val="16"/>
          <w:lang w:val="es-CR"/>
        </w:rPr>
        <w:t>atado e insultado por policías;</w:t>
      </w:r>
      <w:r w:rsidRPr="000E2E05">
        <w:rPr>
          <w:rFonts w:ascii="Verdana" w:hAnsi="Verdana"/>
          <w:b/>
          <w:sz w:val="16"/>
          <w:szCs w:val="16"/>
          <w:lang w:val="es-CR"/>
        </w:rPr>
        <w:t xml:space="preserve"> </w:t>
      </w:r>
      <w:r w:rsidRPr="000E2E05">
        <w:rPr>
          <w:rFonts w:ascii="Verdana" w:hAnsi="Verdana"/>
          <w:sz w:val="16"/>
          <w:szCs w:val="16"/>
          <w:lang w:val="es-CR"/>
        </w:rPr>
        <w:t>b) que su médico ha sido</w:t>
      </w:r>
      <w:r w:rsidRPr="000E2E05">
        <w:rPr>
          <w:rFonts w:ascii="Verdana" w:hAnsi="Verdana"/>
          <w:b/>
          <w:sz w:val="16"/>
          <w:szCs w:val="16"/>
          <w:lang w:val="es-CR"/>
        </w:rPr>
        <w:t xml:space="preserve"> </w:t>
      </w:r>
      <w:r w:rsidRPr="000E2E05">
        <w:rPr>
          <w:rFonts w:ascii="Verdana" w:hAnsi="Verdana"/>
          <w:sz w:val="16"/>
          <w:szCs w:val="16"/>
          <w:lang w:val="es-CR"/>
        </w:rPr>
        <w:t>v[í]</w:t>
      </w:r>
      <w:proofErr w:type="spellStart"/>
      <w:r w:rsidRPr="000E2E05">
        <w:rPr>
          <w:rFonts w:ascii="Verdana" w:hAnsi="Verdana"/>
          <w:sz w:val="16"/>
          <w:szCs w:val="16"/>
          <w:lang w:val="es-CR"/>
        </w:rPr>
        <w:t>ctima</w:t>
      </w:r>
      <w:proofErr w:type="spellEnd"/>
      <w:r w:rsidRPr="000E2E05">
        <w:rPr>
          <w:rFonts w:ascii="Verdana" w:hAnsi="Verdana"/>
          <w:sz w:val="16"/>
          <w:szCs w:val="16"/>
          <w:lang w:val="es-CR"/>
        </w:rPr>
        <w:t xml:space="preserve"> de violaciones […] por parte de miembros del gobierno colombiano”; </w:t>
      </w:r>
      <w:r w:rsidRPr="00246DBD">
        <w:rPr>
          <w:rFonts w:ascii="Verdana" w:hAnsi="Verdana"/>
          <w:sz w:val="16"/>
          <w:szCs w:val="16"/>
          <w:lang w:val="es-CR"/>
        </w:rPr>
        <w:t>2) respecto</w:t>
      </w:r>
      <w:r w:rsidRPr="000E2E05">
        <w:rPr>
          <w:rFonts w:ascii="Verdana" w:hAnsi="Verdana"/>
          <w:sz w:val="16"/>
          <w:szCs w:val="16"/>
          <w:lang w:val="es-CR"/>
        </w:rPr>
        <w:t xml:space="preserve"> a </w:t>
      </w:r>
      <w:proofErr w:type="spellStart"/>
      <w:r w:rsidRPr="000E2E05">
        <w:rPr>
          <w:rFonts w:ascii="Verdana" w:hAnsi="Verdana"/>
          <w:sz w:val="16"/>
          <w:szCs w:val="16"/>
          <w:lang w:val="es-CR"/>
        </w:rPr>
        <w:t>Yaqueline</w:t>
      </w:r>
      <w:proofErr w:type="spellEnd"/>
      <w:r w:rsidRPr="000E2E05">
        <w:rPr>
          <w:rFonts w:ascii="Verdana" w:hAnsi="Verdana"/>
          <w:sz w:val="16"/>
          <w:szCs w:val="16"/>
          <w:lang w:val="es-CR"/>
        </w:rPr>
        <w:t xml:space="preserve"> Reyes, que:</w:t>
      </w:r>
      <w:r w:rsidRPr="000E2E05">
        <w:rPr>
          <w:rFonts w:ascii="Verdana" w:hAnsi="Verdana"/>
          <w:b/>
          <w:sz w:val="16"/>
          <w:szCs w:val="16"/>
          <w:lang w:val="es-CR"/>
        </w:rPr>
        <w:t xml:space="preserve"> </w:t>
      </w:r>
      <w:r w:rsidRPr="000E2E05">
        <w:rPr>
          <w:rFonts w:ascii="Verdana" w:hAnsi="Verdana"/>
          <w:sz w:val="16"/>
          <w:szCs w:val="16"/>
          <w:lang w:val="es-CR"/>
        </w:rPr>
        <w:t>a) a raíz de su compromiso con el señor Gutiérrez Soler, ella “h[a] sido v[í]</w:t>
      </w:r>
      <w:proofErr w:type="spellStart"/>
      <w:r w:rsidRPr="000E2E05">
        <w:rPr>
          <w:rFonts w:ascii="Verdana" w:hAnsi="Verdana"/>
          <w:sz w:val="16"/>
          <w:szCs w:val="16"/>
          <w:lang w:val="es-CR"/>
        </w:rPr>
        <w:t>ctima</w:t>
      </w:r>
      <w:proofErr w:type="spellEnd"/>
      <w:r w:rsidRPr="000E2E05">
        <w:rPr>
          <w:rFonts w:ascii="Verdana" w:hAnsi="Verdana"/>
          <w:sz w:val="16"/>
          <w:szCs w:val="16"/>
          <w:lang w:val="es-CR"/>
        </w:rPr>
        <w:t xml:space="preserve"> de maltratos” por parte de “funcionarios del [E]</w:t>
      </w:r>
      <w:proofErr w:type="spellStart"/>
      <w:r w:rsidRPr="000E2E05">
        <w:rPr>
          <w:rFonts w:ascii="Verdana" w:hAnsi="Verdana"/>
          <w:sz w:val="16"/>
          <w:szCs w:val="16"/>
          <w:lang w:val="es-CR"/>
        </w:rPr>
        <w:t>stado</w:t>
      </w:r>
      <w:proofErr w:type="spellEnd"/>
      <w:r w:rsidRPr="000E2E05">
        <w:rPr>
          <w:rFonts w:ascii="Verdana" w:hAnsi="Verdana"/>
          <w:sz w:val="16"/>
          <w:szCs w:val="16"/>
          <w:lang w:val="es-CR"/>
        </w:rPr>
        <w:t>” que dejaron “[c]</w:t>
      </w:r>
      <w:proofErr w:type="spellStart"/>
      <w:r w:rsidRPr="000E2E05">
        <w:rPr>
          <w:rFonts w:ascii="Verdana" w:hAnsi="Verdana"/>
          <w:sz w:val="16"/>
          <w:szCs w:val="16"/>
          <w:lang w:val="es-CR"/>
        </w:rPr>
        <w:t>icatri</w:t>
      </w:r>
      <w:proofErr w:type="spellEnd"/>
      <w:r w:rsidRPr="000E2E05">
        <w:rPr>
          <w:rFonts w:ascii="Verdana" w:hAnsi="Verdana"/>
          <w:sz w:val="16"/>
          <w:szCs w:val="16"/>
          <w:lang w:val="es-CR"/>
        </w:rPr>
        <w:t>[c]es tanto en su rostro como en sus manos”; b) que en una oportunidad estaba con su esposo “en un lugar público con un abogado, y al otro del cuarto había un hombre con un arma de fuego que no paraba de observar[l]os de una manera desafi</w:t>
      </w:r>
      <w:r w:rsidR="00246DBD">
        <w:rPr>
          <w:rFonts w:ascii="Verdana" w:hAnsi="Verdana"/>
          <w:sz w:val="16"/>
          <w:szCs w:val="16"/>
          <w:lang w:val="es-CR"/>
        </w:rPr>
        <w:t>ante”;</w:t>
      </w:r>
      <w:r w:rsidRPr="000E2E05">
        <w:rPr>
          <w:rFonts w:ascii="Verdana" w:hAnsi="Verdana"/>
          <w:b/>
          <w:sz w:val="16"/>
          <w:szCs w:val="16"/>
          <w:lang w:val="es-CR"/>
        </w:rPr>
        <w:t xml:space="preserve"> </w:t>
      </w:r>
      <w:r w:rsidRPr="00246DBD">
        <w:rPr>
          <w:rFonts w:ascii="Verdana" w:hAnsi="Verdana"/>
          <w:sz w:val="16"/>
          <w:szCs w:val="16"/>
          <w:lang w:val="es-CR"/>
        </w:rPr>
        <w:t>3)</w:t>
      </w:r>
      <w:r w:rsidRPr="000E2E05">
        <w:rPr>
          <w:rFonts w:ascii="Verdana" w:hAnsi="Verdana"/>
          <w:b/>
          <w:sz w:val="16"/>
          <w:szCs w:val="16"/>
          <w:lang w:val="es-CR"/>
        </w:rPr>
        <w:t xml:space="preserve"> </w:t>
      </w:r>
      <w:r w:rsidRPr="000E2E05">
        <w:rPr>
          <w:rFonts w:ascii="Verdana" w:hAnsi="Verdana"/>
          <w:sz w:val="16"/>
          <w:szCs w:val="16"/>
          <w:lang w:val="es-CR"/>
        </w:rPr>
        <w:t xml:space="preserve">respecto a </w:t>
      </w:r>
      <w:proofErr w:type="spellStart"/>
      <w:r w:rsidRPr="000E2E05">
        <w:rPr>
          <w:rFonts w:ascii="Verdana" w:eastAsia="Times New Roman" w:hAnsi="Verdana"/>
          <w:sz w:val="16"/>
          <w:szCs w:val="16"/>
          <w:lang w:val="es-CR"/>
        </w:rPr>
        <w:t>Leydi</w:t>
      </w:r>
      <w:proofErr w:type="spellEnd"/>
      <w:r w:rsidRPr="000E2E05">
        <w:rPr>
          <w:rFonts w:ascii="Verdana" w:eastAsia="Times New Roman" w:hAnsi="Verdana"/>
          <w:sz w:val="16"/>
          <w:szCs w:val="16"/>
          <w:lang w:val="es-CR"/>
        </w:rPr>
        <w:t xml:space="preserve"> </w:t>
      </w:r>
      <w:proofErr w:type="spellStart"/>
      <w:r w:rsidRPr="000E2E05">
        <w:rPr>
          <w:rFonts w:ascii="Verdana" w:eastAsia="Times New Roman" w:hAnsi="Verdana"/>
          <w:sz w:val="16"/>
          <w:szCs w:val="16"/>
          <w:lang w:val="es-CR"/>
        </w:rPr>
        <w:t>Caterin</w:t>
      </w:r>
      <w:proofErr w:type="spellEnd"/>
      <w:r w:rsidRPr="000E2E05">
        <w:rPr>
          <w:rFonts w:ascii="Verdana" w:eastAsia="Times New Roman" w:hAnsi="Verdana"/>
          <w:sz w:val="16"/>
          <w:szCs w:val="16"/>
          <w:lang w:val="es-CR"/>
        </w:rPr>
        <w:t xml:space="preserve"> Gutiérrez Peña</w:t>
      </w:r>
      <w:r w:rsidRPr="000E2E05">
        <w:rPr>
          <w:rFonts w:ascii="Verdana" w:hAnsi="Verdana"/>
          <w:sz w:val="16"/>
          <w:szCs w:val="16"/>
          <w:lang w:val="es-CR"/>
        </w:rPr>
        <w:t xml:space="preserve">, que ella considera violentada su privacidad porque al utilizar el buscador de internet “google”, nota que “todo el mundo tiene acceso a las declaraciones que realizamos la primera vez”, y porque “se </w:t>
      </w:r>
      <w:proofErr w:type="spellStart"/>
      <w:r w:rsidRPr="000E2E05">
        <w:rPr>
          <w:rFonts w:ascii="Verdana" w:hAnsi="Verdana"/>
          <w:sz w:val="16"/>
          <w:szCs w:val="16"/>
          <w:lang w:val="es-CR"/>
        </w:rPr>
        <w:t>publi</w:t>
      </w:r>
      <w:proofErr w:type="spellEnd"/>
      <w:r w:rsidRPr="000E2E05">
        <w:rPr>
          <w:rFonts w:ascii="Verdana" w:hAnsi="Verdana"/>
          <w:sz w:val="16"/>
          <w:szCs w:val="16"/>
          <w:lang w:val="es-CR"/>
        </w:rPr>
        <w:t>[</w:t>
      </w:r>
      <w:proofErr w:type="spellStart"/>
      <w:r w:rsidRPr="000E2E05">
        <w:rPr>
          <w:rFonts w:ascii="Verdana" w:hAnsi="Verdana"/>
          <w:sz w:val="16"/>
          <w:szCs w:val="16"/>
          <w:lang w:val="es-CR"/>
        </w:rPr>
        <w:t>có</w:t>
      </w:r>
      <w:proofErr w:type="spellEnd"/>
      <w:r w:rsidRPr="000E2E05">
        <w:rPr>
          <w:rFonts w:ascii="Verdana" w:hAnsi="Verdana"/>
          <w:sz w:val="16"/>
          <w:szCs w:val="16"/>
          <w:lang w:val="es-CR"/>
        </w:rPr>
        <w:t xml:space="preserve">] un libro” sin que ella diera su consentimiento. El documento allegado por el representante en el que se refieren los señalamientos de </w:t>
      </w:r>
      <w:proofErr w:type="spellStart"/>
      <w:r w:rsidRPr="000E2E05">
        <w:rPr>
          <w:rFonts w:ascii="Verdana" w:hAnsi="Verdana"/>
          <w:sz w:val="16"/>
          <w:szCs w:val="16"/>
          <w:lang w:val="es-CR"/>
        </w:rPr>
        <w:t>Leydi</w:t>
      </w:r>
      <w:proofErr w:type="spellEnd"/>
      <w:r w:rsidRPr="000E2E05">
        <w:rPr>
          <w:rFonts w:ascii="Verdana" w:hAnsi="Verdana"/>
          <w:sz w:val="16"/>
          <w:szCs w:val="16"/>
          <w:lang w:val="es-CR"/>
        </w:rPr>
        <w:t xml:space="preserve"> </w:t>
      </w:r>
      <w:proofErr w:type="spellStart"/>
      <w:r w:rsidRPr="000E2E05">
        <w:rPr>
          <w:rFonts w:ascii="Verdana" w:hAnsi="Verdana"/>
          <w:sz w:val="16"/>
          <w:szCs w:val="16"/>
          <w:lang w:val="es-CR"/>
        </w:rPr>
        <w:t>Caterin</w:t>
      </w:r>
      <w:proofErr w:type="spellEnd"/>
      <w:r w:rsidRPr="000E2E05">
        <w:rPr>
          <w:rFonts w:ascii="Verdana" w:hAnsi="Verdana"/>
          <w:sz w:val="16"/>
          <w:szCs w:val="16"/>
          <w:lang w:val="es-CR"/>
        </w:rPr>
        <w:t xml:space="preserve"> </w:t>
      </w:r>
      <w:r w:rsidR="00EB1D88">
        <w:rPr>
          <w:rFonts w:ascii="Verdana" w:hAnsi="Verdana"/>
          <w:sz w:val="16"/>
          <w:szCs w:val="16"/>
          <w:lang w:val="es-CR"/>
        </w:rPr>
        <w:t>Gutiérrez Peña refiere también un</w:t>
      </w:r>
      <w:r w:rsidRPr="000E2E05">
        <w:rPr>
          <w:rFonts w:ascii="Verdana" w:hAnsi="Verdana"/>
          <w:sz w:val="16"/>
          <w:szCs w:val="16"/>
          <w:lang w:val="es-CR"/>
        </w:rPr>
        <w:t xml:space="preserve"> padecimiento </w:t>
      </w:r>
      <w:r w:rsidR="00EB1D88">
        <w:rPr>
          <w:rFonts w:ascii="Verdana" w:hAnsi="Verdana"/>
          <w:sz w:val="16"/>
          <w:szCs w:val="16"/>
          <w:lang w:val="es-CR"/>
        </w:rPr>
        <w:t xml:space="preserve">sufrido por </w:t>
      </w:r>
      <w:r w:rsidRPr="000E2E05">
        <w:rPr>
          <w:rFonts w:ascii="Verdana" w:hAnsi="Verdana"/>
          <w:sz w:val="16"/>
          <w:szCs w:val="16"/>
          <w:lang w:val="es-CR"/>
        </w:rPr>
        <w:t>ella por el “</w:t>
      </w:r>
      <w:proofErr w:type="spellStart"/>
      <w:r w:rsidRPr="000E2E05">
        <w:rPr>
          <w:rFonts w:ascii="Verdana" w:hAnsi="Verdana"/>
          <w:sz w:val="16"/>
          <w:szCs w:val="16"/>
          <w:lang w:val="es-CR"/>
        </w:rPr>
        <w:t>bull</w:t>
      </w:r>
      <w:proofErr w:type="spellEnd"/>
      <w:r w:rsidRPr="000E2E05">
        <w:rPr>
          <w:rFonts w:ascii="Verdana" w:hAnsi="Verdana"/>
          <w:sz w:val="16"/>
          <w:szCs w:val="16"/>
          <w:lang w:val="es-CR"/>
        </w:rPr>
        <w:t>[y]</w:t>
      </w:r>
      <w:proofErr w:type="spellStart"/>
      <w:proofErr w:type="gramStart"/>
      <w:r w:rsidRPr="000E2E05">
        <w:rPr>
          <w:rFonts w:ascii="Verdana" w:hAnsi="Verdana"/>
          <w:sz w:val="16"/>
          <w:szCs w:val="16"/>
          <w:lang w:val="es-CR"/>
        </w:rPr>
        <w:t>ing</w:t>
      </w:r>
      <w:proofErr w:type="spellEnd"/>
      <w:r w:rsidRPr="000E2E05">
        <w:rPr>
          <w:rFonts w:ascii="Verdana" w:hAnsi="Verdana"/>
          <w:sz w:val="16"/>
          <w:szCs w:val="16"/>
          <w:lang w:val="es-CR"/>
        </w:rPr>
        <w:t>[</w:t>
      </w:r>
      <w:proofErr w:type="gramEnd"/>
      <w:r w:rsidRPr="000E2E05">
        <w:rPr>
          <w:rFonts w:ascii="Verdana" w:hAnsi="Verdana"/>
          <w:sz w:val="16"/>
          <w:szCs w:val="16"/>
          <w:lang w:val="es-CR"/>
        </w:rPr>
        <w:t>,] porque todo el mundo conoce que le pasó a [su] papá, a [su] tío y a [sus] familiares”. Dicho documento no especifica a qué declaraciones y libro se refiere, y tampoco explica las circunstancias del “</w:t>
      </w:r>
      <w:proofErr w:type="spellStart"/>
      <w:r w:rsidRPr="000E2E05">
        <w:rPr>
          <w:rFonts w:ascii="Verdana" w:hAnsi="Verdana"/>
          <w:sz w:val="16"/>
          <w:szCs w:val="16"/>
          <w:lang w:val="es-CR"/>
        </w:rPr>
        <w:t>bullying</w:t>
      </w:r>
      <w:proofErr w:type="spellEnd"/>
      <w:r w:rsidRPr="000E2E05">
        <w:rPr>
          <w:rFonts w:ascii="Verdana" w:hAnsi="Verdana"/>
          <w:sz w:val="16"/>
          <w:szCs w:val="16"/>
          <w:lang w:val="es-CR"/>
        </w:rPr>
        <w:t xml:space="preserve">” aludido, ni si ya aconteció o se considera un riesgo. </w:t>
      </w:r>
    </w:p>
  </w:footnote>
  <w:footnote w:id="18">
    <w:p w:rsidR="00D27FF9" w:rsidRPr="000E2E05" w:rsidRDefault="00D27FF9" w:rsidP="00140AFE">
      <w:pPr>
        <w:pStyle w:val="ListParagraph"/>
        <w:tabs>
          <w:tab w:val="left" w:pos="567"/>
        </w:tabs>
        <w:spacing w:after="0" w:line="240" w:lineRule="auto"/>
        <w:ind w:left="0"/>
        <w:jc w:val="both"/>
        <w:rPr>
          <w:rFonts w:ascii="Verdana" w:hAnsi="Verdana"/>
          <w:sz w:val="16"/>
          <w:szCs w:val="16"/>
          <w:lang w:val="es-CR"/>
        </w:rPr>
      </w:pPr>
      <w:r w:rsidRPr="00140AFE">
        <w:rPr>
          <w:rStyle w:val="FootnoteReference"/>
          <w:rFonts w:ascii="Verdana" w:hAnsi="Verdana"/>
          <w:sz w:val="16"/>
          <w:szCs w:val="16"/>
        </w:rPr>
        <w:footnoteRef/>
      </w:r>
      <w:r w:rsidRPr="008D503B">
        <w:rPr>
          <w:rStyle w:val="FootnoteReference"/>
          <w:lang w:val="es-CR"/>
        </w:rPr>
        <w:t xml:space="preserve"> </w:t>
      </w:r>
      <w:r w:rsidR="005D4901">
        <w:rPr>
          <w:lang w:val="es-CR"/>
        </w:rPr>
        <w:t>F</w:t>
      </w:r>
      <w:r w:rsidRPr="000E2E05">
        <w:rPr>
          <w:rFonts w:ascii="Verdana" w:hAnsi="Verdana"/>
          <w:sz w:val="16"/>
          <w:szCs w:val="16"/>
          <w:lang w:val="es-CR"/>
        </w:rPr>
        <w:t xml:space="preserve">ue allegada a la Corte </w:t>
      </w:r>
      <w:r w:rsidR="005D4901">
        <w:rPr>
          <w:rFonts w:ascii="Verdana" w:hAnsi="Verdana"/>
          <w:sz w:val="16"/>
          <w:szCs w:val="16"/>
          <w:lang w:val="es-CR"/>
        </w:rPr>
        <w:t>una</w:t>
      </w:r>
      <w:r w:rsidRPr="000E2E05">
        <w:rPr>
          <w:rFonts w:ascii="Verdana" w:hAnsi="Verdana"/>
          <w:sz w:val="16"/>
          <w:szCs w:val="16"/>
          <w:lang w:val="es-CR"/>
        </w:rPr>
        <w:t xml:space="preserve"> narración del señor Gutiérrez Rubiano sobre hechos posteriores a los indicados (</w:t>
      </w:r>
      <w:r w:rsidRPr="00536879">
        <w:rPr>
          <w:rFonts w:ascii="Verdana" w:hAnsi="Verdana"/>
          <w:i/>
          <w:sz w:val="16"/>
          <w:szCs w:val="16"/>
          <w:lang w:val="es-CR"/>
        </w:rPr>
        <w:t>supra</w:t>
      </w:r>
      <w:r w:rsidR="00536879">
        <w:rPr>
          <w:rFonts w:ascii="Verdana" w:hAnsi="Verdana"/>
          <w:sz w:val="16"/>
          <w:szCs w:val="16"/>
          <w:lang w:val="es-CR"/>
        </w:rPr>
        <w:t xml:space="preserve"> Considerando 7</w:t>
      </w:r>
      <w:r w:rsidRPr="000E2E05">
        <w:rPr>
          <w:rFonts w:ascii="Verdana" w:hAnsi="Verdana"/>
          <w:sz w:val="16"/>
          <w:szCs w:val="16"/>
          <w:lang w:val="es-CR"/>
        </w:rPr>
        <w:t>) que involucran a autoridades de Estados distintos de Colombia. Así, el señor Gutiérrez Rubiano expresó que luego de los últimos seguimientos referidos (</w:t>
      </w:r>
      <w:r w:rsidRPr="00536879">
        <w:rPr>
          <w:rFonts w:ascii="Verdana" w:hAnsi="Verdana"/>
          <w:i/>
          <w:sz w:val="16"/>
          <w:szCs w:val="16"/>
          <w:lang w:val="es-CR"/>
        </w:rPr>
        <w:t>supra</w:t>
      </w:r>
      <w:r w:rsidRPr="000E2E05">
        <w:rPr>
          <w:rFonts w:ascii="Verdana" w:hAnsi="Verdana"/>
          <w:sz w:val="16"/>
          <w:szCs w:val="16"/>
          <w:lang w:val="es-CR"/>
        </w:rPr>
        <w:t xml:space="preserve"> Considerando </w:t>
      </w:r>
      <w:r w:rsidR="00536879">
        <w:rPr>
          <w:rFonts w:ascii="Verdana" w:hAnsi="Verdana"/>
          <w:sz w:val="16"/>
          <w:szCs w:val="16"/>
          <w:lang w:val="es-CR"/>
        </w:rPr>
        <w:t>7</w:t>
      </w:r>
      <w:r w:rsidR="005253E0">
        <w:rPr>
          <w:rFonts w:ascii="Verdana" w:hAnsi="Verdana"/>
          <w:sz w:val="16"/>
          <w:szCs w:val="16"/>
          <w:lang w:val="es-CR"/>
        </w:rPr>
        <w:t>)</w:t>
      </w:r>
      <w:r w:rsidRPr="000E2E05">
        <w:rPr>
          <w:rFonts w:ascii="Verdana" w:hAnsi="Verdana"/>
          <w:sz w:val="16"/>
          <w:szCs w:val="16"/>
          <w:lang w:val="es-CR"/>
        </w:rPr>
        <w:t xml:space="preserve">, se fue a México, “para informarle a la cancillería de esa ciudad lo que estaba pasando”, lo que no pudo hacer porque “no </w:t>
      </w:r>
      <w:proofErr w:type="spellStart"/>
      <w:r w:rsidRPr="000E2E05">
        <w:rPr>
          <w:rFonts w:ascii="Verdana" w:hAnsi="Verdana"/>
          <w:sz w:val="16"/>
          <w:szCs w:val="16"/>
          <w:lang w:val="es-CR"/>
        </w:rPr>
        <w:t>encontr</w:t>
      </w:r>
      <w:proofErr w:type="spellEnd"/>
      <w:r w:rsidR="00830FA2">
        <w:rPr>
          <w:rFonts w:ascii="Verdana" w:hAnsi="Verdana"/>
          <w:sz w:val="16"/>
          <w:szCs w:val="16"/>
          <w:lang w:val="es-CR"/>
        </w:rPr>
        <w:t>[</w:t>
      </w:r>
      <w:proofErr w:type="spellStart"/>
      <w:r w:rsidRPr="000E2E05">
        <w:rPr>
          <w:rFonts w:ascii="Verdana" w:hAnsi="Verdana"/>
          <w:sz w:val="16"/>
          <w:szCs w:val="16"/>
          <w:lang w:val="es-CR"/>
        </w:rPr>
        <w:t>ó</w:t>
      </w:r>
      <w:proofErr w:type="spellEnd"/>
      <w:r w:rsidR="00830FA2">
        <w:rPr>
          <w:rFonts w:ascii="Verdana" w:hAnsi="Verdana"/>
          <w:sz w:val="16"/>
          <w:szCs w:val="16"/>
          <w:lang w:val="es-CR"/>
        </w:rPr>
        <w:t>]</w:t>
      </w:r>
      <w:r w:rsidRPr="000E2E05">
        <w:rPr>
          <w:rFonts w:ascii="Verdana" w:hAnsi="Verdana"/>
          <w:sz w:val="16"/>
          <w:szCs w:val="16"/>
          <w:lang w:val="es-CR"/>
        </w:rPr>
        <w:t xml:space="preserve"> a nadie”, y que con posterioridad intentó ingresar a Guatemala, pero que al llegar a la frontera fue despojado de sus pertenencias siendo objeto de amenazas, y que “una vez [que] </w:t>
      </w:r>
      <w:proofErr w:type="spellStart"/>
      <w:r w:rsidRPr="000E2E05">
        <w:rPr>
          <w:rFonts w:ascii="Verdana" w:hAnsi="Verdana"/>
          <w:sz w:val="16"/>
          <w:szCs w:val="16"/>
          <w:lang w:val="es-CR"/>
        </w:rPr>
        <w:t>pud</w:t>
      </w:r>
      <w:proofErr w:type="spellEnd"/>
      <w:r w:rsidRPr="000E2E05">
        <w:rPr>
          <w:rFonts w:ascii="Verdana" w:hAnsi="Verdana"/>
          <w:sz w:val="16"/>
          <w:szCs w:val="16"/>
          <w:lang w:val="es-CR"/>
        </w:rPr>
        <w:t xml:space="preserve">[o] escapar de [sus] captores” se dirigió hacia Tegucigalpa, Honduras, donde trató de explicarle al Canciller colombiano su situación, recibiendo respuestas “evasivas”. Indicó también que finalmente el Canciller le dio un billete de cien dólares norteamericanos, que era falso, por lo que fue golpeado por policías hondureños, quienes le produjeron cicatrices y hematomas visibles hasta la fecha. Explicó que los policías le apuntaron con un fusil pero al ver su documentación lo dejaron ir. Afirmó que entonces se instaló en una “vereda” cercana a Tegucigalpa por un tiempo próximo a un mes y medio durante el cual trató de contactar a la “cancillería local”, que “nunca respondió”, pero sí envió patrullas de policía para monitorearlo. Manifestó también que “[e]n ese </w:t>
      </w:r>
      <w:proofErr w:type="spellStart"/>
      <w:r w:rsidRPr="000E2E05">
        <w:rPr>
          <w:rFonts w:ascii="Verdana" w:hAnsi="Verdana"/>
          <w:sz w:val="16"/>
          <w:szCs w:val="16"/>
          <w:lang w:val="es-CR"/>
        </w:rPr>
        <w:t>enton</w:t>
      </w:r>
      <w:proofErr w:type="spellEnd"/>
      <w:r w:rsidRPr="000E2E05">
        <w:rPr>
          <w:rFonts w:ascii="Verdana" w:hAnsi="Verdana"/>
          <w:sz w:val="16"/>
          <w:szCs w:val="16"/>
          <w:lang w:val="es-CR"/>
        </w:rPr>
        <w:t>[c]es” se recibieron varias llamadas en su residencia en Estados Unidos de América, “directas desde la presidencia de Honduras” en las cuales le decían a su familia que “[lo] sacaran o [lo] iban a meter preso”. Por tal motivo, según su relato, emprendió su regreso a Estados Unidos de América, siendo “</w:t>
      </w:r>
      <w:proofErr w:type="spellStart"/>
      <w:r w:rsidRPr="000E2E05">
        <w:rPr>
          <w:rFonts w:ascii="Verdana" w:hAnsi="Verdana"/>
          <w:sz w:val="16"/>
          <w:szCs w:val="16"/>
          <w:lang w:val="es-CR"/>
        </w:rPr>
        <w:t>obstaculi</w:t>
      </w:r>
      <w:proofErr w:type="spellEnd"/>
      <w:r w:rsidRPr="000E2E05">
        <w:rPr>
          <w:rFonts w:ascii="Verdana" w:hAnsi="Verdana"/>
          <w:sz w:val="16"/>
          <w:szCs w:val="16"/>
          <w:lang w:val="es-CR"/>
        </w:rPr>
        <w:t>[z]</w:t>
      </w:r>
      <w:proofErr w:type="spellStart"/>
      <w:r w:rsidRPr="000E2E05">
        <w:rPr>
          <w:rFonts w:ascii="Verdana" w:hAnsi="Verdana"/>
          <w:sz w:val="16"/>
          <w:szCs w:val="16"/>
          <w:lang w:val="es-CR"/>
        </w:rPr>
        <w:t>ado</w:t>
      </w:r>
      <w:proofErr w:type="spellEnd"/>
      <w:r w:rsidRPr="000E2E05">
        <w:rPr>
          <w:rFonts w:ascii="Verdana" w:hAnsi="Verdana"/>
          <w:sz w:val="16"/>
          <w:szCs w:val="16"/>
          <w:lang w:val="es-CR"/>
        </w:rPr>
        <w:t xml:space="preserve"> en i[n]</w:t>
      </w:r>
      <w:proofErr w:type="spellStart"/>
      <w:r w:rsidRPr="000E2E05">
        <w:rPr>
          <w:rFonts w:ascii="Verdana" w:hAnsi="Verdana"/>
          <w:sz w:val="16"/>
          <w:szCs w:val="16"/>
          <w:lang w:val="es-CR"/>
        </w:rPr>
        <w:t>migraci</w:t>
      </w:r>
      <w:proofErr w:type="spellEnd"/>
      <w:r w:rsidRPr="000E2E05">
        <w:rPr>
          <w:rFonts w:ascii="Verdana" w:hAnsi="Verdana"/>
          <w:sz w:val="16"/>
          <w:szCs w:val="16"/>
          <w:lang w:val="es-CR"/>
        </w:rPr>
        <w:t>[</w:t>
      </w:r>
      <w:proofErr w:type="spellStart"/>
      <w:r w:rsidRPr="000E2E05">
        <w:rPr>
          <w:rFonts w:ascii="Verdana" w:hAnsi="Verdana"/>
          <w:sz w:val="16"/>
          <w:szCs w:val="16"/>
          <w:lang w:val="es-CR"/>
        </w:rPr>
        <w:t>ó</w:t>
      </w:r>
      <w:proofErr w:type="spellEnd"/>
      <w:r w:rsidRPr="000E2E05">
        <w:rPr>
          <w:rFonts w:ascii="Verdana" w:hAnsi="Verdana"/>
          <w:sz w:val="16"/>
          <w:szCs w:val="16"/>
          <w:lang w:val="es-CR"/>
        </w:rPr>
        <w:t>]n entre [H]</w:t>
      </w:r>
      <w:proofErr w:type="spellStart"/>
      <w:r w:rsidRPr="000E2E05">
        <w:rPr>
          <w:rFonts w:ascii="Verdana" w:hAnsi="Verdana"/>
          <w:sz w:val="16"/>
          <w:szCs w:val="16"/>
          <w:lang w:val="es-CR"/>
        </w:rPr>
        <w:t>onduras</w:t>
      </w:r>
      <w:proofErr w:type="spellEnd"/>
      <w:r w:rsidRPr="000E2E05">
        <w:rPr>
          <w:rFonts w:ascii="Verdana" w:hAnsi="Verdana"/>
          <w:sz w:val="16"/>
          <w:szCs w:val="16"/>
          <w:lang w:val="es-CR"/>
        </w:rPr>
        <w:t xml:space="preserve"> y Guatemala”, pero luego siguió hacia México donde fue “abordado” por oficiales y “el 7 de agosto de 2015 estando en […] el centro de retención” migratorio fue visitado por muchas personas que lo hostigaron y amenazaron. Relató que luego expuso su situación a la autoridad de dicho centro de retención, quienes lo pusieron en contacto con “funcionarios de CNDH en México”, y que luego su “abogada de oficio” le explicó que él no podía ser enviado a Colombia por el riesgo que sufría. Señaló que luego fue golpeado por tres personas que le dijeron “no se meta con el gobierno m[á]s gran hp (sic) o lo matamos”, y que “en ese momento efectivos de la unidad de </w:t>
      </w:r>
      <w:proofErr w:type="spellStart"/>
      <w:proofErr w:type="gramStart"/>
      <w:r w:rsidRPr="000E2E05">
        <w:rPr>
          <w:rFonts w:ascii="Verdana" w:hAnsi="Verdana"/>
          <w:sz w:val="16"/>
          <w:szCs w:val="16"/>
          <w:lang w:val="es-CR"/>
        </w:rPr>
        <w:t>detenci</w:t>
      </w:r>
      <w:proofErr w:type="spellEnd"/>
      <w:r w:rsidRPr="000E2E05">
        <w:rPr>
          <w:rFonts w:ascii="Verdana" w:hAnsi="Verdana"/>
          <w:sz w:val="16"/>
          <w:szCs w:val="16"/>
          <w:lang w:val="es-CR"/>
        </w:rPr>
        <w:t>[</w:t>
      </w:r>
      <w:proofErr w:type="spellStart"/>
      <w:proofErr w:type="gramEnd"/>
      <w:r w:rsidRPr="000E2E05">
        <w:rPr>
          <w:rFonts w:ascii="Verdana" w:hAnsi="Verdana"/>
          <w:sz w:val="16"/>
          <w:szCs w:val="16"/>
          <w:lang w:val="es-CR"/>
        </w:rPr>
        <w:t>ón</w:t>
      </w:r>
      <w:proofErr w:type="spellEnd"/>
      <w:r w:rsidRPr="000E2E05">
        <w:rPr>
          <w:rFonts w:ascii="Verdana" w:hAnsi="Verdana"/>
          <w:sz w:val="16"/>
          <w:szCs w:val="16"/>
          <w:lang w:val="es-CR"/>
        </w:rPr>
        <w:t xml:space="preserve">]” irrumpieron en los dormitorios e hicieron un cateo, provocando una fractura en su mano derecha, por lo que fue remitido a un hospital en la ciudad de México. Indicó que después dejaron que él se fuera, y que regresó a Estados Unidos de América. Una vez allí, según explicó, los hostigamientos y amenazas siguieron, que fue objeto de golpes y burlas, y que en una ocasión lesionaron su rostro con un líquido, señalándole que era “para que se quede callado”. Informó que presentó denuncias de esto ante autoridades norteamericanas, “por ejemplo”, el 15 de mayo de 2016, y que además hizo una “denuncia ante la CIA”. Agregó que “en mayo del 2017 </w:t>
      </w:r>
      <w:proofErr w:type="spellStart"/>
      <w:r w:rsidRPr="000E2E05">
        <w:rPr>
          <w:rFonts w:ascii="Verdana" w:hAnsi="Verdana"/>
          <w:sz w:val="16"/>
          <w:szCs w:val="16"/>
          <w:lang w:val="es-CR"/>
        </w:rPr>
        <w:t>qued</w:t>
      </w:r>
      <w:proofErr w:type="spellEnd"/>
      <w:r w:rsidRPr="000E2E05">
        <w:rPr>
          <w:rFonts w:ascii="Verdana" w:hAnsi="Verdana"/>
          <w:sz w:val="16"/>
          <w:szCs w:val="16"/>
          <w:lang w:val="es-CR"/>
        </w:rPr>
        <w:t>[</w:t>
      </w:r>
      <w:proofErr w:type="spellStart"/>
      <w:r w:rsidRPr="000E2E05">
        <w:rPr>
          <w:rFonts w:ascii="Verdana" w:hAnsi="Verdana"/>
          <w:sz w:val="16"/>
          <w:szCs w:val="16"/>
          <w:lang w:val="es-CR"/>
        </w:rPr>
        <w:t>ó</w:t>
      </w:r>
      <w:proofErr w:type="spellEnd"/>
      <w:r w:rsidRPr="000E2E05">
        <w:rPr>
          <w:rFonts w:ascii="Verdana" w:hAnsi="Verdana"/>
          <w:sz w:val="16"/>
          <w:szCs w:val="16"/>
          <w:lang w:val="es-CR"/>
        </w:rPr>
        <w:t xml:space="preserve">] consignado en la policía local de West Palm Beach el reporte de </w:t>
      </w:r>
      <w:proofErr w:type="spellStart"/>
      <w:r w:rsidRPr="000E2E05">
        <w:rPr>
          <w:rFonts w:ascii="Verdana" w:hAnsi="Verdana"/>
          <w:sz w:val="16"/>
          <w:szCs w:val="16"/>
          <w:lang w:val="es-CR"/>
        </w:rPr>
        <w:t>polic</w:t>
      </w:r>
      <w:proofErr w:type="spellEnd"/>
      <w:r w:rsidRPr="000E2E05">
        <w:rPr>
          <w:rFonts w:ascii="Verdana" w:hAnsi="Verdana"/>
          <w:sz w:val="16"/>
          <w:szCs w:val="16"/>
          <w:lang w:val="es-CR"/>
        </w:rPr>
        <w:t xml:space="preserve">[í]a en el que indica que personas </w:t>
      </w:r>
      <w:proofErr w:type="spellStart"/>
      <w:r w:rsidRPr="000E2E05">
        <w:rPr>
          <w:rFonts w:ascii="Verdana" w:hAnsi="Verdana"/>
          <w:sz w:val="16"/>
          <w:szCs w:val="16"/>
          <w:lang w:val="es-CR"/>
        </w:rPr>
        <w:t>descono</w:t>
      </w:r>
      <w:proofErr w:type="spellEnd"/>
      <w:r w:rsidRPr="000E2E05">
        <w:rPr>
          <w:rFonts w:ascii="Verdana" w:hAnsi="Verdana"/>
          <w:sz w:val="16"/>
          <w:szCs w:val="16"/>
          <w:lang w:val="es-CR"/>
        </w:rPr>
        <w:t>[c]idas irrumpieron en [su] residencia […] y robaron tres discos duros con información sobre el caso y otras cosas muy importantes [y d</w:t>
      </w:r>
      <w:proofErr w:type="gramStart"/>
      <w:r w:rsidRPr="000E2E05">
        <w:rPr>
          <w:rFonts w:ascii="Verdana" w:hAnsi="Verdana"/>
          <w:sz w:val="16"/>
          <w:szCs w:val="16"/>
          <w:lang w:val="es-CR"/>
        </w:rPr>
        <w:t>]os</w:t>
      </w:r>
      <w:proofErr w:type="gramEnd"/>
      <w:r w:rsidRPr="000E2E05">
        <w:rPr>
          <w:rFonts w:ascii="Verdana" w:hAnsi="Verdana"/>
          <w:sz w:val="16"/>
          <w:szCs w:val="16"/>
          <w:lang w:val="es-CR"/>
        </w:rPr>
        <w:t xml:space="preserve"> computadoras </w:t>
      </w:r>
      <w:proofErr w:type="spellStart"/>
      <w:r w:rsidRPr="000E2E05">
        <w:rPr>
          <w:rFonts w:ascii="Verdana" w:hAnsi="Verdana"/>
          <w:sz w:val="16"/>
          <w:szCs w:val="16"/>
          <w:lang w:val="es-CR"/>
        </w:rPr>
        <w:t>port</w:t>
      </w:r>
      <w:proofErr w:type="spellEnd"/>
      <w:r w:rsidRPr="000E2E05">
        <w:rPr>
          <w:rFonts w:ascii="Verdana" w:hAnsi="Verdana"/>
          <w:sz w:val="16"/>
          <w:szCs w:val="16"/>
          <w:lang w:val="es-CR"/>
        </w:rPr>
        <w:t xml:space="preserve">[á]tiles”. Finalmente aseveró que “en [su] poder se encuentra un reporte de la </w:t>
      </w:r>
      <w:proofErr w:type="spellStart"/>
      <w:r w:rsidRPr="000E2E05">
        <w:rPr>
          <w:rFonts w:ascii="Verdana" w:hAnsi="Verdana"/>
          <w:sz w:val="16"/>
          <w:szCs w:val="16"/>
          <w:lang w:val="es-CR"/>
        </w:rPr>
        <w:t>polic</w:t>
      </w:r>
      <w:proofErr w:type="spellEnd"/>
      <w:r w:rsidRPr="000E2E05">
        <w:rPr>
          <w:rFonts w:ascii="Verdana" w:hAnsi="Verdana"/>
          <w:sz w:val="16"/>
          <w:szCs w:val="16"/>
          <w:lang w:val="es-CR"/>
        </w:rPr>
        <w:t>[í]a local de los Estados Unidos en la que se deja por claro que el asunto del que fue v[í]</w:t>
      </w:r>
      <w:proofErr w:type="spellStart"/>
      <w:r w:rsidRPr="000E2E05">
        <w:rPr>
          <w:rFonts w:ascii="Verdana" w:hAnsi="Verdana"/>
          <w:sz w:val="16"/>
          <w:szCs w:val="16"/>
          <w:lang w:val="es-CR"/>
        </w:rPr>
        <w:t>ctima</w:t>
      </w:r>
      <w:proofErr w:type="spellEnd"/>
      <w:r w:rsidRPr="000E2E05">
        <w:rPr>
          <w:rFonts w:ascii="Verdana" w:hAnsi="Verdana"/>
          <w:sz w:val="16"/>
          <w:szCs w:val="16"/>
          <w:lang w:val="es-CR"/>
        </w:rPr>
        <w:t xml:space="preserve"> y una nota que </w:t>
      </w:r>
      <w:proofErr w:type="spellStart"/>
      <w:r w:rsidRPr="000E2E05">
        <w:rPr>
          <w:rFonts w:ascii="Verdana" w:hAnsi="Verdana"/>
          <w:sz w:val="16"/>
          <w:szCs w:val="16"/>
          <w:lang w:val="es-CR"/>
        </w:rPr>
        <w:t>dec</w:t>
      </w:r>
      <w:proofErr w:type="spellEnd"/>
      <w:r w:rsidRPr="000E2E05">
        <w:rPr>
          <w:rFonts w:ascii="Verdana" w:hAnsi="Verdana"/>
          <w:sz w:val="16"/>
          <w:szCs w:val="16"/>
          <w:lang w:val="es-CR"/>
        </w:rPr>
        <w:t>[í]a ‘para Ricardo’”.</w:t>
      </w:r>
      <w:r w:rsidRPr="00140AFE">
        <w:rPr>
          <w:rFonts w:ascii="Verdana" w:hAnsi="Verdana"/>
          <w:sz w:val="16"/>
          <w:szCs w:val="16"/>
          <w:lang w:val="es-CR"/>
        </w:rPr>
        <w:t xml:space="preserve"> </w:t>
      </w:r>
    </w:p>
  </w:footnote>
  <w:footnote w:id="19">
    <w:p w:rsidR="00C41C3C" w:rsidRPr="000E2E05" w:rsidRDefault="00C41C3C" w:rsidP="00140AFE">
      <w:pPr>
        <w:pStyle w:val="ListParagraph"/>
        <w:tabs>
          <w:tab w:val="left" w:pos="567"/>
        </w:tabs>
        <w:spacing w:after="0" w:line="240" w:lineRule="auto"/>
        <w:ind w:left="0"/>
        <w:jc w:val="both"/>
        <w:rPr>
          <w:rFonts w:ascii="Verdana" w:hAnsi="Verdana"/>
          <w:sz w:val="16"/>
          <w:szCs w:val="16"/>
          <w:lang w:val="es-CR"/>
        </w:rPr>
      </w:pPr>
      <w:r w:rsidRPr="002D479D">
        <w:rPr>
          <w:rStyle w:val="FootnoteReference"/>
          <w:rFonts w:ascii="Verdana" w:hAnsi="Verdana"/>
          <w:sz w:val="16"/>
          <w:szCs w:val="16"/>
        </w:rPr>
        <w:footnoteRef/>
      </w:r>
      <w:r w:rsidRPr="009E52FA">
        <w:rPr>
          <w:rStyle w:val="FootnoteReference"/>
          <w:lang w:val="es-ES"/>
        </w:rPr>
        <w:t xml:space="preserve"> </w:t>
      </w:r>
      <w:r w:rsidRPr="000E2E05">
        <w:rPr>
          <w:rFonts w:ascii="Verdana" w:hAnsi="Verdana"/>
          <w:sz w:val="16"/>
          <w:szCs w:val="16"/>
          <w:lang w:val="es-CR"/>
        </w:rPr>
        <w:t>También consideró de “gravedad”  la “omisión por parte del Estado [de] informa[r] a la […C</w:t>
      </w:r>
      <w:proofErr w:type="gramStart"/>
      <w:r w:rsidRPr="000E2E05">
        <w:rPr>
          <w:rFonts w:ascii="Verdana" w:hAnsi="Verdana"/>
          <w:sz w:val="16"/>
          <w:szCs w:val="16"/>
          <w:lang w:val="es-CR"/>
        </w:rPr>
        <w:t>]</w:t>
      </w:r>
      <w:proofErr w:type="spellStart"/>
      <w:r w:rsidRPr="000E2E05">
        <w:rPr>
          <w:rFonts w:ascii="Verdana" w:hAnsi="Verdana"/>
          <w:sz w:val="16"/>
          <w:szCs w:val="16"/>
          <w:lang w:val="es-CR"/>
        </w:rPr>
        <w:t>orte</w:t>
      </w:r>
      <w:proofErr w:type="spellEnd"/>
      <w:proofErr w:type="gramEnd"/>
      <w:r w:rsidRPr="000E2E05">
        <w:rPr>
          <w:rFonts w:ascii="Verdana" w:hAnsi="Verdana"/>
          <w:sz w:val="16"/>
          <w:szCs w:val="16"/>
          <w:lang w:val="es-CR"/>
        </w:rPr>
        <w:t xml:space="preserve"> que </w:t>
      </w:r>
      <w:proofErr w:type="spellStart"/>
      <w:r w:rsidRPr="000E2E05">
        <w:rPr>
          <w:rFonts w:ascii="Verdana" w:hAnsi="Verdana"/>
          <w:sz w:val="16"/>
          <w:szCs w:val="16"/>
          <w:lang w:val="es-CR"/>
        </w:rPr>
        <w:t>manten</w:t>
      </w:r>
      <w:proofErr w:type="spellEnd"/>
      <w:r w:rsidRPr="000E2E05">
        <w:rPr>
          <w:rFonts w:ascii="Verdana" w:hAnsi="Verdana"/>
          <w:sz w:val="16"/>
          <w:szCs w:val="16"/>
          <w:lang w:val="es-CR"/>
        </w:rPr>
        <w:t>[</w:t>
      </w:r>
      <w:proofErr w:type="spellStart"/>
      <w:r w:rsidRPr="000E2E05">
        <w:rPr>
          <w:rFonts w:ascii="Verdana" w:hAnsi="Verdana"/>
          <w:sz w:val="16"/>
          <w:szCs w:val="16"/>
          <w:lang w:val="es-CR"/>
        </w:rPr>
        <w:t>ía</w:t>
      </w:r>
      <w:proofErr w:type="spellEnd"/>
      <w:r w:rsidRPr="000E2E05">
        <w:rPr>
          <w:rFonts w:ascii="Verdana" w:hAnsi="Verdana"/>
          <w:sz w:val="16"/>
          <w:szCs w:val="16"/>
          <w:lang w:val="es-CR"/>
        </w:rPr>
        <w:t xml:space="preserve">] </w:t>
      </w:r>
      <w:proofErr w:type="spellStart"/>
      <w:r w:rsidRPr="000E2E05">
        <w:rPr>
          <w:rFonts w:ascii="Verdana" w:hAnsi="Verdana"/>
          <w:sz w:val="16"/>
          <w:szCs w:val="16"/>
          <w:lang w:val="es-CR"/>
        </w:rPr>
        <w:t>comunicaci</w:t>
      </w:r>
      <w:proofErr w:type="spellEnd"/>
      <w:r w:rsidRPr="000E2E05">
        <w:rPr>
          <w:rFonts w:ascii="Verdana" w:hAnsi="Verdana"/>
          <w:sz w:val="16"/>
          <w:szCs w:val="16"/>
          <w:lang w:val="es-CR"/>
        </w:rPr>
        <w:t>[</w:t>
      </w:r>
      <w:proofErr w:type="spellStart"/>
      <w:r w:rsidRPr="000E2E05">
        <w:rPr>
          <w:rFonts w:ascii="Verdana" w:hAnsi="Verdana"/>
          <w:sz w:val="16"/>
          <w:szCs w:val="16"/>
          <w:lang w:val="es-CR"/>
        </w:rPr>
        <w:t>ó</w:t>
      </w:r>
      <w:proofErr w:type="spellEnd"/>
      <w:r w:rsidRPr="000E2E05">
        <w:rPr>
          <w:rFonts w:ascii="Verdana" w:hAnsi="Verdana"/>
          <w:sz w:val="16"/>
          <w:szCs w:val="16"/>
          <w:lang w:val="es-CR"/>
        </w:rPr>
        <w:t>]n con las v[í]</w:t>
      </w:r>
      <w:proofErr w:type="spellStart"/>
      <w:r w:rsidRPr="000E2E05">
        <w:rPr>
          <w:rFonts w:ascii="Verdana" w:hAnsi="Verdana"/>
          <w:sz w:val="16"/>
          <w:szCs w:val="16"/>
          <w:lang w:val="es-CR"/>
        </w:rPr>
        <w:t>ctimas</w:t>
      </w:r>
      <w:proofErr w:type="spellEnd"/>
      <w:r w:rsidRPr="000E2E05">
        <w:rPr>
          <w:rFonts w:ascii="Verdana" w:hAnsi="Verdana"/>
          <w:sz w:val="16"/>
          <w:szCs w:val="16"/>
          <w:lang w:val="es-CR"/>
        </w:rPr>
        <w:t xml:space="preserve">”. </w:t>
      </w:r>
    </w:p>
  </w:footnote>
  <w:footnote w:id="20">
    <w:p w:rsidR="00C41C3C" w:rsidRPr="000E2E05" w:rsidRDefault="00C41C3C" w:rsidP="000E2E05">
      <w:pPr>
        <w:pStyle w:val="FootnoteText"/>
        <w:jc w:val="both"/>
        <w:rPr>
          <w:rFonts w:ascii="Verdana" w:hAnsi="Verdana"/>
          <w:sz w:val="16"/>
          <w:szCs w:val="16"/>
          <w:lang w:val="es-CR"/>
        </w:rPr>
      </w:pPr>
      <w:r w:rsidRPr="000E2E05">
        <w:rPr>
          <w:rStyle w:val="FootnoteReference"/>
          <w:rFonts w:ascii="Verdana" w:hAnsi="Verdana"/>
          <w:sz w:val="16"/>
          <w:szCs w:val="16"/>
        </w:rPr>
        <w:footnoteRef/>
      </w:r>
      <w:r w:rsidRPr="000E2E05">
        <w:rPr>
          <w:rFonts w:ascii="Verdana" w:hAnsi="Verdana"/>
          <w:sz w:val="16"/>
          <w:szCs w:val="16"/>
          <w:lang w:val="es-CR"/>
        </w:rPr>
        <w:t xml:space="preserve"> Agregó el señor Gutiérrez Soler, vinculándolo específicamente con el “daño irreparable”</w:t>
      </w:r>
      <w:r w:rsidR="005D4901">
        <w:rPr>
          <w:rFonts w:ascii="Verdana" w:hAnsi="Verdana"/>
          <w:sz w:val="16"/>
          <w:szCs w:val="16"/>
          <w:lang w:val="es-CR"/>
        </w:rPr>
        <w:t>,</w:t>
      </w:r>
      <w:r w:rsidRPr="000E2E05">
        <w:rPr>
          <w:rFonts w:ascii="Verdana" w:hAnsi="Verdana"/>
          <w:sz w:val="16"/>
          <w:szCs w:val="16"/>
          <w:lang w:val="es-CR"/>
        </w:rPr>
        <w:t xml:space="preserve"> que él fue “visitado por dos miembros del Estado”, y que “Leonardo [Gutiérrez Rubiano] en 2010 se </w:t>
      </w:r>
      <w:proofErr w:type="spellStart"/>
      <w:r w:rsidRPr="000E2E05">
        <w:rPr>
          <w:rFonts w:ascii="Verdana" w:hAnsi="Verdana"/>
          <w:sz w:val="16"/>
          <w:szCs w:val="16"/>
          <w:lang w:val="es-CR"/>
        </w:rPr>
        <w:t>dirigi</w:t>
      </w:r>
      <w:proofErr w:type="spellEnd"/>
      <w:r w:rsidRPr="000E2E05">
        <w:rPr>
          <w:rFonts w:ascii="Verdana" w:hAnsi="Verdana"/>
          <w:sz w:val="16"/>
          <w:szCs w:val="16"/>
          <w:lang w:val="es-CR"/>
        </w:rPr>
        <w:t>[</w:t>
      </w:r>
      <w:proofErr w:type="spellStart"/>
      <w:r w:rsidRPr="000E2E05">
        <w:rPr>
          <w:rFonts w:ascii="Verdana" w:hAnsi="Verdana"/>
          <w:sz w:val="16"/>
          <w:szCs w:val="16"/>
          <w:lang w:val="es-CR"/>
        </w:rPr>
        <w:t>ó</w:t>
      </w:r>
      <w:proofErr w:type="spellEnd"/>
      <w:r w:rsidRPr="000E2E05">
        <w:rPr>
          <w:rFonts w:ascii="Verdana" w:hAnsi="Verdana"/>
          <w:sz w:val="16"/>
          <w:szCs w:val="16"/>
          <w:lang w:val="es-CR"/>
        </w:rPr>
        <w:t>] a Colombia para tratar de estable[c]</w:t>
      </w:r>
      <w:proofErr w:type="spellStart"/>
      <w:r w:rsidRPr="000E2E05">
        <w:rPr>
          <w:rFonts w:ascii="Verdana" w:hAnsi="Verdana"/>
          <w:sz w:val="16"/>
          <w:szCs w:val="16"/>
          <w:lang w:val="es-CR"/>
        </w:rPr>
        <w:t>er</w:t>
      </w:r>
      <w:proofErr w:type="spellEnd"/>
      <w:r w:rsidRPr="000E2E05">
        <w:rPr>
          <w:rFonts w:ascii="Verdana" w:hAnsi="Verdana"/>
          <w:sz w:val="16"/>
          <w:szCs w:val="16"/>
          <w:lang w:val="es-CR"/>
        </w:rPr>
        <w:t xml:space="preserve"> </w:t>
      </w:r>
      <w:proofErr w:type="spellStart"/>
      <w:r w:rsidRPr="000E2E05">
        <w:rPr>
          <w:rFonts w:ascii="Verdana" w:hAnsi="Verdana"/>
          <w:sz w:val="16"/>
          <w:szCs w:val="16"/>
          <w:lang w:val="es-CR"/>
        </w:rPr>
        <w:t>comunicaci</w:t>
      </w:r>
      <w:proofErr w:type="spellEnd"/>
      <w:r w:rsidRPr="000E2E05">
        <w:rPr>
          <w:rFonts w:ascii="Verdana" w:hAnsi="Verdana"/>
          <w:sz w:val="16"/>
          <w:szCs w:val="16"/>
          <w:lang w:val="es-CR"/>
        </w:rPr>
        <w:t>[</w:t>
      </w:r>
      <w:proofErr w:type="spellStart"/>
      <w:r w:rsidRPr="000E2E05">
        <w:rPr>
          <w:rFonts w:ascii="Verdana" w:hAnsi="Verdana"/>
          <w:sz w:val="16"/>
          <w:szCs w:val="16"/>
          <w:lang w:val="es-CR"/>
        </w:rPr>
        <w:t>ó</w:t>
      </w:r>
      <w:proofErr w:type="spellEnd"/>
      <w:r w:rsidRPr="000E2E05">
        <w:rPr>
          <w:rFonts w:ascii="Verdana" w:hAnsi="Verdana"/>
          <w:sz w:val="16"/>
          <w:szCs w:val="16"/>
          <w:lang w:val="es-CR"/>
        </w:rPr>
        <w:t>]n con el Estado[,] fue [</w:t>
      </w:r>
      <w:proofErr w:type="spellStart"/>
      <w:r w:rsidRPr="000E2E05">
        <w:rPr>
          <w:rFonts w:ascii="Verdana" w:hAnsi="Verdana"/>
          <w:sz w:val="16"/>
          <w:szCs w:val="16"/>
          <w:lang w:val="es-CR"/>
        </w:rPr>
        <w:t>ví</w:t>
      </w:r>
      <w:proofErr w:type="spellEnd"/>
      <w:r w:rsidRPr="000E2E05">
        <w:rPr>
          <w:rFonts w:ascii="Verdana" w:hAnsi="Verdana"/>
          <w:sz w:val="16"/>
          <w:szCs w:val="16"/>
          <w:lang w:val="es-CR"/>
        </w:rPr>
        <w:t>]</w:t>
      </w:r>
      <w:proofErr w:type="spellStart"/>
      <w:r w:rsidRPr="000E2E05">
        <w:rPr>
          <w:rFonts w:ascii="Verdana" w:hAnsi="Verdana"/>
          <w:sz w:val="16"/>
          <w:szCs w:val="16"/>
          <w:lang w:val="es-CR"/>
        </w:rPr>
        <w:t>ctima</w:t>
      </w:r>
      <w:proofErr w:type="spellEnd"/>
      <w:r w:rsidRPr="000E2E05">
        <w:rPr>
          <w:rFonts w:ascii="Verdana" w:hAnsi="Verdana"/>
          <w:sz w:val="16"/>
          <w:szCs w:val="16"/>
          <w:lang w:val="es-CR"/>
        </w:rPr>
        <w:t xml:space="preserve"> de varios intentos de robo y secuestro</w:t>
      </w:r>
      <w:r w:rsidR="00830FA2">
        <w:rPr>
          <w:rFonts w:ascii="Verdana" w:hAnsi="Verdana"/>
          <w:sz w:val="16"/>
          <w:szCs w:val="16"/>
          <w:lang w:val="es-CR"/>
        </w:rPr>
        <w:t xml:space="preserve"> </w:t>
      </w:r>
      <w:r w:rsidRPr="000E2E05">
        <w:rPr>
          <w:rFonts w:ascii="Verdana" w:hAnsi="Verdana"/>
          <w:sz w:val="16"/>
          <w:szCs w:val="16"/>
          <w:lang w:val="es-CR"/>
        </w:rPr>
        <w:t>[, y] sigue teniendo visitas a sus domicilios en los Estados Unidos [de América] y ha sido [</w:t>
      </w:r>
      <w:proofErr w:type="spellStart"/>
      <w:r w:rsidRPr="000E2E05">
        <w:rPr>
          <w:rFonts w:ascii="Verdana" w:hAnsi="Verdana"/>
          <w:sz w:val="16"/>
          <w:szCs w:val="16"/>
          <w:lang w:val="es-CR"/>
        </w:rPr>
        <w:t>ví</w:t>
      </w:r>
      <w:proofErr w:type="spellEnd"/>
      <w:r w:rsidRPr="000E2E05">
        <w:rPr>
          <w:rFonts w:ascii="Verdana" w:hAnsi="Verdana"/>
          <w:sz w:val="16"/>
          <w:szCs w:val="16"/>
          <w:lang w:val="es-CR"/>
        </w:rPr>
        <w:t>]</w:t>
      </w:r>
      <w:proofErr w:type="spellStart"/>
      <w:r w:rsidRPr="000E2E05">
        <w:rPr>
          <w:rFonts w:ascii="Verdana" w:hAnsi="Verdana"/>
          <w:sz w:val="16"/>
          <w:szCs w:val="16"/>
          <w:lang w:val="es-CR"/>
        </w:rPr>
        <w:t>ctima</w:t>
      </w:r>
      <w:proofErr w:type="spellEnd"/>
      <w:r w:rsidRPr="000E2E05">
        <w:rPr>
          <w:rFonts w:ascii="Verdana" w:hAnsi="Verdana"/>
          <w:sz w:val="16"/>
          <w:szCs w:val="16"/>
          <w:lang w:val="es-CR"/>
        </w:rPr>
        <w:t xml:space="preserve"> de robos o saqueos”. </w:t>
      </w:r>
    </w:p>
  </w:footnote>
  <w:footnote w:id="21">
    <w:p w:rsidR="003C0535" w:rsidRPr="000E2E05" w:rsidRDefault="003C0535" w:rsidP="002D479D">
      <w:pPr>
        <w:pStyle w:val="ListParagraph"/>
        <w:tabs>
          <w:tab w:val="left" w:pos="567"/>
        </w:tabs>
        <w:spacing w:after="0" w:line="240" w:lineRule="auto"/>
        <w:ind w:left="0"/>
        <w:jc w:val="both"/>
        <w:rPr>
          <w:rFonts w:ascii="Verdana" w:hAnsi="Verdana"/>
          <w:sz w:val="16"/>
          <w:szCs w:val="16"/>
          <w:lang w:val="es-CR"/>
        </w:rPr>
      </w:pPr>
      <w:r w:rsidRPr="000E2E05">
        <w:rPr>
          <w:rStyle w:val="FootnoteReference"/>
          <w:rFonts w:ascii="Verdana" w:hAnsi="Verdana"/>
          <w:sz w:val="16"/>
          <w:szCs w:val="16"/>
        </w:rPr>
        <w:footnoteRef/>
      </w:r>
      <w:r w:rsidRPr="000E2E05">
        <w:rPr>
          <w:rFonts w:ascii="Verdana" w:hAnsi="Verdana"/>
          <w:sz w:val="16"/>
          <w:szCs w:val="16"/>
          <w:lang w:val="es-CR"/>
        </w:rPr>
        <w:t xml:space="preserve"> En ese sentido, el representante hizo llegar a la Corte documentos firmados por su hija Luisa Fernanda Gutiérrez Reyes y su esposa </w:t>
      </w:r>
      <w:proofErr w:type="spellStart"/>
      <w:r w:rsidRPr="000E2E05">
        <w:rPr>
          <w:rFonts w:ascii="Verdana" w:hAnsi="Verdana"/>
          <w:sz w:val="16"/>
          <w:szCs w:val="16"/>
          <w:lang w:val="es-CR"/>
        </w:rPr>
        <w:t>Yaqueline</w:t>
      </w:r>
      <w:proofErr w:type="spellEnd"/>
      <w:r w:rsidRPr="000E2E05">
        <w:rPr>
          <w:rFonts w:ascii="Verdana" w:hAnsi="Verdana"/>
          <w:sz w:val="16"/>
          <w:szCs w:val="16"/>
          <w:lang w:val="es-CR"/>
        </w:rPr>
        <w:t xml:space="preserve"> Reyes, en el que ellas expresan, respectivamente, que</w:t>
      </w:r>
      <w:r w:rsidRPr="000E2E05">
        <w:rPr>
          <w:rFonts w:ascii="Verdana" w:hAnsi="Verdana"/>
          <w:b/>
          <w:sz w:val="16"/>
          <w:szCs w:val="16"/>
          <w:lang w:val="es-CR"/>
        </w:rPr>
        <w:t xml:space="preserve"> </w:t>
      </w:r>
      <w:r w:rsidRPr="000E2E05">
        <w:rPr>
          <w:rFonts w:ascii="Verdana" w:hAnsi="Verdana"/>
          <w:sz w:val="16"/>
          <w:szCs w:val="16"/>
          <w:lang w:val="es-CR"/>
        </w:rPr>
        <w:t xml:space="preserve">desde 2011 la primera ha </w:t>
      </w:r>
      <w:r w:rsidR="005D4901">
        <w:rPr>
          <w:rFonts w:ascii="Verdana" w:hAnsi="Verdana"/>
          <w:sz w:val="16"/>
          <w:szCs w:val="16"/>
          <w:lang w:val="es-CR"/>
        </w:rPr>
        <w:t>decidido no volver a Colombia (i</w:t>
      </w:r>
      <w:r w:rsidRPr="000E2E05">
        <w:rPr>
          <w:rFonts w:ascii="Verdana" w:hAnsi="Verdana"/>
          <w:sz w:val="16"/>
          <w:szCs w:val="16"/>
          <w:lang w:val="es-CR"/>
        </w:rPr>
        <w:t xml:space="preserve">ndicó que actualmente ella es “empleada del Estado de los Estados Unidos”) hasta contar con protección, y que piensa que algo puede sucederle a su padre cuando va solo a ese país, y que la segunda se ha visto “altera[da] física y mentalmente” cuando el señor Gutiérrez Soler “ha tenido que viajar a Colombia”, lo que ha ocurrido </w:t>
      </w:r>
      <w:r w:rsidR="00BD1A84">
        <w:rPr>
          <w:rFonts w:ascii="Verdana" w:hAnsi="Verdana"/>
          <w:sz w:val="16"/>
          <w:szCs w:val="16"/>
          <w:lang w:val="es-CR"/>
        </w:rPr>
        <w:t xml:space="preserve">en </w:t>
      </w:r>
      <w:r w:rsidRPr="000E2E05">
        <w:rPr>
          <w:rFonts w:ascii="Verdana" w:hAnsi="Verdana"/>
          <w:sz w:val="16"/>
          <w:szCs w:val="16"/>
          <w:lang w:val="es-CR"/>
        </w:rPr>
        <w:t>“los últimos años”, dado que ella “</w:t>
      </w:r>
      <w:proofErr w:type="spellStart"/>
      <w:r w:rsidRPr="000E2E05">
        <w:rPr>
          <w:rFonts w:ascii="Verdana" w:hAnsi="Verdana"/>
          <w:sz w:val="16"/>
          <w:szCs w:val="16"/>
          <w:lang w:val="es-CR"/>
        </w:rPr>
        <w:t>tem</w:t>
      </w:r>
      <w:proofErr w:type="spellEnd"/>
      <w:r w:rsidRPr="000E2E05">
        <w:rPr>
          <w:rFonts w:ascii="Verdana" w:hAnsi="Verdana"/>
          <w:sz w:val="16"/>
          <w:szCs w:val="16"/>
          <w:lang w:val="es-CR"/>
        </w:rPr>
        <w:t xml:space="preserve">[e] que </w:t>
      </w:r>
      <w:r w:rsidR="00246DBD">
        <w:rPr>
          <w:rFonts w:ascii="Verdana" w:hAnsi="Verdana"/>
          <w:sz w:val="16"/>
          <w:szCs w:val="16"/>
          <w:lang w:val="es-CR"/>
        </w:rPr>
        <w:t>algo malo le llegue a suceder”.</w:t>
      </w:r>
      <w:r w:rsidRPr="000E2E05">
        <w:rPr>
          <w:rFonts w:ascii="Verdana" w:hAnsi="Verdana"/>
          <w:b/>
          <w:sz w:val="16"/>
          <w:szCs w:val="16"/>
          <w:lang w:val="es-CR"/>
        </w:rPr>
        <w:t xml:space="preserve"> </w:t>
      </w:r>
      <w:proofErr w:type="spellStart"/>
      <w:r w:rsidRPr="000E2E05">
        <w:rPr>
          <w:rFonts w:ascii="Verdana" w:hAnsi="Verdana"/>
          <w:sz w:val="16"/>
          <w:szCs w:val="16"/>
          <w:lang w:val="es-CR"/>
        </w:rPr>
        <w:t>Yaqueline</w:t>
      </w:r>
      <w:proofErr w:type="spellEnd"/>
      <w:r w:rsidRPr="000E2E05">
        <w:rPr>
          <w:rFonts w:ascii="Verdana" w:hAnsi="Verdana"/>
          <w:sz w:val="16"/>
          <w:szCs w:val="16"/>
          <w:lang w:val="es-CR"/>
        </w:rPr>
        <w:t xml:space="preserve"> Reyes dijo también que “necesita[n] protección, seguridad para poder volver [a Colombia] y no sentir temor a un país que alguna vez fue [su] hogar. </w:t>
      </w:r>
    </w:p>
  </w:footnote>
  <w:footnote w:id="22">
    <w:p w:rsidR="00747B58" w:rsidRPr="00747B58" w:rsidRDefault="00747B58" w:rsidP="00747B58">
      <w:pPr>
        <w:pStyle w:val="ListParagraph"/>
        <w:tabs>
          <w:tab w:val="left" w:pos="0"/>
        </w:tabs>
        <w:spacing w:after="0" w:line="240" w:lineRule="auto"/>
        <w:ind w:left="0" w:right="15"/>
        <w:jc w:val="both"/>
        <w:rPr>
          <w:lang w:val="es-CR"/>
        </w:rPr>
      </w:pPr>
      <w:r>
        <w:rPr>
          <w:rStyle w:val="FootnoteReference"/>
        </w:rPr>
        <w:footnoteRef/>
      </w:r>
      <w:r w:rsidRPr="00747B58">
        <w:rPr>
          <w:lang w:val="es-CR"/>
        </w:rPr>
        <w:t xml:space="preserve"> </w:t>
      </w:r>
      <w:r w:rsidR="00570BFA">
        <w:rPr>
          <w:rFonts w:ascii="Verdana" w:hAnsi="Verdana" w:cs="07ttbuggtvvrcbg"/>
          <w:sz w:val="16"/>
          <w:szCs w:val="16"/>
          <w:lang w:val="es-CR"/>
        </w:rPr>
        <w:t>Colombia explicó que</w:t>
      </w:r>
      <w:r>
        <w:rPr>
          <w:rFonts w:ascii="Verdana" w:hAnsi="Verdana" w:cs="07ttbuggtvvrcbg"/>
          <w:sz w:val="16"/>
          <w:szCs w:val="16"/>
          <w:lang w:val="es-CR"/>
        </w:rPr>
        <w:t xml:space="preserve"> “</w:t>
      </w:r>
      <w:r w:rsidRPr="008827F4">
        <w:rPr>
          <w:rFonts w:ascii="Verdana" w:hAnsi="Verdana" w:cs="07ttbuggtvvrcbg"/>
          <w:sz w:val="16"/>
          <w:szCs w:val="16"/>
          <w:lang w:val="es-CR"/>
        </w:rPr>
        <w:t>se ha establecido un procedimiento mediante el cual, cualquier ciudadano, mientras esté en el territorio nacional y sea objeto de amenazas u hostigamientos, puede acceder a medidas preventivas de protección a cargo de la Policía Nacional, una vez se surta la denuncia de los hechos ante la autoridad competente, quien a su vez oficia a las autoridades encargadas de brindar protección</w:t>
      </w:r>
      <w:r>
        <w:rPr>
          <w:rFonts w:ascii="Verdana" w:hAnsi="Verdana" w:cs="07ttbuggtvvrcbg"/>
          <w:sz w:val="16"/>
          <w:szCs w:val="16"/>
          <w:lang w:val="es-CR"/>
        </w:rPr>
        <w:t>”</w:t>
      </w:r>
      <w:r w:rsidRPr="008827F4">
        <w:rPr>
          <w:rFonts w:ascii="Verdana" w:hAnsi="Verdana" w:cs="07ttbuggtvvrcbg"/>
          <w:sz w:val="16"/>
          <w:szCs w:val="16"/>
          <w:lang w:val="es-CR"/>
        </w:rPr>
        <w:t xml:space="preserve">. </w:t>
      </w:r>
      <w:r w:rsidRPr="00747B58">
        <w:rPr>
          <w:rFonts w:ascii="Verdana" w:hAnsi="Verdana" w:cs="07ttbuggtvvrcbg"/>
          <w:sz w:val="16"/>
          <w:szCs w:val="16"/>
          <w:lang w:val="es-CR"/>
        </w:rPr>
        <w:t>Además señaló que “si bien los solicitantes no pertenecen a los grupos poblacionales objeto que establece la legislación nacional para la Unidad Nacional de Protección, esa entidad ha oficiado desde hace más de dos años, tanto a la organización que los representaba […] como al señor Gutiérrez Soler, explicando los procedimientos para acceder a medidas de protección y solicitando la documentación pertinente, sin que a la fecha haya</w:t>
      </w:r>
      <w:r w:rsidR="00830FA2">
        <w:rPr>
          <w:rFonts w:ascii="Verdana" w:hAnsi="Verdana" w:cs="07ttbuggtvvrcbg"/>
          <w:sz w:val="16"/>
          <w:szCs w:val="16"/>
          <w:lang w:val="es-CR"/>
        </w:rPr>
        <w:t xml:space="preserve"> […</w:t>
      </w:r>
      <w:r w:rsidR="00C31555">
        <w:rPr>
          <w:rFonts w:ascii="Verdana" w:hAnsi="Verdana" w:cs="07ttbuggtvvrcbg"/>
          <w:sz w:val="16"/>
          <w:szCs w:val="16"/>
          <w:lang w:val="es-CR"/>
        </w:rPr>
        <w:t>]</w:t>
      </w:r>
      <w:r w:rsidRPr="00747B58">
        <w:rPr>
          <w:rFonts w:ascii="Verdana" w:hAnsi="Verdana" w:cs="07ttbuggtvvrcbg"/>
          <w:sz w:val="16"/>
          <w:szCs w:val="16"/>
          <w:lang w:val="es-CR"/>
        </w:rPr>
        <w:t xml:space="preserve"> respuesta”. </w:t>
      </w:r>
    </w:p>
  </w:footnote>
  <w:footnote w:id="23">
    <w:p w:rsidR="00FF176C" w:rsidRPr="00FF176C" w:rsidRDefault="00FF176C" w:rsidP="00FF176C">
      <w:pPr>
        <w:pStyle w:val="FootnoteText"/>
        <w:jc w:val="both"/>
        <w:rPr>
          <w:rFonts w:ascii="Verdana" w:hAnsi="Verdana"/>
          <w:sz w:val="16"/>
          <w:szCs w:val="16"/>
          <w:lang w:val="es-CR"/>
        </w:rPr>
      </w:pPr>
      <w:r w:rsidRPr="00FF176C">
        <w:rPr>
          <w:rStyle w:val="FootnoteReference"/>
          <w:rFonts w:ascii="Verdana" w:hAnsi="Verdana"/>
          <w:sz w:val="16"/>
          <w:szCs w:val="16"/>
        </w:rPr>
        <w:footnoteRef/>
      </w:r>
      <w:r w:rsidRPr="00FF176C">
        <w:rPr>
          <w:rFonts w:ascii="Verdana" w:hAnsi="Verdana"/>
          <w:sz w:val="16"/>
          <w:szCs w:val="16"/>
          <w:lang w:val="es-CR"/>
        </w:rPr>
        <w:t xml:space="preserve"> Además, el Estado indicó</w:t>
      </w:r>
      <w:r>
        <w:rPr>
          <w:rFonts w:ascii="Verdana" w:hAnsi="Verdana"/>
          <w:sz w:val="16"/>
          <w:szCs w:val="16"/>
          <w:lang w:val="es-CR"/>
        </w:rPr>
        <w:t>:</w:t>
      </w:r>
      <w:r w:rsidRPr="00FF176C">
        <w:rPr>
          <w:rFonts w:ascii="Verdana" w:hAnsi="Verdana"/>
          <w:sz w:val="16"/>
          <w:szCs w:val="16"/>
          <w:lang w:val="es-CR"/>
        </w:rPr>
        <w:t xml:space="preserve"> a) </w:t>
      </w:r>
      <w:r w:rsidR="005D4901">
        <w:rPr>
          <w:rFonts w:ascii="Verdana" w:hAnsi="Verdana"/>
          <w:sz w:val="16"/>
          <w:szCs w:val="16"/>
          <w:lang w:val="es-CR"/>
        </w:rPr>
        <w:t xml:space="preserve">que </w:t>
      </w:r>
      <w:r w:rsidRPr="00FF176C">
        <w:rPr>
          <w:rFonts w:ascii="Verdana" w:hAnsi="Verdana"/>
          <w:sz w:val="16"/>
          <w:szCs w:val="16"/>
          <w:lang w:val="es-CR"/>
        </w:rPr>
        <w:t xml:space="preserve">algunos de los hechos referidos en presentaciones del representante corresponden a acciones de agentes de otros países, careciendo Colombia de competencia (agregó que está “adelantando las averiguaciones pertinentes” sobre la actuación de funcionarios consulares colombianos en esos países); b) </w:t>
      </w:r>
      <w:r w:rsidR="005D4901">
        <w:rPr>
          <w:rFonts w:ascii="Verdana" w:hAnsi="Verdana"/>
          <w:sz w:val="16"/>
          <w:szCs w:val="16"/>
          <w:lang w:val="es-CR"/>
        </w:rPr>
        <w:t xml:space="preserve">que </w:t>
      </w:r>
      <w:r w:rsidRPr="00FF176C">
        <w:rPr>
          <w:rFonts w:ascii="Verdana" w:hAnsi="Verdana"/>
          <w:sz w:val="16"/>
          <w:szCs w:val="16"/>
          <w:lang w:val="es-CR"/>
        </w:rPr>
        <w:t xml:space="preserve">los hechos referidos por </w:t>
      </w:r>
      <w:r w:rsidR="007023EC">
        <w:rPr>
          <w:rFonts w:ascii="Verdana" w:hAnsi="Verdana"/>
          <w:sz w:val="16"/>
          <w:szCs w:val="16"/>
          <w:lang w:val="es-CR"/>
        </w:rPr>
        <w:t xml:space="preserve">Luisa Fernanda </w:t>
      </w:r>
      <w:r w:rsidRPr="00FF176C">
        <w:rPr>
          <w:rFonts w:ascii="Verdana" w:hAnsi="Verdana"/>
          <w:sz w:val="16"/>
          <w:szCs w:val="16"/>
          <w:lang w:val="es-CR"/>
        </w:rPr>
        <w:t xml:space="preserve">Gutiérrez Reyes ocurrieron en 2011 y no son aptos para evidenciar una situación de gravedad y urgencia, y c) </w:t>
      </w:r>
      <w:r w:rsidR="005D4901">
        <w:rPr>
          <w:rFonts w:ascii="Verdana" w:hAnsi="Verdana"/>
          <w:sz w:val="16"/>
          <w:szCs w:val="16"/>
          <w:lang w:val="es-CR"/>
        </w:rPr>
        <w:t xml:space="preserve">que </w:t>
      </w:r>
      <w:r w:rsidRPr="00FF176C">
        <w:rPr>
          <w:rFonts w:ascii="Verdana" w:hAnsi="Verdana"/>
          <w:sz w:val="16"/>
          <w:szCs w:val="16"/>
          <w:lang w:val="es-CR"/>
        </w:rPr>
        <w:t xml:space="preserve">los hechos atinentes a </w:t>
      </w:r>
      <w:proofErr w:type="spellStart"/>
      <w:r w:rsidRPr="00FF176C">
        <w:rPr>
          <w:rFonts w:ascii="Verdana" w:hAnsi="Verdana"/>
          <w:sz w:val="16"/>
          <w:szCs w:val="16"/>
          <w:lang w:val="es-CR"/>
        </w:rPr>
        <w:t>Yaqueline</w:t>
      </w:r>
      <w:proofErr w:type="spellEnd"/>
      <w:r w:rsidRPr="00FF176C">
        <w:rPr>
          <w:rFonts w:ascii="Verdana" w:hAnsi="Verdana"/>
          <w:sz w:val="16"/>
          <w:szCs w:val="16"/>
          <w:lang w:val="es-CR"/>
        </w:rPr>
        <w:t xml:space="preserve"> Reyes “</w:t>
      </w:r>
      <w:proofErr w:type="spellStart"/>
      <w:r w:rsidRPr="00FF176C">
        <w:rPr>
          <w:rFonts w:ascii="Verdana" w:hAnsi="Verdana"/>
          <w:sz w:val="16"/>
          <w:szCs w:val="16"/>
          <w:lang w:val="es-CR"/>
        </w:rPr>
        <w:t>sucedi</w:t>
      </w:r>
      <w:proofErr w:type="spellEnd"/>
      <w:r w:rsidR="00C31555">
        <w:rPr>
          <w:rFonts w:ascii="Verdana" w:hAnsi="Verdana"/>
          <w:sz w:val="16"/>
          <w:szCs w:val="16"/>
          <w:lang w:val="es-CR"/>
        </w:rPr>
        <w:t>[</w:t>
      </w:r>
      <w:proofErr w:type="spellStart"/>
      <w:r w:rsidRPr="00FF176C">
        <w:rPr>
          <w:rFonts w:ascii="Verdana" w:hAnsi="Verdana"/>
          <w:sz w:val="16"/>
          <w:szCs w:val="16"/>
          <w:lang w:val="es-CR"/>
        </w:rPr>
        <w:t>eron</w:t>
      </w:r>
      <w:proofErr w:type="spellEnd"/>
      <w:r w:rsidR="00C31555">
        <w:rPr>
          <w:rFonts w:ascii="Verdana" w:hAnsi="Verdana"/>
          <w:sz w:val="16"/>
          <w:szCs w:val="16"/>
          <w:lang w:val="es-CR"/>
        </w:rPr>
        <w:t>]</w:t>
      </w:r>
      <w:r w:rsidRPr="00FF176C">
        <w:rPr>
          <w:rFonts w:ascii="Verdana" w:hAnsi="Verdana"/>
          <w:sz w:val="16"/>
          <w:szCs w:val="16"/>
          <w:lang w:val="es-CR"/>
        </w:rPr>
        <w:t xml:space="preserve"> varios años atrás”, y no constan denuncias sobre los mismos.</w:t>
      </w:r>
    </w:p>
  </w:footnote>
  <w:footnote w:id="24">
    <w:p w:rsidR="00A85319" w:rsidRPr="00945BB2" w:rsidRDefault="00A85319" w:rsidP="00A85319">
      <w:pPr>
        <w:pStyle w:val="FootnoteText"/>
        <w:jc w:val="both"/>
        <w:rPr>
          <w:rFonts w:ascii="Verdana" w:hAnsi="Verdana"/>
          <w:sz w:val="16"/>
          <w:szCs w:val="16"/>
          <w:lang w:val="es-CR"/>
        </w:rPr>
      </w:pPr>
      <w:r w:rsidRPr="00945BB2">
        <w:rPr>
          <w:rStyle w:val="FootnoteReference"/>
          <w:rFonts w:ascii="Verdana" w:hAnsi="Verdana"/>
          <w:sz w:val="16"/>
          <w:szCs w:val="16"/>
        </w:rPr>
        <w:footnoteRef/>
      </w:r>
      <w:r w:rsidRPr="00945BB2">
        <w:rPr>
          <w:rFonts w:ascii="Verdana" w:hAnsi="Verdana"/>
          <w:sz w:val="16"/>
          <w:szCs w:val="16"/>
          <w:lang w:val="es-CR"/>
        </w:rPr>
        <w:t xml:space="preserve"> En ese sentido, respecto al hecho de 24 de julio de 2017 (</w:t>
      </w:r>
      <w:r w:rsidRPr="00945BB2">
        <w:rPr>
          <w:rFonts w:ascii="Verdana" w:hAnsi="Verdana"/>
          <w:i/>
          <w:sz w:val="16"/>
          <w:szCs w:val="16"/>
          <w:lang w:val="es-CR"/>
        </w:rPr>
        <w:t>supra</w:t>
      </w:r>
      <w:r w:rsidRPr="00945BB2">
        <w:rPr>
          <w:rFonts w:ascii="Verdana" w:hAnsi="Verdana"/>
          <w:sz w:val="16"/>
          <w:szCs w:val="16"/>
          <w:lang w:val="es-CR"/>
        </w:rPr>
        <w:t xml:space="preserve"> Considerando 6), entendió que se trató de “delincuencia común”. </w:t>
      </w:r>
    </w:p>
  </w:footnote>
  <w:footnote w:id="25">
    <w:p w:rsidR="009638D0" w:rsidRPr="000E2E05" w:rsidRDefault="009638D0" w:rsidP="000E2E05">
      <w:pPr>
        <w:pStyle w:val="FootnoteText"/>
        <w:jc w:val="both"/>
        <w:rPr>
          <w:rFonts w:ascii="Verdana" w:hAnsi="Verdana"/>
          <w:sz w:val="16"/>
          <w:szCs w:val="16"/>
          <w:lang w:val="es-CR"/>
        </w:rPr>
      </w:pPr>
      <w:r w:rsidRPr="000E2E05">
        <w:rPr>
          <w:rStyle w:val="FootnoteReference"/>
          <w:rFonts w:ascii="Verdana" w:hAnsi="Verdana"/>
          <w:sz w:val="16"/>
          <w:szCs w:val="16"/>
        </w:rPr>
        <w:footnoteRef/>
      </w:r>
      <w:r w:rsidRPr="000E2E05">
        <w:rPr>
          <w:rFonts w:ascii="Verdana" w:hAnsi="Verdana"/>
          <w:sz w:val="16"/>
          <w:szCs w:val="16"/>
          <w:lang w:val="es-CR"/>
        </w:rPr>
        <w:t xml:space="preserve"> </w:t>
      </w:r>
      <w:r w:rsidRPr="000E2E05">
        <w:rPr>
          <w:rFonts w:ascii="Verdana" w:hAnsi="Verdana"/>
          <w:i/>
          <w:sz w:val="16"/>
          <w:szCs w:val="16"/>
          <w:lang w:val="es-CR"/>
        </w:rPr>
        <w:t xml:space="preserve">Cfr. </w:t>
      </w:r>
      <w:r w:rsidRPr="003F669E">
        <w:rPr>
          <w:rFonts w:ascii="Verdana" w:hAnsi="Verdana"/>
          <w:i/>
          <w:sz w:val="16"/>
          <w:szCs w:val="16"/>
          <w:lang w:val="es-CR"/>
        </w:rPr>
        <w:t xml:space="preserve">Caso </w:t>
      </w:r>
      <w:proofErr w:type="spellStart"/>
      <w:r w:rsidRPr="008F6F51">
        <w:rPr>
          <w:rFonts w:ascii="Verdana" w:hAnsi="Verdana"/>
          <w:i/>
          <w:sz w:val="16"/>
          <w:szCs w:val="16"/>
          <w:lang w:val="es-CR"/>
        </w:rPr>
        <w:t>Bámaca</w:t>
      </w:r>
      <w:proofErr w:type="spellEnd"/>
      <w:r w:rsidRPr="008F6F51">
        <w:rPr>
          <w:rFonts w:ascii="Verdana" w:hAnsi="Verdana"/>
          <w:i/>
          <w:sz w:val="16"/>
          <w:szCs w:val="16"/>
          <w:lang w:val="es-CR"/>
        </w:rPr>
        <w:t xml:space="preserve"> Velásquez Vs. Guatemala. Medidas Provisionales</w:t>
      </w:r>
      <w:r w:rsidRPr="000E2E05">
        <w:rPr>
          <w:rFonts w:ascii="Verdana" w:hAnsi="Verdana"/>
          <w:sz w:val="16"/>
          <w:szCs w:val="16"/>
          <w:lang w:val="es-CR"/>
        </w:rPr>
        <w:t xml:space="preserve">. Resolución de la Corte de 31 de agosto de 2016, Considerando 33. </w:t>
      </w:r>
    </w:p>
  </w:footnote>
  <w:footnote w:id="26">
    <w:p w:rsidR="0030077F" w:rsidRPr="000E2E05" w:rsidRDefault="000E2B70" w:rsidP="000E2E05">
      <w:pPr>
        <w:pStyle w:val="FootnoteText"/>
        <w:jc w:val="both"/>
        <w:rPr>
          <w:rFonts w:ascii="Verdana" w:hAnsi="Verdana"/>
          <w:sz w:val="16"/>
          <w:szCs w:val="16"/>
          <w:lang w:val="es-CR"/>
        </w:rPr>
      </w:pPr>
      <w:r w:rsidRPr="000E2E05">
        <w:rPr>
          <w:rStyle w:val="FootnoteReference"/>
          <w:rFonts w:ascii="Verdana" w:hAnsi="Verdana"/>
          <w:sz w:val="16"/>
          <w:szCs w:val="16"/>
        </w:rPr>
        <w:footnoteRef/>
      </w:r>
      <w:r w:rsidRPr="000E2E05">
        <w:rPr>
          <w:rFonts w:ascii="Verdana" w:hAnsi="Verdana"/>
          <w:sz w:val="16"/>
          <w:szCs w:val="16"/>
          <w:lang w:val="es-CR"/>
        </w:rPr>
        <w:t xml:space="preserve"> Al respecto, cabe dejar sentado que en el presente caso con anteriorida</w:t>
      </w:r>
      <w:r w:rsidR="0030077F" w:rsidRPr="000E2E05">
        <w:rPr>
          <w:rFonts w:ascii="Verdana" w:hAnsi="Verdana"/>
          <w:sz w:val="16"/>
          <w:szCs w:val="16"/>
          <w:lang w:val="es-CR"/>
        </w:rPr>
        <w:t>d se dispuso la vigencia de medidas provisionales incluso respecto de beneficiarios que residían fuera de Colombia (</w:t>
      </w:r>
      <w:r w:rsidR="0030077F" w:rsidRPr="000E2E05">
        <w:rPr>
          <w:rFonts w:ascii="Verdana" w:hAnsi="Verdana"/>
          <w:i/>
          <w:sz w:val="16"/>
          <w:szCs w:val="16"/>
          <w:lang w:val="es-CR"/>
        </w:rPr>
        <w:t>Caso Gutiérrez Soler Vs. Colombia. Medidas Provisionales.</w:t>
      </w:r>
      <w:r w:rsidR="0030077F" w:rsidRPr="000E2E05">
        <w:rPr>
          <w:rFonts w:ascii="Verdana" w:hAnsi="Verdana"/>
          <w:sz w:val="16"/>
          <w:szCs w:val="16"/>
          <w:lang w:val="es-CR"/>
        </w:rPr>
        <w:t xml:space="preserve"> Resolución de la Corte de 9 de julio de 2009)</w:t>
      </w:r>
      <w:r w:rsidR="001D5744">
        <w:rPr>
          <w:rFonts w:ascii="Verdana" w:hAnsi="Verdana"/>
          <w:sz w:val="16"/>
          <w:szCs w:val="16"/>
          <w:lang w:val="es-CR"/>
        </w:rPr>
        <w:t>.</w:t>
      </w:r>
      <w:r w:rsidRPr="000E2E05">
        <w:rPr>
          <w:rFonts w:ascii="Verdana" w:hAnsi="Verdana"/>
          <w:sz w:val="16"/>
          <w:szCs w:val="16"/>
          <w:lang w:val="es-CR"/>
        </w:rPr>
        <w:t xml:space="preserve"> </w:t>
      </w:r>
    </w:p>
  </w:footnote>
  <w:footnote w:id="27">
    <w:p w:rsidR="007D6B81" w:rsidRPr="00965696" w:rsidRDefault="007D6B81" w:rsidP="000E2E05">
      <w:pPr>
        <w:pStyle w:val="FootnoteText"/>
        <w:tabs>
          <w:tab w:val="left" w:pos="540"/>
          <w:tab w:val="left" w:pos="567"/>
        </w:tabs>
        <w:spacing w:after="120"/>
        <w:jc w:val="both"/>
        <w:rPr>
          <w:rFonts w:ascii="Verdana" w:hAnsi="Verdana"/>
          <w:sz w:val="16"/>
          <w:szCs w:val="16"/>
          <w:lang w:val="es-ES_tradnl"/>
        </w:rPr>
      </w:pPr>
      <w:r w:rsidRPr="000E2E05">
        <w:rPr>
          <w:rStyle w:val="FootnoteReference"/>
          <w:rFonts w:ascii="Verdana" w:hAnsi="Verdana"/>
          <w:sz w:val="16"/>
          <w:szCs w:val="16"/>
          <w:lang w:val="es-ES_tradnl"/>
        </w:rPr>
        <w:footnoteRef/>
      </w:r>
      <w:r w:rsidR="000E2E05">
        <w:rPr>
          <w:rFonts w:ascii="Verdana" w:hAnsi="Verdana"/>
          <w:i/>
          <w:sz w:val="16"/>
          <w:szCs w:val="16"/>
          <w:lang w:val="es-ES_tradnl"/>
        </w:rPr>
        <w:t xml:space="preserve"> </w:t>
      </w:r>
      <w:r w:rsidRPr="000E2E05">
        <w:rPr>
          <w:rFonts w:ascii="Verdana" w:hAnsi="Verdana"/>
          <w:i/>
          <w:sz w:val="16"/>
          <w:szCs w:val="16"/>
          <w:lang w:val="es-ES_tradnl"/>
        </w:rPr>
        <w:t xml:space="preserve">Cfr. Caso Luisiana Ríos y otros. </w:t>
      </w:r>
      <w:r w:rsidRPr="00536879">
        <w:rPr>
          <w:rFonts w:ascii="Verdana" w:hAnsi="Verdana"/>
          <w:i/>
          <w:sz w:val="16"/>
          <w:szCs w:val="16"/>
          <w:lang w:val="es-ES_tradnl"/>
        </w:rPr>
        <w:t>Medidas Provisionales respecto de Venezuela</w:t>
      </w:r>
      <w:r w:rsidRPr="000E2E05">
        <w:rPr>
          <w:rFonts w:ascii="Verdana" w:hAnsi="Verdana"/>
          <w:sz w:val="16"/>
          <w:szCs w:val="16"/>
          <w:lang w:val="es-ES_tradnl"/>
        </w:rPr>
        <w:t xml:space="preserve">. Resolución de la Corte </w:t>
      </w:r>
      <w:r w:rsidR="000E2E05" w:rsidRPr="000E2E05">
        <w:rPr>
          <w:rFonts w:ascii="Verdana" w:hAnsi="Verdana"/>
          <w:sz w:val="16"/>
          <w:szCs w:val="16"/>
          <w:lang w:val="es-ES_tradnl"/>
        </w:rPr>
        <w:t>de 8 de septiembre de 2004, C</w:t>
      </w:r>
      <w:r w:rsidRPr="000E2E05">
        <w:rPr>
          <w:rFonts w:ascii="Verdana" w:hAnsi="Verdana"/>
          <w:sz w:val="16"/>
          <w:szCs w:val="16"/>
          <w:lang w:val="es-ES_tradnl"/>
        </w:rPr>
        <w:t xml:space="preserve">onsiderando </w:t>
      </w:r>
      <w:r w:rsidR="000E2E05" w:rsidRPr="000E2E05">
        <w:rPr>
          <w:rFonts w:ascii="Verdana" w:hAnsi="Verdana"/>
          <w:sz w:val="16"/>
          <w:szCs w:val="16"/>
          <w:lang w:val="es-ES_tradnl"/>
        </w:rPr>
        <w:t>6</w:t>
      </w:r>
      <w:r w:rsidRPr="000E2E05">
        <w:rPr>
          <w:rFonts w:ascii="Verdana" w:hAnsi="Verdana"/>
          <w:sz w:val="16"/>
          <w:szCs w:val="16"/>
          <w:lang w:val="es-ES_tradnl"/>
        </w:rPr>
        <w:t xml:space="preserve">, y </w:t>
      </w:r>
      <w:r w:rsidR="000E2E05" w:rsidRPr="000E2E05">
        <w:rPr>
          <w:rFonts w:ascii="Verdana" w:hAnsi="Verdana"/>
          <w:i/>
          <w:sz w:val="16"/>
          <w:szCs w:val="16"/>
          <w:lang w:val="es-ES_tradnl"/>
        </w:rPr>
        <w:t>Caso I.V. Vs. Bolivia.</w:t>
      </w:r>
      <w:r w:rsidR="000E2E05" w:rsidRPr="000E2E05">
        <w:rPr>
          <w:rFonts w:ascii="Verdana" w:hAnsi="Verdana"/>
          <w:sz w:val="16"/>
          <w:szCs w:val="16"/>
          <w:lang w:val="es-ES_tradnl"/>
        </w:rPr>
        <w:t xml:space="preserve"> </w:t>
      </w:r>
      <w:r w:rsidR="000E2E05" w:rsidRPr="00536879">
        <w:rPr>
          <w:rFonts w:ascii="Verdana" w:hAnsi="Verdana"/>
          <w:i/>
          <w:sz w:val="16"/>
          <w:szCs w:val="16"/>
          <w:lang w:val="es-ES_tradnl"/>
        </w:rPr>
        <w:t>Rechazo de la Solicitud de Medidas Provisionales</w:t>
      </w:r>
      <w:r w:rsidR="009D2BD2">
        <w:rPr>
          <w:rFonts w:ascii="Verdana" w:hAnsi="Verdana"/>
          <w:sz w:val="16"/>
          <w:szCs w:val="16"/>
          <w:lang w:val="es-ES_tradnl"/>
        </w:rPr>
        <w:t xml:space="preserve">, </w:t>
      </w:r>
      <w:r w:rsidR="009D2BD2" w:rsidRPr="009D2BD2">
        <w:rPr>
          <w:rFonts w:ascii="Verdana" w:hAnsi="Verdana"/>
          <w:i/>
          <w:sz w:val="16"/>
          <w:szCs w:val="16"/>
          <w:lang w:val="es-ES_tradnl"/>
        </w:rPr>
        <w:t>supra</w:t>
      </w:r>
      <w:r w:rsidR="000E2E05" w:rsidRPr="000E2E05">
        <w:rPr>
          <w:rFonts w:ascii="Verdana" w:hAnsi="Verdana"/>
          <w:sz w:val="16"/>
          <w:szCs w:val="16"/>
          <w:lang w:val="es-ES_tradnl"/>
        </w:rPr>
        <w:t>, Considerando 20.</w:t>
      </w:r>
      <w:r w:rsidR="000E2E05">
        <w:rPr>
          <w:rFonts w:ascii="Verdana" w:hAnsi="Verdana"/>
          <w:sz w:val="16"/>
          <w:szCs w:val="16"/>
          <w:lang w:val="es-ES_tradn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4122"/>
    <w:multiLevelType w:val="hybridMultilevel"/>
    <w:tmpl w:val="A720293E"/>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0A2E43ED"/>
    <w:multiLevelType w:val="hybridMultilevel"/>
    <w:tmpl w:val="0EFA13F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A981918"/>
    <w:multiLevelType w:val="hybridMultilevel"/>
    <w:tmpl w:val="CF4C1B36"/>
    <w:lvl w:ilvl="0" w:tplc="C58E5380">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
    <w:nsid w:val="1E3F1AD6"/>
    <w:multiLevelType w:val="hybridMultilevel"/>
    <w:tmpl w:val="3086F2D8"/>
    <w:lvl w:ilvl="0" w:tplc="F070A038">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05D3C1B"/>
    <w:multiLevelType w:val="hybridMultilevel"/>
    <w:tmpl w:val="89F871FC"/>
    <w:lvl w:ilvl="0" w:tplc="004CBE9C">
      <w:start w:val="1"/>
      <w:numFmt w:val="decimal"/>
      <w:lvlText w:val="%1."/>
      <w:lvlJc w:val="left"/>
      <w:pPr>
        <w:tabs>
          <w:tab w:val="num" w:pos="360"/>
        </w:tabs>
        <w:ind w:left="360" w:hanging="360"/>
      </w:pPr>
      <w:rPr>
        <w:rFonts w:ascii="Verdana" w:hAnsi="Verdana" w:hint="default"/>
        <w:b w:val="0"/>
        <w:color w:val="auto"/>
        <w:sz w:val="20"/>
      </w:rPr>
    </w:lvl>
    <w:lvl w:ilvl="1" w:tplc="140A0017">
      <w:start w:val="1"/>
      <w:numFmt w:val="lowerLetter"/>
      <w:lvlText w:val="%2)"/>
      <w:lvlJc w:val="left"/>
      <w:pPr>
        <w:tabs>
          <w:tab w:val="num" w:pos="1440"/>
        </w:tabs>
        <w:ind w:left="1440" w:hanging="360"/>
      </w:pPr>
      <w:rPr>
        <w:b w:val="0"/>
      </w:rPr>
    </w:lvl>
    <w:lvl w:ilvl="2" w:tplc="92DEE256">
      <w:start w:val="1"/>
      <w:numFmt w:val="lowerLetter"/>
      <w:lvlText w:val="%3."/>
      <w:lvlJc w:val="left"/>
      <w:pPr>
        <w:tabs>
          <w:tab w:val="num" w:pos="2340"/>
        </w:tabs>
        <w:ind w:left="2340" w:hanging="360"/>
      </w:pPr>
    </w:lvl>
    <w:lvl w:ilvl="3" w:tplc="A9E0C762">
      <w:start w:val="1"/>
      <w:numFmt w:val="lowerLetter"/>
      <w:lvlText w:val="%4)"/>
      <w:lvlJc w:val="left"/>
      <w:pPr>
        <w:tabs>
          <w:tab w:val="num" w:pos="1440"/>
        </w:tabs>
        <w:ind w:left="144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12479A6"/>
    <w:multiLevelType w:val="hybridMultilevel"/>
    <w:tmpl w:val="5A0C1B3C"/>
    <w:lvl w:ilvl="0" w:tplc="140A0015">
      <w:start w:val="1"/>
      <w:numFmt w:val="upperLetter"/>
      <w:lvlText w:val="%1."/>
      <w:lvlJc w:val="left"/>
      <w:pPr>
        <w:ind w:left="1068" w:hanging="360"/>
      </w:p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6">
    <w:nsid w:val="34073C02"/>
    <w:multiLevelType w:val="hybridMultilevel"/>
    <w:tmpl w:val="E3B2D7B8"/>
    <w:lvl w:ilvl="0" w:tplc="64987780">
      <w:start w:val="1"/>
      <w:numFmt w:val="lowerLetter"/>
      <w:lvlText w:val="%1)"/>
      <w:lvlJc w:val="left"/>
      <w:pPr>
        <w:ind w:left="720" w:hanging="360"/>
      </w:pPr>
      <w:rPr>
        <w:rFonts w:asciiTheme="minorHAnsi" w:hAnsiTheme="minorHAnsi" w:hint="default"/>
        <w:sz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448F739C"/>
    <w:multiLevelType w:val="hybridMultilevel"/>
    <w:tmpl w:val="EF949FB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54AA4269"/>
    <w:multiLevelType w:val="hybridMultilevel"/>
    <w:tmpl w:val="89F871FC"/>
    <w:lvl w:ilvl="0" w:tplc="004CBE9C">
      <w:start w:val="1"/>
      <w:numFmt w:val="decimal"/>
      <w:lvlText w:val="%1."/>
      <w:lvlJc w:val="left"/>
      <w:pPr>
        <w:tabs>
          <w:tab w:val="num" w:pos="360"/>
        </w:tabs>
        <w:ind w:left="360" w:hanging="360"/>
      </w:pPr>
      <w:rPr>
        <w:rFonts w:ascii="Verdana" w:hAnsi="Verdana" w:hint="default"/>
        <w:b w:val="0"/>
        <w:color w:val="auto"/>
        <w:sz w:val="20"/>
      </w:rPr>
    </w:lvl>
    <w:lvl w:ilvl="1" w:tplc="140A0017">
      <w:start w:val="1"/>
      <w:numFmt w:val="lowerLetter"/>
      <w:lvlText w:val="%2)"/>
      <w:lvlJc w:val="left"/>
      <w:pPr>
        <w:tabs>
          <w:tab w:val="num" w:pos="1440"/>
        </w:tabs>
        <w:ind w:left="1440" w:hanging="360"/>
      </w:pPr>
      <w:rPr>
        <w:b w:val="0"/>
      </w:rPr>
    </w:lvl>
    <w:lvl w:ilvl="2" w:tplc="92DEE256">
      <w:start w:val="1"/>
      <w:numFmt w:val="lowerLetter"/>
      <w:lvlText w:val="%3."/>
      <w:lvlJc w:val="left"/>
      <w:pPr>
        <w:tabs>
          <w:tab w:val="num" w:pos="2340"/>
        </w:tabs>
        <w:ind w:left="2340" w:hanging="360"/>
      </w:pPr>
    </w:lvl>
    <w:lvl w:ilvl="3" w:tplc="A9E0C762">
      <w:start w:val="1"/>
      <w:numFmt w:val="lowerLetter"/>
      <w:lvlText w:val="%4)"/>
      <w:lvlJc w:val="left"/>
      <w:pPr>
        <w:tabs>
          <w:tab w:val="num" w:pos="1440"/>
        </w:tabs>
        <w:ind w:left="144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5EBB6E21"/>
    <w:multiLevelType w:val="hybridMultilevel"/>
    <w:tmpl w:val="06D44D9C"/>
    <w:lvl w:ilvl="0" w:tplc="9698D40A">
      <w:start w:val="1"/>
      <w:numFmt w:val="decimal"/>
      <w:lvlText w:val="%1)"/>
      <w:lvlJc w:val="left"/>
      <w:pPr>
        <w:ind w:left="4755" w:hanging="360"/>
      </w:pPr>
      <w:rPr>
        <w:rFonts w:hint="default"/>
      </w:rPr>
    </w:lvl>
    <w:lvl w:ilvl="1" w:tplc="140A0019" w:tentative="1">
      <w:start w:val="1"/>
      <w:numFmt w:val="lowerLetter"/>
      <w:lvlText w:val="%2."/>
      <w:lvlJc w:val="left"/>
      <w:pPr>
        <w:ind w:left="5475" w:hanging="360"/>
      </w:pPr>
    </w:lvl>
    <w:lvl w:ilvl="2" w:tplc="140A001B" w:tentative="1">
      <w:start w:val="1"/>
      <w:numFmt w:val="lowerRoman"/>
      <w:lvlText w:val="%3."/>
      <w:lvlJc w:val="right"/>
      <w:pPr>
        <w:ind w:left="6195" w:hanging="180"/>
      </w:pPr>
    </w:lvl>
    <w:lvl w:ilvl="3" w:tplc="140A000F" w:tentative="1">
      <w:start w:val="1"/>
      <w:numFmt w:val="decimal"/>
      <w:lvlText w:val="%4."/>
      <w:lvlJc w:val="left"/>
      <w:pPr>
        <w:ind w:left="6915" w:hanging="360"/>
      </w:pPr>
    </w:lvl>
    <w:lvl w:ilvl="4" w:tplc="140A0019" w:tentative="1">
      <w:start w:val="1"/>
      <w:numFmt w:val="lowerLetter"/>
      <w:lvlText w:val="%5."/>
      <w:lvlJc w:val="left"/>
      <w:pPr>
        <w:ind w:left="7635" w:hanging="360"/>
      </w:pPr>
    </w:lvl>
    <w:lvl w:ilvl="5" w:tplc="140A001B" w:tentative="1">
      <w:start w:val="1"/>
      <w:numFmt w:val="lowerRoman"/>
      <w:lvlText w:val="%6."/>
      <w:lvlJc w:val="right"/>
      <w:pPr>
        <w:ind w:left="8355" w:hanging="180"/>
      </w:pPr>
    </w:lvl>
    <w:lvl w:ilvl="6" w:tplc="140A000F" w:tentative="1">
      <w:start w:val="1"/>
      <w:numFmt w:val="decimal"/>
      <w:lvlText w:val="%7."/>
      <w:lvlJc w:val="left"/>
      <w:pPr>
        <w:ind w:left="9075" w:hanging="360"/>
      </w:pPr>
    </w:lvl>
    <w:lvl w:ilvl="7" w:tplc="140A0019" w:tentative="1">
      <w:start w:val="1"/>
      <w:numFmt w:val="lowerLetter"/>
      <w:lvlText w:val="%8."/>
      <w:lvlJc w:val="left"/>
      <w:pPr>
        <w:ind w:left="9795" w:hanging="360"/>
      </w:pPr>
    </w:lvl>
    <w:lvl w:ilvl="8" w:tplc="140A001B" w:tentative="1">
      <w:start w:val="1"/>
      <w:numFmt w:val="lowerRoman"/>
      <w:lvlText w:val="%9."/>
      <w:lvlJc w:val="right"/>
      <w:pPr>
        <w:ind w:left="10515" w:hanging="180"/>
      </w:pPr>
    </w:lvl>
  </w:abstractNum>
  <w:abstractNum w:abstractNumId="10">
    <w:nsid w:val="6CEB3A64"/>
    <w:multiLevelType w:val="hybridMultilevel"/>
    <w:tmpl w:val="39609924"/>
    <w:lvl w:ilvl="0" w:tplc="15547684">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744010E1"/>
    <w:multiLevelType w:val="hybridMultilevel"/>
    <w:tmpl w:val="89F871FC"/>
    <w:lvl w:ilvl="0" w:tplc="004CBE9C">
      <w:start w:val="1"/>
      <w:numFmt w:val="decimal"/>
      <w:lvlText w:val="%1."/>
      <w:lvlJc w:val="left"/>
      <w:pPr>
        <w:tabs>
          <w:tab w:val="num" w:pos="360"/>
        </w:tabs>
        <w:ind w:left="360" w:hanging="360"/>
      </w:pPr>
      <w:rPr>
        <w:rFonts w:ascii="Verdana" w:hAnsi="Verdana" w:hint="default"/>
        <w:b w:val="0"/>
        <w:color w:val="auto"/>
        <w:sz w:val="20"/>
      </w:rPr>
    </w:lvl>
    <w:lvl w:ilvl="1" w:tplc="140A0017">
      <w:start w:val="1"/>
      <w:numFmt w:val="lowerLetter"/>
      <w:lvlText w:val="%2)"/>
      <w:lvlJc w:val="left"/>
      <w:pPr>
        <w:tabs>
          <w:tab w:val="num" w:pos="1440"/>
        </w:tabs>
        <w:ind w:left="1440" w:hanging="360"/>
      </w:pPr>
      <w:rPr>
        <w:b w:val="0"/>
      </w:rPr>
    </w:lvl>
    <w:lvl w:ilvl="2" w:tplc="92DEE256">
      <w:start w:val="1"/>
      <w:numFmt w:val="lowerLetter"/>
      <w:lvlText w:val="%3."/>
      <w:lvlJc w:val="left"/>
      <w:pPr>
        <w:tabs>
          <w:tab w:val="num" w:pos="2340"/>
        </w:tabs>
        <w:ind w:left="2340" w:hanging="360"/>
      </w:pPr>
    </w:lvl>
    <w:lvl w:ilvl="3" w:tplc="A9E0C762">
      <w:start w:val="1"/>
      <w:numFmt w:val="lowerLetter"/>
      <w:lvlText w:val="%4)"/>
      <w:lvlJc w:val="left"/>
      <w:pPr>
        <w:tabs>
          <w:tab w:val="num" w:pos="1440"/>
        </w:tabs>
        <w:ind w:left="144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75D5417D"/>
    <w:multiLevelType w:val="hybridMultilevel"/>
    <w:tmpl w:val="06D44D9C"/>
    <w:lvl w:ilvl="0" w:tplc="9698D40A">
      <w:start w:val="1"/>
      <w:numFmt w:val="decimal"/>
      <w:lvlText w:val="%1)"/>
      <w:lvlJc w:val="left"/>
      <w:pPr>
        <w:ind w:left="4755" w:hanging="360"/>
      </w:pPr>
      <w:rPr>
        <w:rFonts w:hint="default"/>
      </w:rPr>
    </w:lvl>
    <w:lvl w:ilvl="1" w:tplc="140A0019" w:tentative="1">
      <w:start w:val="1"/>
      <w:numFmt w:val="lowerLetter"/>
      <w:lvlText w:val="%2."/>
      <w:lvlJc w:val="left"/>
      <w:pPr>
        <w:ind w:left="5475" w:hanging="360"/>
      </w:pPr>
    </w:lvl>
    <w:lvl w:ilvl="2" w:tplc="140A001B" w:tentative="1">
      <w:start w:val="1"/>
      <w:numFmt w:val="lowerRoman"/>
      <w:lvlText w:val="%3."/>
      <w:lvlJc w:val="right"/>
      <w:pPr>
        <w:ind w:left="6195" w:hanging="180"/>
      </w:pPr>
    </w:lvl>
    <w:lvl w:ilvl="3" w:tplc="140A000F" w:tentative="1">
      <w:start w:val="1"/>
      <w:numFmt w:val="decimal"/>
      <w:lvlText w:val="%4."/>
      <w:lvlJc w:val="left"/>
      <w:pPr>
        <w:ind w:left="6915" w:hanging="360"/>
      </w:pPr>
    </w:lvl>
    <w:lvl w:ilvl="4" w:tplc="140A0019" w:tentative="1">
      <w:start w:val="1"/>
      <w:numFmt w:val="lowerLetter"/>
      <w:lvlText w:val="%5."/>
      <w:lvlJc w:val="left"/>
      <w:pPr>
        <w:ind w:left="7635" w:hanging="360"/>
      </w:pPr>
    </w:lvl>
    <w:lvl w:ilvl="5" w:tplc="140A001B" w:tentative="1">
      <w:start w:val="1"/>
      <w:numFmt w:val="lowerRoman"/>
      <w:lvlText w:val="%6."/>
      <w:lvlJc w:val="right"/>
      <w:pPr>
        <w:ind w:left="8355" w:hanging="180"/>
      </w:pPr>
    </w:lvl>
    <w:lvl w:ilvl="6" w:tplc="140A000F" w:tentative="1">
      <w:start w:val="1"/>
      <w:numFmt w:val="decimal"/>
      <w:lvlText w:val="%7."/>
      <w:lvlJc w:val="left"/>
      <w:pPr>
        <w:ind w:left="9075" w:hanging="360"/>
      </w:pPr>
    </w:lvl>
    <w:lvl w:ilvl="7" w:tplc="140A0019" w:tentative="1">
      <w:start w:val="1"/>
      <w:numFmt w:val="lowerLetter"/>
      <w:lvlText w:val="%8."/>
      <w:lvlJc w:val="left"/>
      <w:pPr>
        <w:ind w:left="9795" w:hanging="360"/>
      </w:pPr>
    </w:lvl>
    <w:lvl w:ilvl="8" w:tplc="140A001B" w:tentative="1">
      <w:start w:val="1"/>
      <w:numFmt w:val="lowerRoman"/>
      <w:lvlText w:val="%9."/>
      <w:lvlJc w:val="right"/>
      <w:pPr>
        <w:ind w:left="10515" w:hanging="180"/>
      </w:pPr>
    </w:lvl>
  </w:abstractNum>
  <w:abstractNum w:abstractNumId="13">
    <w:nsid w:val="7C4E0AB1"/>
    <w:multiLevelType w:val="hybridMultilevel"/>
    <w:tmpl w:val="5FDE1AF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1"/>
  </w:num>
  <w:num w:numId="2">
    <w:abstractNumId w:val="5"/>
  </w:num>
  <w:num w:numId="3">
    <w:abstractNumId w:val="8"/>
  </w:num>
  <w:num w:numId="4">
    <w:abstractNumId w:val="4"/>
  </w:num>
  <w:num w:numId="5">
    <w:abstractNumId w:val="13"/>
  </w:num>
  <w:num w:numId="6">
    <w:abstractNumId w:val="10"/>
  </w:num>
  <w:num w:numId="7">
    <w:abstractNumId w:val="7"/>
  </w:num>
  <w:num w:numId="8">
    <w:abstractNumId w:val="3"/>
  </w:num>
  <w:num w:numId="9">
    <w:abstractNumId w:val="1"/>
  </w:num>
  <w:num w:numId="10">
    <w:abstractNumId w:val="9"/>
  </w:num>
  <w:num w:numId="11">
    <w:abstractNumId w:val="2"/>
  </w:num>
  <w:num w:numId="12">
    <w:abstractNumId w:val="0"/>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B86"/>
    <w:rsid w:val="00004A63"/>
    <w:rsid w:val="000068A4"/>
    <w:rsid w:val="00010837"/>
    <w:rsid w:val="000173A4"/>
    <w:rsid w:val="00050275"/>
    <w:rsid w:val="00062F47"/>
    <w:rsid w:val="000636AB"/>
    <w:rsid w:val="0007720F"/>
    <w:rsid w:val="0008350F"/>
    <w:rsid w:val="000A40D2"/>
    <w:rsid w:val="000B27AB"/>
    <w:rsid w:val="000C4C92"/>
    <w:rsid w:val="000E2B70"/>
    <w:rsid w:val="000E2E05"/>
    <w:rsid w:val="000E517D"/>
    <w:rsid w:val="000F19D9"/>
    <w:rsid w:val="0010237F"/>
    <w:rsid w:val="00140AFE"/>
    <w:rsid w:val="0016468E"/>
    <w:rsid w:val="001716ED"/>
    <w:rsid w:val="001770BF"/>
    <w:rsid w:val="00182DCC"/>
    <w:rsid w:val="00183602"/>
    <w:rsid w:val="001C3FF1"/>
    <w:rsid w:val="001C5B86"/>
    <w:rsid w:val="001D5744"/>
    <w:rsid w:val="00203127"/>
    <w:rsid w:val="00225580"/>
    <w:rsid w:val="00236EC8"/>
    <w:rsid w:val="0023749F"/>
    <w:rsid w:val="002423B4"/>
    <w:rsid w:val="00246DBD"/>
    <w:rsid w:val="00257245"/>
    <w:rsid w:val="0027235F"/>
    <w:rsid w:val="002977E5"/>
    <w:rsid w:val="002A5EE4"/>
    <w:rsid w:val="002D2FBE"/>
    <w:rsid w:val="002D479D"/>
    <w:rsid w:val="002F2709"/>
    <w:rsid w:val="002F42F8"/>
    <w:rsid w:val="002F52EC"/>
    <w:rsid w:val="002F7DAD"/>
    <w:rsid w:val="0030077F"/>
    <w:rsid w:val="00303561"/>
    <w:rsid w:val="00327177"/>
    <w:rsid w:val="00376E49"/>
    <w:rsid w:val="00377BFA"/>
    <w:rsid w:val="00387211"/>
    <w:rsid w:val="00397096"/>
    <w:rsid w:val="003B500A"/>
    <w:rsid w:val="003C0535"/>
    <w:rsid w:val="003D178A"/>
    <w:rsid w:val="003E40B9"/>
    <w:rsid w:val="003E730F"/>
    <w:rsid w:val="003E7B7E"/>
    <w:rsid w:val="003F4134"/>
    <w:rsid w:val="003F669E"/>
    <w:rsid w:val="004073F4"/>
    <w:rsid w:val="004365F9"/>
    <w:rsid w:val="0044128C"/>
    <w:rsid w:val="004454E5"/>
    <w:rsid w:val="004459B9"/>
    <w:rsid w:val="00455A96"/>
    <w:rsid w:val="00460DAA"/>
    <w:rsid w:val="0048139E"/>
    <w:rsid w:val="00483780"/>
    <w:rsid w:val="004A4401"/>
    <w:rsid w:val="004C49C2"/>
    <w:rsid w:val="004D0DD1"/>
    <w:rsid w:val="004E1685"/>
    <w:rsid w:val="00514DC3"/>
    <w:rsid w:val="005253E0"/>
    <w:rsid w:val="00536879"/>
    <w:rsid w:val="00550DE1"/>
    <w:rsid w:val="005548E4"/>
    <w:rsid w:val="00557751"/>
    <w:rsid w:val="00563651"/>
    <w:rsid w:val="00570BFA"/>
    <w:rsid w:val="0057513C"/>
    <w:rsid w:val="00584CBA"/>
    <w:rsid w:val="0059442D"/>
    <w:rsid w:val="005961E4"/>
    <w:rsid w:val="005A75B6"/>
    <w:rsid w:val="005B0E3A"/>
    <w:rsid w:val="005B393C"/>
    <w:rsid w:val="005D4901"/>
    <w:rsid w:val="005E4CDF"/>
    <w:rsid w:val="006013E5"/>
    <w:rsid w:val="00646701"/>
    <w:rsid w:val="00686292"/>
    <w:rsid w:val="0069682E"/>
    <w:rsid w:val="006B75F8"/>
    <w:rsid w:val="007023EC"/>
    <w:rsid w:val="00705133"/>
    <w:rsid w:val="0071225C"/>
    <w:rsid w:val="00716C69"/>
    <w:rsid w:val="00747B58"/>
    <w:rsid w:val="00757F2E"/>
    <w:rsid w:val="007771A9"/>
    <w:rsid w:val="00784818"/>
    <w:rsid w:val="007A43C8"/>
    <w:rsid w:val="007B6217"/>
    <w:rsid w:val="007D6B81"/>
    <w:rsid w:val="007D6EB7"/>
    <w:rsid w:val="00816118"/>
    <w:rsid w:val="00830FA2"/>
    <w:rsid w:val="00876AAE"/>
    <w:rsid w:val="008827F4"/>
    <w:rsid w:val="008951DB"/>
    <w:rsid w:val="008A5395"/>
    <w:rsid w:val="008A76D4"/>
    <w:rsid w:val="008D503B"/>
    <w:rsid w:val="008D50BA"/>
    <w:rsid w:val="008F6F51"/>
    <w:rsid w:val="00917EF2"/>
    <w:rsid w:val="00923011"/>
    <w:rsid w:val="00935C82"/>
    <w:rsid w:val="00945BB2"/>
    <w:rsid w:val="009638D0"/>
    <w:rsid w:val="00973532"/>
    <w:rsid w:val="00977903"/>
    <w:rsid w:val="0098637C"/>
    <w:rsid w:val="009A0BD9"/>
    <w:rsid w:val="009A5CE9"/>
    <w:rsid w:val="009D2BD2"/>
    <w:rsid w:val="009E52FA"/>
    <w:rsid w:val="009F2047"/>
    <w:rsid w:val="009F6A6E"/>
    <w:rsid w:val="00A00669"/>
    <w:rsid w:val="00A15F4B"/>
    <w:rsid w:val="00A32783"/>
    <w:rsid w:val="00A51B57"/>
    <w:rsid w:val="00A52F52"/>
    <w:rsid w:val="00A57FAD"/>
    <w:rsid w:val="00A75A6E"/>
    <w:rsid w:val="00A85319"/>
    <w:rsid w:val="00A93B40"/>
    <w:rsid w:val="00AB3A96"/>
    <w:rsid w:val="00AB65AC"/>
    <w:rsid w:val="00AC6384"/>
    <w:rsid w:val="00AD06E4"/>
    <w:rsid w:val="00B17BDE"/>
    <w:rsid w:val="00B36B49"/>
    <w:rsid w:val="00BC3B24"/>
    <w:rsid w:val="00BC5E02"/>
    <w:rsid w:val="00BD1A84"/>
    <w:rsid w:val="00C22975"/>
    <w:rsid w:val="00C26F65"/>
    <w:rsid w:val="00C31555"/>
    <w:rsid w:val="00C35C30"/>
    <w:rsid w:val="00C41C3C"/>
    <w:rsid w:val="00C837F2"/>
    <w:rsid w:val="00C91063"/>
    <w:rsid w:val="00CA1162"/>
    <w:rsid w:val="00CB3CDF"/>
    <w:rsid w:val="00CC3E9F"/>
    <w:rsid w:val="00CD5192"/>
    <w:rsid w:val="00D06557"/>
    <w:rsid w:val="00D17569"/>
    <w:rsid w:val="00D27FF9"/>
    <w:rsid w:val="00D35BEF"/>
    <w:rsid w:val="00D423F9"/>
    <w:rsid w:val="00D476E1"/>
    <w:rsid w:val="00D623A3"/>
    <w:rsid w:val="00D710CB"/>
    <w:rsid w:val="00D72125"/>
    <w:rsid w:val="00D906B2"/>
    <w:rsid w:val="00DA13A9"/>
    <w:rsid w:val="00DA27FA"/>
    <w:rsid w:val="00DD2E01"/>
    <w:rsid w:val="00E4474B"/>
    <w:rsid w:val="00E602D9"/>
    <w:rsid w:val="00E75984"/>
    <w:rsid w:val="00EB1D88"/>
    <w:rsid w:val="00EC2F71"/>
    <w:rsid w:val="00EC3386"/>
    <w:rsid w:val="00EC3F4F"/>
    <w:rsid w:val="00EE099F"/>
    <w:rsid w:val="00EF17D8"/>
    <w:rsid w:val="00F32228"/>
    <w:rsid w:val="00F42044"/>
    <w:rsid w:val="00F51C5D"/>
    <w:rsid w:val="00F627CC"/>
    <w:rsid w:val="00F62BE1"/>
    <w:rsid w:val="00F6766D"/>
    <w:rsid w:val="00F743DF"/>
    <w:rsid w:val="00F87402"/>
    <w:rsid w:val="00F94495"/>
    <w:rsid w:val="00FA613A"/>
    <w:rsid w:val="00FC0257"/>
    <w:rsid w:val="00FC19D1"/>
    <w:rsid w:val="00FD4C60"/>
    <w:rsid w:val="00FD74B9"/>
    <w:rsid w:val="00FF176C"/>
    <w:rsid w:val="00FF5BEC"/>
  </w:rsids>
  <m:mathPr>
    <m:mathFont m:val="Cambria Math"/>
    <m:brkBin m:val="before"/>
    <m:brkBinSub m:val="--"/>
    <m:smallFrac m:val="0"/>
    <m:dispDef/>
    <m:lMargin m:val="0"/>
    <m:rMargin m:val="0"/>
    <m:defJc m:val="centerGroup"/>
    <m:wrapIndent m:val="1440"/>
    <m:intLim m:val="subSup"/>
    <m:naryLim m:val="undOvr"/>
  </m:mathPr>
  <w:themeFontLang w:val="es-C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B8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C"/>
    <w:basedOn w:val="Normal"/>
    <w:link w:val="FootnoteTextChar"/>
    <w:qFormat/>
    <w:rsid w:val="001C5B86"/>
    <w:pPr>
      <w:spacing w:after="0" w:line="240" w:lineRule="auto"/>
    </w:pPr>
    <w:rPr>
      <w:rFonts w:ascii="Times New Roman" w:eastAsia="MS Mincho" w:hAnsi="Times New Roman" w:cs="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rsid w:val="001C5B86"/>
    <w:rPr>
      <w:rFonts w:ascii="Times New Roman" w:eastAsia="MS Mincho" w:hAnsi="Times New Roman" w:cs="Times New Roman"/>
      <w:sz w:val="20"/>
      <w:szCs w:val="20"/>
      <w:lang w:val="en-US"/>
    </w:rPr>
  </w:style>
  <w:style w:type="character" w:styleId="FootnoteReference">
    <w:name w:val="footnote reference"/>
    <w:aliases w:val="Footnotes refss,Texto de nota al pie,Appel note de bas de page,Footnote number,referencia nota al pie,BVI fnr,f,Footnote symbol,Footnote,Ref. de nota al pie.,4_G,16 Point,Superscript 6 Point,Texto nota al pie,Ref,de nota al pie,norma"/>
    <w:link w:val="4GChar"/>
    <w:qFormat/>
    <w:rsid w:val="001C5B86"/>
    <w:rPr>
      <w:rFonts w:cs="Times New Roman"/>
      <w:vertAlign w:val="superscript"/>
    </w:rPr>
  </w:style>
  <w:style w:type="paragraph" w:customStyle="1" w:styleId="Prrafodelista1">
    <w:name w:val="Párrafo de lista1"/>
    <w:basedOn w:val="Normal"/>
    <w:qFormat/>
    <w:rsid w:val="001C5B86"/>
    <w:pPr>
      <w:spacing w:after="0" w:line="240" w:lineRule="auto"/>
      <w:contextualSpacing/>
    </w:pPr>
    <w:rPr>
      <w:rFonts w:ascii="Verdana" w:eastAsia="Batang" w:hAnsi="Verdana" w:cs="Times New Roman"/>
      <w:sz w:val="16"/>
      <w:lang w:val="es-ES"/>
    </w:rPr>
  </w:style>
  <w:style w:type="character" w:styleId="Strong">
    <w:name w:val="Strong"/>
    <w:basedOn w:val="DefaultParagraphFont"/>
    <w:uiPriority w:val="22"/>
    <w:qFormat/>
    <w:rsid w:val="001C5B86"/>
    <w:rPr>
      <w:b/>
      <w:bCs/>
    </w:rPr>
  </w:style>
  <w:style w:type="paragraph" w:styleId="Footer">
    <w:name w:val="footer"/>
    <w:basedOn w:val="Normal"/>
    <w:link w:val="FooterChar"/>
    <w:uiPriority w:val="99"/>
    <w:unhideWhenUsed/>
    <w:rsid w:val="001C5B86"/>
    <w:pPr>
      <w:tabs>
        <w:tab w:val="center" w:pos="4252"/>
        <w:tab w:val="right" w:pos="8504"/>
      </w:tabs>
      <w:spacing w:after="0" w:line="240" w:lineRule="auto"/>
    </w:pPr>
  </w:style>
  <w:style w:type="character" w:customStyle="1" w:styleId="FooterChar">
    <w:name w:val="Footer Char"/>
    <w:basedOn w:val="DefaultParagraphFont"/>
    <w:link w:val="Footer"/>
    <w:uiPriority w:val="99"/>
    <w:rsid w:val="001C5B86"/>
    <w:rPr>
      <w:lang w:val="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rsid w:val="001C5B86"/>
    <w:pPr>
      <w:spacing w:after="0" w:line="240" w:lineRule="auto"/>
      <w:jc w:val="both"/>
    </w:pPr>
    <w:rPr>
      <w:rFonts w:cs="Times New Roman"/>
      <w:vertAlign w:val="superscript"/>
      <w:lang w:val="es-CR"/>
    </w:rPr>
  </w:style>
  <w:style w:type="paragraph" w:styleId="ListParagraph">
    <w:name w:val="List Paragraph"/>
    <w:basedOn w:val="Normal"/>
    <w:uiPriority w:val="34"/>
    <w:qFormat/>
    <w:rsid w:val="001C5B86"/>
    <w:pPr>
      <w:ind w:left="720"/>
      <w:contextualSpacing/>
    </w:pPr>
  </w:style>
  <w:style w:type="paragraph" w:customStyle="1" w:styleId="Textoindependiente1">
    <w:name w:val="Texto independiente1"/>
    <w:basedOn w:val="Normal"/>
    <w:rsid w:val="00563651"/>
    <w:pPr>
      <w:widowControl w:val="0"/>
      <w:spacing w:after="0" w:line="240" w:lineRule="auto"/>
      <w:jc w:val="both"/>
    </w:pPr>
    <w:rPr>
      <w:rFonts w:ascii="New York" w:eastAsia="Times New Roman" w:hAnsi="New York" w:cs="Times New Roman"/>
      <w:sz w:val="24"/>
      <w:szCs w:val="20"/>
      <w:lang w:val="es-ES_tradnl"/>
    </w:rPr>
  </w:style>
  <w:style w:type="paragraph" w:customStyle="1" w:styleId="Default">
    <w:name w:val="Default"/>
    <w:rsid w:val="004D0DD1"/>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297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7E5"/>
    <w:rPr>
      <w:rFonts w:ascii="Tahoma" w:hAnsi="Tahoma" w:cs="Tahoma"/>
      <w:sz w:val="16"/>
      <w:szCs w:val="16"/>
      <w:lang w:val="en-US"/>
    </w:rPr>
  </w:style>
  <w:style w:type="character" w:styleId="LineNumber">
    <w:name w:val="line number"/>
    <w:basedOn w:val="DefaultParagraphFont"/>
    <w:uiPriority w:val="99"/>
    <w:semiHidden/>
    <w:unhideWhenUsed/>
    <w:rsid w:val="002423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B8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C"/>
    <w:basedOn w:val="Normal"/>
    <w:link w:val="FootnoteTextChar"/>
    <w:qFormat/>
    <w:rsid w:val="001C5B86"/>
    <w:pPr>
      <w:spacing w:after="0" w:line="240" w:lineRule="auto"/>
    </w:pPr>
    <w:rPr>
      <w:rFonts w:ascii="Times New Roman" w:eastAsia="MS Mincho" w:hAnsi="Times New Roman" w:cs="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rsid w:val="001C5B86"/>
    <w:rPr>
      <w:rFonts w:ascii="Times New Roman" w:eastAsia="MS Mincho" w:hAnsi="Times New Roman" w:cs="Times New Roman"/>
      <w:sz w:val="20"/>
      <w:szCs w:val="20"/>
      <w:lang w:val="en-US"/>
    </w:rPr>
  </w:style>
  <w:style w:type="character" w:styleId="FootnoteReference">
    <w:name w:val="footnote reference"/>
    <w:aliases w:val="Footnotes refss,Texto de nota al pie,Appel note de bas de page,Footnote number,referencia nota al pie,BVI fnr,f,Footnote symbol,Footnote,Ref. de nota al pie.,4_G,16 Point,Superscript 6 Point,Texto nota al pie,Ref,de nota al pie,norma"/>
    <w:link w:val="4GChar"/>
    <w:qFormat/>
    <w:rsid w:val="001C5B86"/>
    <w:rPr>
      <w:rFonts w:cs="Times New Roman"/>
      <w:vertAlign w:val="superscript"/>
    </w:rPr>
  </w:style>
  <w:style w:type="paragraph" w:customStyle="1" w:styleId="Prrafodelista1">
    <w:name w:val="Párrafo de lista1"/>
    <w:basedOn w:val="Normal"/>
    <w:qFormat/>
    <w:rsid w:val="001C5B86"/>
    <w:pPr>
      <w:spacing w:after="0" w:line="240" w:lineRule="auto"/>
      <w:contextualSpacing/>
    </w:pPr>
    <w:rPr>
      <w:rFonts w:ascii="Verdana" w:eastAsia="Batang" w:hAnsi="Verdana" w:cs="Times New Roman"/>
      <w:sz w:val="16"/>
      <w:lang w:val="es-ES"/>
    </w:rPr>
  </w:style>
  <w:style w:type="character" w:styleId="Strong">
    <w:name w:val="Strong"/>
    <w:basedOn w:val="DefaultParagraphFont"/>
    <w:uiPriority w:val="22"/>
    <w:qFormat/>
    <w:rsid w:val="001C5B86"/>
    <w:rPr>
      <w:b/>
      <w:bCs/>
    </w:rPr>
  </w:style>
  <w:style w:type="paragraph" w:styleId="Footer">
    <w:name w:val="footer"/>
    <w:basedOn w:val="Normal"/>
    <w:link w:val="FooterChar"/>
    <w:uiPriority w:val="99"/>
    <w:unhideWhenUsed/>
    <w:rsid w:val="001C5B86"/>
    <w:pPr>
      <w:tabs>
        <w:tab w:val="center" w:pos="4252"/>
        <w:tab w:val="right" w:pos="8504"/>
      </w:tabs>
      <w:spacing w:after="0" w:line="240" w:lineRule="auto"/>
    </w:pPr>
  </w:style>
  <w:style w:type="character" w:customStyle="1" w:styleId="FooterChar">
    <w:name w:val="Footer Char"/>
    <w:basedOn w:val="DefaultParagraphFont"/>
    <w:link w:val="Footer"/>
    <w:uiPriority w:val="99"/>
    <w:rsid w:val="001C5B86"/>
    <w:rPr>
      <w:lang w:val="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rsid w:val="001C5B86"/>
    <w:pPr>
      <w:spacing w:after="0" w:line="240" w:lineRule="auto"/>
      <w:jc w:val="both"/>
    </w:pPr>
    <w:rPr>
      <w:rFonts w:cs="Times New Roman"/>
      <w:vertAlign w:val="superscript"/>
      <w:lang w:val="es-CR"/>
    </w:rPr>
  </w:style>
  <w:style w:type="paragraph" w:styleId="ListParagraph">
    <w:name w:val="List Paragraph"/>
    <w:basedOn w:val="Normal"/>
    <w:uiPriority w:val="34"/>
    <w:qFormat/>
    <w:rsid w:val="001C5B86"/>
    <w:pPr>
      <w:ind w:left="720"/>
      <w:contextualSpacing/>
    </w:pPr>
  </w:style>
  <w:style w:type="paragraph" w:customStyle="1" w:styleId="Textoindependiente1">
    <w:name w:val="Texto independiente1"/>
    <w:basedOn w:val="Normal"/>
    <w:rsid w:val="00563651"/>
    <w:pPr>
      <w:widowControl w:val="0"/>
      <w:spacing w:after="0" w:line="240" w:lineRule="auto"/>
      <w:jc w:val="both"/>
    </w:pPr>
    <w:rPr>
      <w:rFonts w:ascii="New York" w:eastAsia="Times New Roman" w:hAnsi="New York" w:cs="Times New Roman"/>
      <w:sz w:val="24"/>
      <w:szCs w:val="20"/>
      <w:lang w:val="es-ES_tradnl"/>
    </w:rPr>
  </w:style>
  <w:style w:type="paragraph" w:customStyle="1" w:styleId="Default">
    <w:name w:val="Default"/>
    <w:rsid w:val="004D0DD1"/>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297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7E5"/>
    <w:rPr>
      <w:rFonts w:ascii="Tahoma" w:hAnsi="Tahoma" w:cs="Tahoma"/>
      <w:sz w:val="16"/>
      <w:szCs w:val="16"/>
      <w:lang w:val="en-US"/>
    </w:rPr>
  </w:style>
  <w:style w:type="character" w:styleId="LineNumber">
    <w:name w:val="line number"/>
    <w:basedOn w:val="DefaultParagraphFont"/>
    <w:uiPriority w:val="99"/>
    <w:semiHidden/>
    <w:unhideWhenUsed/>
    <w:rsid w:val="00242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59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6F3AE-AA8C-44B8-AE9C-D33230345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2996</Words>
  <Characters>16482</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Julliana Saborio</cp:lastModifiedBy>
  <cp:revision>2</cp:revision>
  <dcterms:created xsi:type="dcterms:W3CDTF">2017-09-08T23:14:00Z</dcterms:created>
  <dcterms:modified xsi:type="dcterms:W3CDTF">2017-09-08T23:14:00Z</dcterms:modified>
</cp:coreProperties>
</file>