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EDAAB" w14:textId="77777777" w:rsidR="001C55AE" w:rsidRDefault="001C55AE" w:rsidP="00B31009">
      <w:pPr>
        <w:spacing w:after="0" w:line="240" w:lineRule="auto"/>
        <w:jc w:val="center"/>
        <w:rPr>
          <w:rFonts w:ascii="Verdana" w:hAnsi="Verdana"/>
          <w:b/>
          <w:sz w:val="20"/>
          <w:szCs w:val="20"/>
        </w:rPr>
      </w:pPr>
      <w:bookmarkStart w:id="0" w:name="_GoBack"/>
      <w:bookmarkEnd w:id="0"/>
    </w:p>
    <w:p w14:paraId="47E78AFE" w14:textId="77777777" w:rsidR="00B31009" w:rsidRDefault="00B31009" w:rsidP="00B31009">
      <w:pPr>
        <w:spacing w:after="0" w:line="240" w:lineRule="auto"/>
        <w:jc w:val="center"/>
        <w:rPr>
          <w:rFonts w:ascii="Verdana" w:hAnsi="Verdana"/>
          <w:b/>
          <w:sz w:val="20"/>
          <w:szCs w:val="20"/>
        </w:rPr>
      </w:pPr>
    </w:p>
    <w:p w14:paraId="4129E2ED" w14:textId="77777777" w:rsidR="00B65D5A" w:rsidRDefault="00B65D5A" w:rsidP="00B31009">
      <w:pPr>
        <w:spacing w:after="0" w:line="240" w:lineRule="auto"/>
        <w:jc w:val="center"/>
        <w:rPr>
          <w:rFonts w:ascii="Verdana" w:hAnsi="Verdana"/>
          <w:b/>
          <w:sz w:val="20"/>
          <w:szCs w:val="20"/>
        </w:rPr>
      </w:pPr>
    </w:p>
    <w:p w14:paraId="7EF373AA" w14:textId="77777777" w:rsidR="00B65D5A" w:rsidRDefault="00B65D5A" w:rsidP="00B31009">
      <w:pPr>
        <w:spacing w:after="0" w:line="240" w:lineRule="auto"/>
        <w:jc w:val="center"/>
        <w:rPr>
          <w:rFonts w:ascii="Verdana" w:hAnsi="Verdana"/>
          <w:b/>
          <w:sz w:val="20"/>
          <w:szCs w:val="20"/>
        </w:rPr>
      </w:pPr>
    </w:p>
    <w:p w14:paraId="5CA92B3B" w14:textId="77777777" w:rsidR="00B65D5A" w:rsidRDefault="00B65D5A" w:rsidP="00B31009">
      <w:pPr>
        <w:spacing w:after="0" w:line="240" w:lineRule="auto"/>
        <w:jc w:val="center"/>
        <w:rPr>
          <w:rFonts w:ascii="Verdana" w:hAnsi="Verdana"/>
          <w:b/>
          <w:sz w:val="20"/>
          <w:szCs w:val="20"/>
        </w:rPr>
      </w:pPr>
    </w:p>
    <w:p w14:paraId="60EC549E" w14:textId="77777777" w:rsidR="00B65D5A" w:rsidRDefault="00B65D5A" w:rsidP="00B31009">
      <w:pPr>
        <w:spacing w:after="0" w:line="240" w:lineRule="auto"/>
        <w:jc w:val="center"/>
        <w:rPr>
          <w:rFonts w:ascii="Verdana" w:hAnsi="Verdana"/>
          <w:b/>
          <w:sz w:val="20"/>
          <w:szCs w:val="20"/>
        </w:rPr>
      </w:pPr>
    </w:p>
    <w:p w14:paraId="65771799" w14:textId="77777777" w:rsidR="00B65D5A" w:rsidRDefault="00B65D5A" w:rsidP="00B31009">
      <w:pPr>
        <w:spacing w:after="0" w:line="240" w:lineRule="auto"/>
        <w:jc w:val="center"/>
        <w:rPr>
          <w:rFonts w:ascii="Verdana" w:hAnsi="Verdana"/>
          <w:b/>
          <w:sz w:val="20"/>
          <w:szCs w:val="20"/>
        </w:rPr>
      </w:pPr>
    </w:p>
    <w:p w14:paraId="18CC06F2" w14:textId="5BC27C3B" w:rsidR="00B31009" w:rsidRDefault="00CE417A" w:rsidP="00CE417A">
      <w:pPr>
        <w:spacing w:before="60" w:after="60" w:line="240" w:lineRule="auto"/>
        <w:jc w:val="center"/>
        <w:rPr>
          <w:rFonts w:ascii="Verdana" w:hAnsi="Verdana"/>
          <w:b/>
          <w:sz w:val="20"/>
          <w:szCs w:val="20"/>
        </w:rPr>
      </w:pPr>
      <w:r>
        <w:rPr>
          <w:rFonts w:ascii="Verdana" w:hAnsi="Verdana"/>
          <w:b/>
          <w:sz w:val="20"/>
          <w:szCs w:val="20"/>
        </w:rPr>
        <w:t>RESOLUCIÓN DEL PRESIDENTE DE LA</w:t>
      </w:r>
    </w:p>
    <w:p w14:paraId="66332F21" w14:textId="77777777" w:rsidR="00B31009" w:rsidRDefault="00B31009" w:rsidP="00CE417A">
      <w:pPr>
        <w:spacing w:before="60" w:after="60" w:line="240" w:lineRule="auto"/>
        <w:jc w:val="center"/>
        <w:rPr>
          <w:rFonts w:ascii="Verdana" w:hAnsi="Verdana"/>
          <w:b/>
          <w:sz w:val="20"/>
          <w:szCs w:val="20"/>
        </w:rPr>
      </w:pPr>
      <w:r>
        <w:rPr>
          <w:rFonts w:ascii="Verdana" w:hAnsi="Verdana"/>
          <w:b/>
          <w:sz w:val="20"/>
          <w:szCs w:val="20"/>
        </w:rPr>
        <w:t>CORTE INTERAMERICANA DE DERECHOS HUMANOS</w:t>
      </w:r>
    </w:p>
    <w:p w14:paraId="54A3EE30" w14:textId="3993D5C3" w:rsidR="00B31009" w:rsidRDefault="00316C46" w:rsidP="00CE417A">
      <w:pPr>
        <w:spacing w:before="60" w:after="60" w:line="240" w:lineRule="auto"/>
        <w:jc w:val="center"/>
        <w:rPr>
          <w:rFonts w:ascii="Verdana" w:hAnsi="Verdana"/>
          <w:b/>
          <w:sz w:val="20"/>
          <w:szCs w:val="20"/>
        </w:rPr>
      </w:pPr>
      <w:r>
        <w:rPr>
          <w:rFonts w:ascii="Verdana" w:hAnsi="Verdana"/>
          <w:b/>
          <w:sz w:val="20"/>
          <w:szCs w:val="20"/>
        </w:rPr>
        <w:t xml:space="preserve">DE </w:t>
      </w:r>
      <w:r w:rsidR="00463E12">
        <w:rPr>
          <w:rFonts w:ascii="Verdana" w:hAnsi="Verdana"/>
          <w:b/>
          <w:sz w:val="20"/>
          <w:szCs w:val="20"/>
        </w:rPr>
        <w:t>28</w:t>
      </w:r>
      <w:r w:rsidR="00B31009">
        <w:rPr>
          <w:rFonts w:ascii="Verdana" w:hAnsi="Verdana"/>
          <w:b/>
          <w:sz w:val="20"/>
          <w:szCs w:val="20"/>
        </w:rPr>
        <w:t xml:space="preserve"> DE </w:t>
      </w:r>
      <w:r w:rsidR="00CE417A">
        <w:rPr>
          <w:rFonts w:ascii="Verdana" w:hAnsi="Verdana"/>
          <w:b/>
          <w:sz w:val="20"/>
          <w:szCs w:val="20"/>
        </w:rPr>
        <w:t>MAYO</w:t>
      </w:r>
      <w:r w:rsidR="00B31009">
        <w:rPr>
          <w:rFonts w:ascii="Verdana" w:hAnsi="Verdana"/>
          <w:b/>
          <w:sz w:val="20"/>
          <w:szCs w:val="20"/>
        </w:rPr>
        <w:t xml:space="preserve"> DE 2019</w:t>
      </w:r>
    </w:p>
    <w:p w14:paraId="2FF5822D" w14:textId="77777777" w:rsidR="00B31009" w:rsidRDefault="00B31009" w:rsidP="00CE417A">
      <w:pPr>
        <w:spacing w:before="60" w:after="60" w:line="240" w:lineRule="auto"/>
        <w:jc w:val="center"/>
        <w:rPr>
          <w:rFonts w:ascii="Verdana" w:hAnsi="Verdana"/>
          <w:b/>
          <w:sz w:val="20"/>
          <w:szCs w:val="20"/>
        </w:rPr>
      </w:pPr>
    </w:p>
    <w:p w14:paraId="18678AAD" w14:textId="1A0AD055" w:rsidR="00831780" w:rsidRPr="00F25FE1" w:rsidRDefault="002B0F31" w:rsidP="00692689">
      <w:pPr>
        <w:spacing w:after="0" w:line="240" w:lineRule="auto"/>
        <w:jc w:val="center"/>
        <w:rPr>
          <w:rFonts w:ascii="Verdana" w:hAnsi="Verdana"/>
          <w:b/>
          <w:sz w:val="20"/>
          <w:szCs w:val="20"/>
        </w:rPr>
      </w:pPr>
      <w:r w:rsidRPr="00F25FE1">
        <w:rPr>
          <w:rFonts w:ascii="Verdana" w:hAnsi="Verdana"/>
          <w:b/>
          <w:sz w:val="20"/>
          <w:szCs w:val="20"/>
        </w:rPr>
        <w:t>MEDIDAS URGENTES</w:t>
      </w:r>
      <w:r w:rsidR="00DD1B49" w:rsidRPr="00F25FE1">
        <w:rPr>
          <w:rFonts w:ascii="Verdana" w:hAnsi="Verdana"/>
          <w:b/>
          <w:sz w:val="20"/>
          <w:szCs w:val="20"/>
        </w:rPr>
        <w:t xml:space="preserve"> Y </w:t>
      </w:r>
    </w:p>
    <w:p w14:paraId="634A52B9" w14:textId="74CA9D86" w:rsidR="00DD1B49" w:rsidRPr="00F25FE1" w:rsidRDefault="00DD1B49" w:rsidP="00692689">
      <w:pPr>
        <w:spacing w:after="0" w:line="240" w:lineRule="auto"/>
        <w:jc w:val="center"/>
        <w:rPr>
          <w:rFonts w:ascii="Verdana" w:hAnsi="Verdana"/>
          <w:b/>
          <w:sz w:val="20"/>
          <w:szCs w:val="20"/>
        </w:rPr>
      </w:pPr>
      <w:r w:rsidRPr="00F25FE1">
        <w:rPr>
          <w:rFonts w:ascii="Verdana" w:hAnsi="Verdana"/>
          <w:b/>
          <w:sz w:val="20"/>
          <w:szCs w:val="20"/>
        </w:rPr>
        <w:t>SUPERVISIÓN DE CUMPLIMIENTO</w:t>
      </w:r>
      <w:r w:rsidR="00F25FE1" w:rsidRPr="00F25FE1">
        <w:rPr>
          <w:rFonts w:ascii="Verdana" w:hAnsi="Verdana"/>
          <w:b/>
          <w:sz w:val="20"/>
          <w:szCs w:val="20"/>
        </w:rPr>
        <w:t xml:space="preserve"> DE SENTENCIA</w:t>
      </w:r>
    </w:p>
    <w:p w14:paraId="43F19CE2" w14:textId="77777777" w:rsidR="00316C46" w:rsidRPr="00F25FE1" w:rsidRDefault="00316C46" w:rsidP="00316C46">
      <w:pPr>
        <w:spacing w:after="0" w:line="240" w:lineRule="auto"/>
        <w:jc w:val="center"/>
        <w:rPr>
          <w:rFonts w:ascii="Verdana" w:hAnsi="Verdana"/>
          <w:b/>
          <w:sz w:val="20"/>
          <w:szCs w:val="20"/>
        </w:rPr>
      </w:pPr>
    </w:p>
    <w:p w14:paraId="00C00366" w14:textId="48ADF581" w:rsidR="00D45ECC" w:rsidRDefault="00316C46" w:rsidP="00CE417A">
      <w:pPr>
        <w:spacing w:after="0" w:line="240" w:lineRule="auto"/>
        <w:jc w:val="center"/>
        <w:rPr>
          <w:rFonts w:ascii="Verdana" w:hAnsi="Verdana"/>
          <w:b/>
          <w:i/>
          <w:sz w:val="20"/>
          <w:szCs w:val="20"/>
        </w:rPr>
      </w:pPr>
      <w:r w:rsidRPr="00F25FE1">
        <w:rPr>
          <w:rFonts w:ascii="Verdana" w:hAnsi="Verdana"/>
          <w:b/>
          <w:i/>
          <w:sz w:val="20"/>
          <w:szCs w:val="20"/>
        </w:rPr>
        <w:t xml:space="preserve">CASO </w:t>
      </w:r>
      <w:r w:rsidR="00CE417A" w:rsidRPr="00F25FE1">
        <w:rPr>
          <w:rFonts w:ascii="Verdana" w:hAnsi="Verdana"/>
          <w:b/>
          <w:i/>
          <w:sz w:val="20"/>
          <w:szCs w:val="20"/>
        </w:rPr>
        <w:t>MASACRES DE</w:t>
      </w:r>
      <w:r w:rsidR="00D45ECC" w:rsidRPr="00F25FE1">
        <w:rPr>
          <w:rFonts w:ascii="Verdana" w:hAnsi="Verdana"/>
          <w:b/>
          <w:i/>
          <w:sz w:val="20"/>
          <w:szCs w:val="20"/>
        </w:rPr>
        <w:t xml:space="preserve"> El MOZOTE Y LUGARES ALEDAÑOS </w:t>
      </w:r>
      <w:r w:rsidR="00F25FE1" w:rsidRPr="00F25FE1">
        <w:rPr>
          <w:rFonts w:ascii="Verdana" w:hAnsi="Verdana"/>
          <w:b/>
          <w:i/>
          <w:sz w:val="20"/>
          <w:szCs w:val="20"/>
        </w:rPr>
        <w:t>VS. EL SALVADOR</w:t>
      </w:r>
    </w:p>
    <w:p w14:paraId="52B362F6" w14:textId="77777777" w:rsidR="00B31009" w:rsidRDefault="00B31009" w:rsidP="00B31009">
      <w:pPr>
        <w:spacing w:after="0" w:line="240" w:lineRule="auto"/>
        <w:jc w:val="center"/>
        <w:rPr>
          <w:rFonts w:ascii="Verdana" w:hAnsi="Verdana"/>
          <w:b/>
          <w:sz w:val="20"/>
          <w:szCs w:val="20"/>
        </w:rPr>
      </w:pPr>
    </w:p>
    <w:p w14:paraId="59FEAA3C" w14:textId="77777777" w:rsidR="00B31009" w:rsidRDefault="00B31009" w:rsidP="003C40FC">
      <w:pPr>
        <w:spacing w:before="120" w:after="120" w:line="240" w:lineRule="auto"/>
        <w:rPr>
          <w:rFonts w:ascii="Verdana" w:hAnsi="Verdana"/>
          <w:b/>
          <w:sz w:val="20"/>
          <w:szCs w:val="20"/>
        </w:rPr>
      </w:pPr>
      <w:r>
        <w:rPr>
          <w:rFonts w:ascii="Verdana" w:hAnsi="Verdana"/>
          <w:b/>
          <w:sz w:val="20"/>
          <w:szCs w:val="20"/>
        </w:rPr>
        <w:t>VISTO:</w:t>
      </w:r>
    </w:p>
    <w:p w14:paraId="3EB9247E" w14:textId="4E7B9E4D" w:rsidR="009A591E" w:rsidRPr="00A76C55" w:rsidRDefault="0014437F" w:rsidP="003C40FC">
      <w:pPr>
        <w:pStyle w:val="Prrafodelista"/>
        <w:numPr>
          <w:ilvl w:val="0"/>
          <w:numId w:val="1"/>
        </w:numPr>
        <w:spacing w:before="120" w:after="120" w:line="240" w:lineRule="auto"/>
        <w:ind w:left="0" w:firstLine="0"/>
        <w:contextualSpacing w:val="0"/>
        <w:jc w:val="both"/>
        <w:rPr>
          <w:rFonts w:ascii="Verdana" w:hAnsi="Verdana"/>
          <w:sz w:val="20"/>
          <w:szCs w:val="20"/>
        </w:rPr>
      </w:pPr>
      <w:bookmarkStart w:id="1" w:name="_Ref3224330"/>
      <w:r>
        <w:rPr>
          <w:rFonts w:ascii="Verdana" w:hAnsi="Verdana"/>
          <w:sz w:val="20"/>
          <w:szCs w:val="20"/>
        </w:rPr>
        <w:t xml:space="preserve">La </w:t>
      </w:r>
      <w:r w:rsidR="009A591E" w:rsidRPr="009A591E">
        <w:rPr>
          <w:rFonts w:ascii="Verdana" w:hAnsi="Verdana"/>
          <w:sz w:val="20"/>
          <w:szCs w:val="20"/>
          <w:lang w:val="es-ES_tradnl"/>
        </w:rPr>
        <w:t>Sentencia de fondo, reparaciones y costas (en adelante “la Sentencia”) dictada por la Corte Interamericana de Derechos Humanos (en adelante “la Corte Interamericana”, “la Corte” o “el Tribunal”) el 25 de octubre de 2012</w:t>
      </w:r>
      <w:r w:rsidR="009A591E">
        <w:rPr>
          <w:rStyle w:val="Refdenotaalpie"/>
          <w:rFonts w:ascii="Verdana" w:hAnsi="Verdana"/>
          <w:sz w:val="20"/>
          <w:szCs w:val="20"/>
          <w:lang w:val="es-ES_tradnl"/>
        </w:rPr>
        <w:footnoteReference w:id="1"/>
      </w:r>
      <w:r w:rsidR="009A591E" w:rsidRPr="009A591E">
        <w:rPr>
          <w:rFonts w:ascii="Verdana" w:hAnsi="Verdana"/>
          <w:sz w:val="20"/>
          <w:szCs w:val="20"/>
          <w:lang w:val="es-ES_tradnl"/>
        </w:rPr>
        <w:t>. El caso se refirió a las violaciones a derechos humanos perpetradas por la Fuerza Armada salvadoreña en las masacres cometidas del 11 al 13 de diciembre de 1981 en el caserío de El Mozote y otros lugares aledaños, en el Departamento de Morazán, en el marco del conflicto armado interno salvadoreño. En dichas masacres murieron aproximadamente mil personas</w:t>
      </w:r>
      <w:r w:rsidR="009A591E">
        <w:rPr>
          <w:rStyle w:val="Refdenotaalpie"/>
          <w:rFonts w:ascii="Verdana" w:hAnsi="Verdana"/>
          <w:sz w:val="20"/>
          <w:szCs w:val="20"/>
          <w:lang w:val="es-ES_tradnl"/>
        </w:rPr>
        <w:footnoteReference w:id="2"/>
      </w:r>
      <w:r w:rsidR="009A591E" w:rsidRPr="009A591E">
        <w:rPr>
          <w:rFonts w:ascii="Verdana" w:hAnsi="Verdana"/>
          <w:sz w:val="20"/>
          <w:szCs w:val="20"/>
          <w:lang w:val="es-ES_tradnl"/>
        </w:rPr>
        <w:t xml:space="preserve">, en su mayoría niñas y niños. Igualmente, se refirió a la aprobación de una ley de amnistía y su posterior aplicación judicial a la investigación penal del presente caso de forma contraria a la obligación internacional del Estado de investigar graves violaciones a derechos humanos. La Corte declaró responsable </w:t>
      </w:r>
      <w:r w:rsidR="009A591E" w:rsidRPr="009A591E">
        <w:rPr>
          <w:rFonts w:ascii="Verdana" w:hAnsi="Verdana"/>
          <w:bCs/>
          <w:sz w:val="20"/>
          <w:szCs w:val="20"/>
          <w:lang w:val="es-ES_tradnl"/>
        </w:rPr>
        <w:t>internacionalmente</w:t>
      </w:r>
      <w:r w:rsidR="009A591E" w:rsidRPr="009A591E">
        <w:rPr>
          <w:rFonts w:ascii="Verdana" w:hAnsi="Verdana"/>
          <w:sz w:val="20"/>
          <w:szCs w:val="20"/>
          <w:lang w:val="es-ES_tradnl"/>
        </w:rPr>
        <w:t xml:space="preserve"> a la República de El Salvador (en adelante “el Estado” o “El Salvador”) </w:t>
      </w:r>
      <w:r w:rsidR="009A591E" w:rsidRPr="009A591E">
        <w:rPr>
          <w:rFonts w:ascii="Verdana" w:hAnsi="Verdana"/>
          <w:bCs/>
          <w:sz w:val="20"/>
          <w:szCs w:val="20"/>
          <w:lang w:val="es-ES_tradnl"/>
        </w:rPr>
        <w:t xml:space="preserve">por la violación, entre otros, de los derechos a la vida, a la integridad personal, </w:t>
      </w:r>
      <w:r w:rsidR="009A591E" w:rsidRPr="009A591E">
        <w:rPr>
          <w:rFonts w:ascii="Verdana" w:hAnsi="Verdana"/>
          <w:sz w:val="20"/>
          <w:szCs w:val="20"/>
          <w:lang w:val="es-ES_tradnl"/>
        </w:rPr>
        <w:t xml:space="preserve">a la propiedad privada y a la libertad personal en perjuicio de víctimas ejecutadas; por la violación de la prohibición de la tortura y otros tratos crueles, inhumanos o  degradantes, así como por la violación del derecho a la vida privada, en perjuicio de las mujeres que fueron víctimas de violaciones sexuales en el caserío El Mozote; por la violación de los derechos a la integridad personal, a la vida privada y el domicilio, y a la propiedad privada en perjuicio de las víctimas sobrevivientes de las masacres; por la violación del derecho de circulación y de residencia, en perjuicio de personas que fueron forzadas a desplazarse dentro de El Salvador y hacia la República de Honduras; por la violación de los derechos a la integridad personal y a la propiedad privada en perjuicio de familiares de las víctimas ejecutadas; por la violación de los derechos a las garantías judiciales y a la protección judicial, así como por el incumplimiento de las obligaciones establecidas en los artículos 1, 6 y 8 de la Convención Interamericana para Prevenir y Sancionar la Tortura y 7.b de la Convención Interamericana para Prevenir, Sancionar y Erradicar la Violencia contra la Mujer (“Convención de Belém do Pará”), en </w:t>
      </w:r>
      <w:r w:rsidR="009A591E" w:rsidRPr="009A591E">
        <w:rPr>
          <w:rFonts w:ascii="Verdana" w:hAnsi="Verdana"/>
          <w:sz w:val="20"/>
          <w:szCs w:val="20"/>
          <w:lang w:val="es-ES_tradnl"/>
        </w:rPr>
        <w:lastRenderedPageBreak/>
        <w:t xml:space="preserve">perjuicio de víctimas sobrevivientes de las masacres, así como de familiares de las víctimas ejecutadas. </w:t>
      </w:r>
      <w:r w:rsidR="009A591E" w:rsidRPr="003578EC">
        <w:rPr>
          <w:rFonts w:ascii="Verdana" w:hAnsi="Verdana"/>
          <w:sz w:val="20"/>
          <w:szCs w:val="20"/>
          <w:lang w:val="es-ES_tradnl"/>
        </w:rPr>
        <w:t>El Salva</w:t>
      </w:r>
      <w:r w:rsidR="009A591E" w:rsidRPr="003578EC">
        <w:rPr>
          <w:rFonts w:ascii="Verdana" w:hAnsi="Verdana"/>
          <w:noProof/>
          <w:sz w:val="20"/>
          <w:szCs w:val="20"/>
          <w:lang w:val="es-ES_tradnl"/>
        </w:rPr>
        <w:t>dor</w:t>
      </w:r>
      <w:r w:rsidR="009A591E" w:rsidRPr="00A76C55">
        <w:rPr>
          <w:rFonts w:ascii="Verdana" w:hAnsi="Verdana"/>
          <w:noProof/>
          <w:sz w:val="20"/>
          <w:szCs w:val="20"/>
          <w:lang w:val="es-ES_tradnl"/>
        </w:rPr>
        <w:t xml:space="preserve"> efectuó una aceptación total de los hechos que configuraron las violaciones antes indicadas.</w:t>
      </w:r>
      <w:r w:rsidR="009A591E" w:rsidRPr="009A591E">
        <w:rPr>
          <w:rFonts w:ascii="Verdana" w:hAnsi="Verdana"/>
          <w:noProof/>
          <w:sz w:val="20"/>
          <w:szCs w:val="20"/>
          <w:lang w:val="es-ES_tradnl"/>
        </w:rPr>
        <w:t xml:space="preserve"> </w:t>
      </w:r>
      <w:r w:rsidR="009A591E" w:rsidRPr="000629D1">
        <w:rPr>
          <w:rFonts w:ascii="Verdana" w:hAnsi="Verdana"/>
          <w:noProof/>
          <w:sz w:val="20"/>
          <w:szCs w:val="20"/>
          <w:lang w:val="es-ES_tradnl"/>
        </w:rPr>
        <w:t>En la Sentencia, el Tribunal dispuso</w:t>
      </w:r>
      <w:r w:rsidR="00A76C55" w:rsidRPr="000629D1">
        <w:rPr>
          <w:rFonts w:ascii="Verdana" w:hAnsi="Verdana"/>
          <w:noProof/>
          <w:sz w:val="20"/>
          <w:szCs w:val="20"/>
          <w:lang w:val="es-ES_tradnl"/>
        </w:rPr>
        <w:t>, entre otras medidas de reparación, que el Estado debía cumplir con su obligación de investigar, identificar y, en su caso sancionar</w:t>
      </w:r>
      <w:r w:rsidR="000629D1" w:rsidRPr="000629D1">
        <w:rPr>
          <w:rFonts w:ascii="Verdana" w:hAnsi="Verdana"/>
          <w:noProof/>
          <w:sz w:val="20"/>
          <w:szCs w:val="20"/>
          <w:lang w:val="es-ES_tradnl"/>
        </w:rPr>
        <w:t>, así como</w:t>
      </w:r>
      <w:r w:rsidR="00A76C55" w:rsidRPr="000629D1">
        <w:rPr>
          <w:rFonts w:ascii="Verdana" w:hAnsi="Verdana"/>
          <w:noProof/>
          <w:sz w:val="20"/>
          <w:szCs w:val="20"/>
          <w:lang w:val="es-ES_tradnl"/>
        </w:rPr>
        <w:t xml:space="preserve"> asegurar que la Ley de Amnistía General para la Consolidación de la Paz no volviera a representar un obstáculo para </w:t>
      </w:r>
      <w:r w:rsidR="000629D1" w:rsidRPr="000629D1">
        <w:rPr>
          <w:rFonts w:ascii="Verdana" w:hAnsi="Verdana"/>
          <w:noProof/>
          <w:sz w:val="20"/>
          <w:szCs w:val="20"/>
          <w:lang w:val="es-ES_tradnl"/>
        </w:rPr>
        <w:t xml:space="preserve">el cumplimiento de dicha obligación en este caso y respecto </w:t>
      </w:r>
      <w:r w:rsidR="00A76C55" w:rsidRPr="000629D1">
        <w:rPr>
          <w:rFonts w:ascii="Verdana" w:hAnsi="Verdana"/>
          <w:noProof/>
          <w:sz w:val="20"/>
          <w:szCs w:val="20"/>
          <w:lang w:val="es-ES_tradnl"/>
        </w:rPr>
        <w:t>de otras graves violaciones de derechos humanos similares acontecidas durante el conflicto armado en El Salvad</w:t>
      </w:r>
      <w:r w:rsidR="00A76C55" w:rsidRPr="00194D84">
        <w:rPr>
          <w:rFonts w:ascii="Verdana" w:hAnsi="Verdana"/>
          <w:noProof/>
          <w:sz w:val="20"/>
          <w:szCs w:val="20"/>
          <w:lang w:val="es-ES_tradnl"/>
        </w:rPr>
        <w:t xml:space="preserve">or </w:t>
      </w:r>
      <w:r w:rsidR="009A591E" w:rsidRPr="00194D84">
        <w:rPr>
          <w:rFonts w:ascii="Verdana" w:hAnsi="Verdana"/>
          <w:noProof/>
          <w:sz w:val="20"/>
          <w:szCs w:val="20"/>
          <w:lang w:val="es-ES_tradnl"/>
        </w:rPr>
        <w:t>(</w:t>
      </w:r>
      <w:r w:rsidR="009A591E" w:rsidRPr="00194D84">
        <w:rPr>
          <w:rFonts w:ascii="Verdana" w:hAnsi="Verdana"/>
          <w:i/>
          <w:noProof/>
          <w:sz w:val="20"/>
          <w:szCs w:val="20"/>
          <w:lang w:val="es-ES_tradnl"/>
        </w:rPr>
        <w:t>infra</w:t>
      </w:r>
      <w:r w:rsidR="009A591E" w:rsidRPr="00194D84">
        <w:rPr>
          <w:rFonts w:ascii="Verdana" w:hAnsi="Verdana"/>
          <w:noProof/>
          <w:sz w:val="20"/>
          <w:szCs w:val="20"/>
          <w:lang w:val="es-ES_tradnl"/>
        </w:rPr>
        <w:t xml:space="preserve"> Considerando</w:t>
      </w:r>
      <w:r w:rsidR="000629D1" w:rsidRPr="00194D84">
        <w:rPr>
          <w:rFonts w:ascii="Verdana" w:hAnsi="Verdana"/>
          <w:noProof/>
          <w:sz w:val="20"/>
          <w:szCs w:val="20"/>
          <w:lang w:val="es-ES_tradnl"/>
        </w:rPr>
        <w:t>s</w:t>
      </w:r>
      <w:r w:rsidR="009A591E" w:rsidRPr="00194D84">
        <w:rPr>
          <w:rFonts w:ascii="Verdana" w:hAnsi="Verdana"/>
          <w:noProof/>
          <w:sz w:val="20"/>
          <w:szCs w:val="20"/>
          <w:lang w:val="es-ES_tradnl"/>
        </w:rPr>
        <w:t xml:space="preserve"> </w:t>
      </w:r>
      <w:r w:rsidR="00EF0EAB" w:rsidRPr="00194D84">
        <w:rPr>
          <w:rFonts w:ascii="Verdana" w:hAnsi="Verdana"/>
          <w:noProof/>
          <w:sz w:val="20"/>
          <w:szCs w:val="20"/>
          <w:lang w:val="es-ES_tradnl"/>
        </w:rPr>
        <w:t>1 y 2</w:t>
      </w:r>
      <w:r w:rsidR="009A591E" w:rsidRPr="00194D84">
        <w:rPr>
          <w:rFonts w:ascii="Verdana" w:hAnsi="Verdana"/>
          <w:noProof/>
          <w:sz w:val="20"/>
          <w:szCs w:val="20"/>
          <w:lang w:val="es-ES_tradnl"/>
        </w:rPr>
        <w:t>).</w:t>
      </w:r>
      <w:r w:rsidR="009A591E" w:rsidRPr="00A76C55">
        <w:rPr>
          <w:rFonts w:ascii="Verdana" w:hAnsi="Verdana"/>
          <w:noProof/>
          <w:sz w:val="20"/>
          <w:szCs w:val="20"/>
          <w:lang w:val="es-ES_tradnl"/>
        </w:rPr>
        <w:t xml:space="preserve"> </w:t>
      </w:r>
    </w:p>
    <w:p w14:paraId="1A64B7D3" w14:textId="08B5915C" w:rsidR="00A76C55" w:rsidRPr="00F25FE1" w:rsidRDefault="00A76C55" w:rsidP="003C40FC">
      <w:pPr>
        <w:pStyle w:val="Prrafodelista"/>
        <w:numPr>
          <w:ilvl w:val="0"/>
          <w:numId w:val="1"/>
        </w:numPr>
        <w:spacing w:before="120" w:after="120" w:line="240" w:lineRule="auto"/>
        <w:ind w:left="0" w:firstLine="0"/>
        <w:contextualSpacing w:val="0"/>
        <w:jc w:val="both"/>
        <w:rPr>
          <w:rFonts w:ascii="Verdana" w:hAnsi="Verdana"/>
          <w:sz w:val="20"/>
          <w:szCs w:val="20"/>
        </w:rPr>
      </w:pPr>
      <w:bookmarkStart w:id="2" w:name="_Ref492545367"/>
      <w:r w:rsidRPr="00A76C55">
        <w:rPr>
          <w:rFonts w:ascii="Verdana" w:hAnsi="Verdana"/>
          <w:sz w:val="20"/>
          <w:szCs w:val="20"/>
          <w:lang w:val="es-ES_tradnl"/>
        </w:rPr>
        <w:t>Las Resoluciones de supervisión de cumplimiento de Sentencia emitidas por la Corte Interamericana el 3 de mayo de 2016</w:t>
      </w:r>
      <w:r>
        <w:rPr>
          <w:rStyle w:val="Refdenotaalpie"/>
          <w:rFonts w:ascii="Verdana" w:hAnsi="Verdana"/>
          <w:lang w:val="es-ES_tradnl"/>
        </w:rPr>
        <w:footnoteReference w:id="3"/>
      </w:r>
      <w:r w:rsidRPr="00A76C55">
        <w:rPr>
          <w:rFonts w:ascii="Verdana" w:hAnsi="Verdana"/>
          <w:sz w:val="20"/>
          <w:szCs w:val="20"/>
          <w:lang w:val="es-ES_tradnl"/>
        </w:rPr>
        <w:t>, el 31 de agosto de 2017</w:t>
      </w:r>
      <w:r>
        <w:rPr>
          <w:rStyle w:val="Refdenotaalpie"/>
          <w:rFonts w:ascii="Verdana" w:hAnsi="Verdana"/>
          <w:lang w:val="es-ES_tradnl"/>
        </w:rPr>
        <w:footnoteReference w:id="4"/>
      </w:r>
      <w:r w:rsidRPr="00A76C55">
        <w:rPr>
          <w:rFonts w:ascii="Verdana" w:hAnsi="Verdana"/>
          <w:sz w:val="20"/>
          <w:szCs w:val="20"/>
          <w:lang w:val="es-ES_tradnl"/>
        </w:rPr>
        <w:t xml:space="preserve"> el 30 de mayo</w:t>
      </w:r>
      <w:r>
        <w:rPr>
          <w:rStyle w:val="Refdenotaalpie"/>
          <w:rFonts w:ascii="Verdana" w:hAnsi="Verdana"/>
          <w:lang w:val="es-ES_tradnl"/>
        </w:rPr>
        <w:footnoteReference w:id="5"/>
      </w:r>
      <w:r w:rsidRPr="00A76C55">
        <w:rPr>
          <w:rFonts w:ascii="Verdana" w:hAnsi="Verdana"/>
          <w:sz w:val="20"/>
          <w:szCs w:val="20"/>
          <w:lang w:val="es-ES_tradnl"/>
        </w:rPr>
        <w:t xml:space="preserve"> </w:t>
      </w:r>
      <w:r>
        <w:rPr>
          <w:rFonts w:ascii="Verdana" w:hAnsi="Verdana"/>
          <w:sz w:val="20"/>
          <w:szCs w:val="20"/>
          <w:lang w:val="es-ES_tradnl"/>
        </w:rPr>
        <w:t xml:space="preserve">y 28 </w:t>
      </w:r>
      <w:r w:rsidRPr="00A76C55">
        <w:rPr>
          <w:rFonts w:ascii="Verdana" w:hAnsi="Verdana"/>
          <w:sz w:val="20"/>
          <w:szCs w:val="20"/>
          <w:lang w:val="es-ES_tradnl"/>
        </w:rPr>
        <w:t xml:space="preserve">de </w:t>
      </w:r>
      <w:r>
        <w:rPr>
          <w:rFonts w:ascii="Verdana" w:hAnsi="Verdana"/>
          <w:sz w:val="20"/>
          <w:szCs w:val="20"/>
          <w:lang w:val="es-ES_tradnl"/>
        </w:rPr>
        <w:t xml:space="preserve">noviembre de </w:t>
      </w:r>
      <w:r w:rsidRPr="00A76C55">
        <w:rPr>
          <w:rFonts w:ascii="Verdana" w:hAnsi="Verdana"/>
          <w:sz w:val="20"/>
          <w:szCs w:val="20"/>
          <w:lang w:val="es-ES_tradnl"/>
        </w:rPr>
        <w:t>2018</w:t>
      </w:r>
      <w:r>
        <w:rPr>
          <w:rStyle w:val="Refdenotaalpie"/>
          <w:rFonts w:ascii="Verdana" w:hAnsi="Verdana"/>
          <w:sz w:val="20"/>
          <w:szCs w:val="20"/>
          <w:lang w:val="es-ES_tradnl"/>
        </w:rPr>
        <w:footnoteReference w:id="6"/>
      </w:r>
      <w:r w:rsidRPr="00A76C55">
        <w:rPr>
          <w:rFonts w:ascii="Verdana" w:hAnsi="Verdana"/>
          <w:noProof/>
          <w:sz w:val="20"/>
          <w:szCs w:val="20"/>
          <w:lang w:val="es-ES_tradnl"/>
        </w:rPr>
        <w:t>.</w:t>
      </w:r>
      <w:bookmarkStart w:id="3" w:name="_Ref492906675"/>
      <w:bookmarkEnd w:id="2"/>
    </w:p>
    <w:p w14:paraId="6D76E356" w14:textId="041BF4A7" w:rsidR="00F25FE1" w:rsidRPr="00D2745E" w:rsidRDefault="00F25FE1" w:rsidP="003C40FC">
      <w:pPr>
        <w:pStyle w:val="Prrafodelista"/>
        <w:numPr>
          <w:ilvl w:val="0"/>
          <w:numId w:val="1"/>
        </w:numPr>
        <w:spacing w:before="120" w:after="120" w:line="240" w:lineRule="auto"/>
        <w:ind w:left="0" w:firstLine="0"/>
        <w:contextualSpacing w:val="0"/>
        <w:jc w:val="both"/>
        <w:rPr>
          <w:rFonts w:ascii="Verdana" w:hAnsi="Verdana"/>
          <w:sz w:val="20"/>
          <w:szCs w:val="20"/>
        </w:rPr>
      </w:pPr>
      <w:r w:rsidRPr="00D2745E">
        <w:rPr>
          <w:rFonts w:ascii="Verdana" w:hAnsi="Verdana"/>
          <w:sz w:val="20"/>
          <w:szCs w:val="20"/>
        </w:rPr>
        <w:t xml:space="preserve">La </w:t>
      </w:r>
      <w:r w:rsidR="00677BB3" w:rsidRPr="00D2745E">
        <w:rPr>
          <w:rFonts w:ascii="Verdana" w:hAnsi="Verdana"/>
          <w:sz w:val="20"/>
          <w:szCs w:val="20"/>
        </w:rPr>
        <w:t xml:space="preserve">visita de supervisión de cumplimiento de </w:t>
      </w:r>
      <w:r w:rsidR="00D2745E" w:rsidRPr="00D2745E">
        <w:rPr>
          <w:rFonts w:ascii="Verdana" w:hAnsi="Verdana"/>
          <w:sz w:val="20"/>
          <w:szCs w:val="20"/>
        </w:rPr>
        <w:t xml:space="preserve">la </w:t>
      </w:r>
      <w:r w:rsidR="00677BB3" w:rsidRPr="00D2745E">
        <w:rPr>
          <w:rFonts w:ascii="Verdana" w:hAnsi="Verdana"/>
          <w:sz w:val="20"/>
          <w:szCs w:val="20"/>
        </w:rPr>
        <w:t>Sentencia</w:t>
      </w:r>
      <w:r w:rsidRPr="00D2745E">
        <w:rPr>
          <w:rFonts w:ascii="Verdana" w:hAnsi="Verdana"/>
          <w:sz w:val="20"/>
          <w:szCs w:val="20"/>
        </w:rPr>
        <w:t xml:space="preserve"> </w:t>
      </w:r>
      <w:r w:rsidR="00D2745E" w:rsidRPr="00D2745E">
        <w:rPr>
          <w:rFonts w:ascii="Verdana" w:hAnsi="Verdana"/>
          <w:sz w:val="20"/>
          <w:szCs w:val="20"/>
        </w:rPr>
        <w:t>realizada por</w:t>
      </w:r>
      <w:r w:rsidRPr="00D2745E">
        <w:rPr>
          <w:rFonts w:ascii="Verdana" w:hAnsi="Verdana"/>
          <w:sz w:val="20"/>
          <w:szCs w:val="20"/>
        </w:rPr>
        <w:t xml:space="preserve"> una delegación de la Corte</w:t>
      </w:r>
      <w:r w:rsidR="00677BB3" w:rsidRPr="00D2745E">
        <w:rPr>
          <w:rFonts w:ascii="Verdana" w:hAnsi="Verdana"/>
          <w:sz w:val="20"/>
          <w:szCs w:val="20"/>
        </w:rPr>
        <w:t>,</w:t>
      </w:r>
      <w:r w:rsidRPr="00D2745E">
        <w:rPr>
          <w:rFonts w:ascii="Verdana" w:hAnsi="Verdana"/>
          <w:sz w:val="20"/>
          <w:szCs w:val="20"/>
        </w:rPr>
        <w:t xml:space="preserve"> </w:t>
      </w:r>
      <w:r w:rsidR="00D2745E" w:rsidRPr="00D2745E">
        <w:rPr>
          <w:rFonts w:ascii="Verdana" w:hAnsi="Verdana"/>
          <w:sz w:val="20"/>
          <w:szCs w:val="20"/>
        </w:rPr>
        <w:t>en</w:t>
      </w:r>
      <w:r w:rsidRPr="00D2745E">
        <w:rPr>
          <w:rFonts w:ascii="Verdana" w:hAnsi="Verdana"/>
          <w:sz w:val="20"/>
          <w:szCs w:val="20"/>
        </w:rPr>
        <w:t xml:space="preserve"> los días 28 a 30 de agosto de 2018</w:t>
      </w:r>
      <w:r w:rsidR="00D2745E" w:rsidRPr="00D2745E">
        <w:rPr>
          <w:rFonts w:ascii="Verdana" w:hAnsi="Verdana"/>
          <w:sz w:val="20"/>
          <w:szCs w:val="20"/>
        </w:rPr>
        <w:t xml:space="preserve"> en San Salvador, en el Juzgado Segundo de Paz de San Francisco Gotera, en El Mozote y en Arambala. En dicha visita, se realizó, entre otros, una diligencia al referido juzgado, la cual permitió a la delegación de la Corte recibir información de forma directa del Juez Segundo de Primera Instancia de San Francisco de Gotera, a cargo del proceso penal en trámite por los delitos cometidos en las masacres de El Mozote y lugares aledaños. </w:t>
      </w:r>
    </w:p>
    <w:p w14:paraId="471A396A" w14:textId="5D793D2C" w:rsidR="00AA300A" w:rsidRDefault="001624CF" w:rsidP="003C40FC">
      <w:pPr>
        <w:pStyle w:val="Prrafodelista"/>
        <w:numPr>
          <w:ilvl w:val="0"/>
          <w:numId w:val="1"/>
        </w:numPr>
        <w:spacing w:before="120" w:after="120" w:line="240" w:lineRule="auto"/>
        <w:ind w:left="0" w:firstLine="0"/>
        <w:contextualSpacing w:val="0"/>
        <w:jc w:val="both"/>
        <w:rPr>
          <w:rFonts w:ascii="Verdana" w:hAnsi="Verdana"/>
          <w:sz w:val="20"/>
          <w:szCs w:val="20"/>
        </w:rPr>
      </w:pPr>
      <w:r>
        <w:rPr>
          <w:rFonts w:ascii="Verdana" w:hAnsi="Verdana"/>
          <w:sz w:val="20"/>
          <w:szCs w:val="20"/>
        </w:rPr>
        <w:t>Los escritos presentados por los representantes de las víctimas (en adelante “los representantes”)</w:t>
      </w:r>
      <w:r>
        <w:rPr>
          <w:rStyle w:val="Refdenotaalpie"/>
          <w:rFonts w:ascii="Verdana" w:hAnsi="Verdana"/>
          <w:sz w:val="20"/>
          <w:szCs w:val="20"/>
        </w:rPr>
        <w:footnoteReference w:id="7"/>
      </w:r>
      <w:r>
        <w:rPr>
          <w:rFonts w:ascii="Verdana" w:hAnsi="Verdana"/>
          <w:sz w:val="20"/>
          <w:szCs w:val="20"/>
        </w:rPr>
        <w:t xml:space="preserve"> entre febrero y marzo de 2019</w:t>
      </w:r>
      <w:r w:rsidR="00AA300A">
        <w:rPr>
          <w:rFonts w:ascii="Verdana" w:hAnsi="Verdana"/>
          <w:sz w:val="20"/>
          <w:szCs w:val="20"/>
        </w:rPr>
        <w:t xml:space="preserve"> en la supervisión de cumplimiento del </w:t>
      </w:r>
      <w:r w:rsidR="00194D84">
        <w:rPr>
          <w:rFonts w:ascii="Verdana" w:hAnsi="Verdana"/>
          <w:sz w:val="20"/>
          <w:szCs w:val="20"/>
        </w:rPr>
        <w:t xml:space="preserve"> presente </w:t>
      </w:r>
      <w:r w:rsidR="00AA300A">
        <w:rPr>
          <w:rFonts w:ascii="Verdana" w:hAnsi="Verdana"/>
          <w:sz w:val="20"/>
          <w:szCs w:val="20"/>
        </w:rPr>
        <w:t>caso, en los cuales expresaron, entre otros aspectos, sus observaciones respecto “a la existencia de un proyecto de ꞌLey de Reconciliación Nacionalꞌ” que se encuentra en trámite ante la Asamblea Legislativa de El Salvador</w:t>
      </w:r>
      <w:r w:rsidR="00F17BCE">
        <w:rPr>
          <w:rFonts w:ascii="Verdana" w:hAnsi="Verdana"/>
          <w:sz w:val="20"/>
          <w:szCs w:val="20"/>
        </w:rPr>
        <w:t xml:space="preserve"> que podría afectar la obligación de investigar graves violaciones a derechos humanos cometidas durante el conflicto armado, tales como la de este caso</w:t>
      </w:r>
      <w:r w:rsidR="00AA300A">
        <w:rPr>
          <w:rFonts w:ascii="Verdana" w:hAnsi="Verdana"/>
          <w:sz w:val="20"/>
          <w:szCs w:val="20"/>
        </w:rPr>
        <w:t>.</w:t>
      </w:r>
    </w:p>
    <w:p w14:paraId="3F85609E" w14:textId="7F6DBFE7" w:rsidR="00D2745E" w:rsidRPr="00194D84" w:rsidRDefault="007F425E" w:rsidP="003C40FC">
      <w:pPr>
        <w:pStyle w:val="Prrafodelista"/>
        <w:numPr>
          <w:ilvl w:val="0"/>
          <w:numId w:val="1"/>
        </w:numPr>
        <w:spacing w:before="120" w:after="120" w:line="240" w:lineRule="auto"/>
        <w:ind w:left="0" w:firstLine="0"/>
        <w:contextualSpacing w:val="0"/>
        <w:jc w:val="both"/>
        <w:rPr>
          <w:rFonts w:ascii="Verdana" w:hAnsi="Verdana"/>
          <w:sz w:val="20"/>
          <w:szCs w:val="20"/>
        </w:rPr>
      </w:pPr>
      <w:r>
        <w:rPr>
          <w:rFonts w:ascii="Verdana" w:hAnsi="Verdana"/>
          <w:sz w:val="20"/>
          <w:szCs w:val="20"/>
        </w:rPr>
        <w:t>La</w:t>
      </w:r>
      <w:r w:rsidR="00AA300A" w:rsidRPr="00194D84">
        <w:rPr>
          <w:rFonts w:ascii="Verdana" w:hAnsi="Verdana"/>
          <w:sz w:val="20"/>
          <w:szCs w:val="20"/>
        </w:rPr>
        <w:t xml:space="preserve"> nota</w:t>
      </w:r>
      <w:r w:rsidR="00D2745E" w:rsidRPr="00194D84">
        <w:rPr>
          <w:rFonts w:ascii="Verdana" w:hAnsi="Verdana"/>
          <w:sz w:val="20"/>
          <w:szCs w:val="20"/>
        </w:rPr>
        <w:t xml:space="preserve"> de la Secretaría de la Corte (en adelante “la Secretaría”</w:t>
      </w:r>
      <w:r w:rsidR="00194D84">
        <w:rPr>
          <w:rFonts w:ascii="Verdana" w:hAnsi="Verdana"/>
          <w:sz w:val="20"/>
          <w:szCs w:val="20"/>
        </w:rPr>
        <w:t>)</w:t>
      </w:r>
      <w:r w:rsidR="00D2745E" w:rsidRPr="00194D84">
        <w:rPr>
          <w:rFonts w:ascii="Verdana" w:hAnsi="Verdana"/>
          <w:sz w:val="20"/>
          <w:szCs w:val="20"/>
        </w:rPr>
        <w:t xml:space="preserve"> de 15 de marzo de 2019, mediante la cual, siguiendo instrucciones del Presidente del Tribunal, se solicitó al Estado que presentara información en relación a dicho proyecto de ley.</w:t>
      </w:r>
    </w:p>
    <w:p w14:paraId="1B85CFFA" w14:textId="4D19B42B" w:rsidR="00D2745E" w:rsidRPr="00194D84" w:rsidRDefault="00D2745E" w:rsidP="003C40FC">
      <w:pPr>
        <w:pStyle w:val="Prrafodelista"/>
        <w:numPr>
          <w:ilvl w:val="0"/>
          <w:numId w:val="1"/>
        </w:numPr>
        <w:spacing w:before="120" w:after="120" w:line="240" w:lineRule="auto"/>
        <w:ind w:left="0" w:firstLine="0"/>
        <w:contextualSpacing w:val="0"/>
        <w:jc w:val="both"/>
        <w:rPr>
          <w:rFonts w:ascii="Verdana" w:hAnsi="Verdana"/>
          <w:sz w:val="20"/>
          <w:szCs w:val="20"/>
        </w:rPr>
      </w:pPr>
      <w:r w:rsidRPr="00194D84">
        <w:rPr>
          <w:rFonts w:ascii="Verdana" w:hAnsi="Verdana"/>
          <w:sz w:val="20"/>
          <w:szCs w:val="20"/>
        </w:rPr>
        <w:t xml:space="preserve">El escrito presentado por </w:t>
      </w:r>
      <w:r w:rsidR="00194D84">
        <w:rPr>
          <w:rFonts w:ascii="Verdana" w:hAnsi="Verdana"/>
          <w:sz w:val="20"/>
          <w:szCs w:val="20"/>
        </w:rPr>
        <w:t>el Estado</w:t>
      </w:r>
      <w:r w:rsidRPr="00194D84">
        <w:rPr>
          <w:rFonts w:ascii="Verdana" w:hAnsi="Verdana"/>
          <w:sz w:val="20"/>
          <w:szCs w:val="20"/>
        </w:rPr>
        <w:t xml:space="preserve"> el 29 de marzo de 2019, en el cual únicamente indicó que se había creado una Comisión </w:t>
      </w:r>
      <w:r w:rsidRPr="007F425E">
        <w:rPr>
          <w:rFonts w:ascii="Verdana" w:hAnsi="Verdana"/>
          <w:i/>
          <w:sz w:val="20"/>
          <w:szCs w:val="20"/>
        </w:rPr>
        <w:t>Ad-hoc</w:t>
      </w:r>
      <w:r w:rsidRPr="00194D84">
        <w:rPr>
          <w:rFonts w:ascii="Verdana" w:hAnsi="Verdana"/>
          <w:sz w:val="20"/>
          <w:szCs w:val="20"/>
        </w:rPr>
        <w:t xml:space="preserve"> que “a la fecha se encuentra concluyendo un proyecto de ley relacionado a [dicha] temática”.</w:t>
      </w:r>
    </w:p>
    <w:p w14:paraId="5A2BF45C" w14:textId="56ADB917" w:rsidR="00DD1B49" w:rsidRPr="00194D84" w:rsidRDefault="00194D84" w:rsidP="003C40FC">
      <w:pPr>
        <w:pStyle w:val="Prrafodelista"/>
        <w:numPr>
          <w:ilvl w:val="0"/>
          <w:numId w:val="1"/>
        </w:numPr>
        <w:spacing w:before="120" w:after="120" w:line="240" w:lineRule="auto"/>
        <w:ind w:left="0" w:firstLine="0"/>
        <w:contextualSpacing w:val="0"/>
        <w:jc w:val="both"/>
        <w:rPr>
          <w:rFonts w:ascii="Verdana" w:hAnsi="Verdana"/>
          <w:sz w:val="20"/>
          <w:szCs w:val="20"/>
        </w:rPr>
      </w:pPr>
      <w:r w:rsidRPr="00194D84">
        <w:rPr>
          <w:rFonts w:ascii="Verdana" w:hAnsi="Verdana"/>
          <w:sz w:val="20"/>
          <w:szCs w:val="20"/>
        </w:rPr>
        <w:t>La nota</w:t>
      </w:r>
      <w:r w:rsidR="00AA300A" w:rsidRPr="00194D84">
        <w:rPr>
          <w:rFonts w:ascii="Verdana" w:hAnsi="Verdana"/>
          <w:sz w:val="20"/>
          <w:szCs w:val="20"/>
        </w:rPr>
        <w:t xml:space="preserve"> de la Secretaría </w:t>
      </w:r>
      <w:r w:rsidRPr="00194D84">
        <w:rPr>
          <w:rFonts w:ascii="Verdana" w:hAnsi="Verdana"/>
          <w:sz w:val="20"/>
          <w:szCs w:val="20"/>
        </w:rPr>
        <w:t>de</w:t>
      </w:r>
      <w:r w:rsidR="00F17BCE" w:rsidRPr="00194D84">
        <w:rPr>
          <w:rFonts w:ascii="Verdana" w:hAnsi="Verdana"/>
          <w:sz w:val="20"/>
          <w:szCs w:val="20"/>
        </w:rPr>
        <w:t xml:space="preserve"> 22 de mayo de 2019, mediante la cual, siguiendo instrucciones del Presidente del Tribunal, se </w:t>
      </w:r>
      <w:r w:rsidRPr="00194D84">
        <w:rPr>
          <w:rFonts w:ascii="Verdana" w:hAnsi="Verdana"/>
          <w:sz w:val="20"/>
          <w:szCs w:val="20"/>
        </w:rPr>
        <w:t>realizó un pedido detallado de información</w:t>
      </w:r>
      <w:r w:rsidR="00F17BCE" w:rsidRPr="00194D84">
        <w:rPr>
          <w:rFonts w:ascii="Verdana" w:hAnsi="Verdana"/>
          <w:sz w:val="20"/>
          <w:szCs w:val="20"/>
        </w:rPr>
        <w:t xml:space="preserve"> al Estado </w:t>
      </w:r>
      <w:r w:rsidRPr="00194D84">
        <w:rPr>
          <w:rFonts w:ascii="Verdana" w:hAnsi="Verdana"/>
          <w:sz w:val="20"/>
          <w:szCs w:val="20"/>
        </w:rPr>
        <w:t>sobre el referido proyecto de ley</w:t>
      </w:r>
      <w:r w:rsidR="00F17BCE" w:rsidRPr="00194D84">
        <w:rPr>
          <w:rStyle w:val="Refdenotaalpie"/>
          <w:rFonts w:ascii="Verdana" w:hAnsi="Verdana"/>
          <w:sz w:val="20"/>
          <w:szCs w:val="20"/>
        </w:rPr>
        <w:footnoteReference w:id="8"/>
      </w:r>
      <w:r w:rsidR="00F17BCE" w:rsidRPr="00194D84">
        <w:rPr>
          <w:rFonts w:ascii="Verdana" w:hAnsi="Verdana"/>
          <w:sz w:val="20"/>
          <w:szCs w:val="20"/>
        </w:rPr>
        <w:t xml:space="preserve">.  </w:t>
      </w:r>
    </w:p>
    <w:p w14:paraId="133A5127" w14:textId="7C6B622A" w:rsidR="00A76C55" w:rsidRPr="00194D84" w:rsidRDefault="00A76C55" w:rsidP="003C40FC">
      <w:pPr>
        <w:pStyle w:val="Prrafodelista"/>
        <w:numPr>
          <w:ilvl w:val="0"/>
          <w:numId w:val="1"/>
        </w:numPr>
        <w:spacing w:before="120" w:after="120" w:line="240" w:lineRule="auto"/>
        <w:ind w:left="0" w:firstLine="0"/>
        <w:contextualSpacing w:val="0"/>
        <w:jc w:val="both"/>
        <w:rPr>
          <w:rFonts w:ascii="Verdana" w:hAnsi="Verdana"/>
          <w:sz w:val="20"/>
          <w:szCs w:val="20"/>
        </w:rPr>
      </w:pPr>
      <w:r w:rsidRPr="00194D84">
        <w:rPr>
          <w:rFonts w:ascii="Verdana" w:hAnsi="Verdana"/>
          <w:sz w:val="20"/>
          <w:szCs w:val="20"/>
        </w:rPr>
        <w:lastRenderedPageBreak/>
        <w:t xml:space="preserve">El escrito de 24 de mayo de 2019 y sus anexos, mediante los cuales los representantes </w:t>
      </w:r>
      <w:r w:rsidR="003578EC" w:rsidRPr="00194D84">
        <w:rPr>
          <w:rFonts w:ascii="Verdana" w:hAnsi="Verdana"/>
          <w:sz w:val="20"/>
          <w:szCs w:val="20"/>
        </w:rPr>
        <w:t>solicitaron, “con base en lo dispuesto en el artículo 63 de la Convención Americana sobre Derechos Humanos y el artículo 27 del Reglamento de [la Corte]”, “la adopción de medidas provisionales a favor de las víctimas reconocidas en la Sentencia” del presente caso (</w:t>
      </w:r>
      <w:r w:rsidR="003578EC" w:rsidRPr="00194D84">
        <w:rPr>
          <w:rFonts w:ascii="Verdana" w:hAnsi="Verdana"/>
          <w:i/>
          <w:sz w:val="20"/>
          <w:szCs w:val="20"/>
        </w:rPr>
        <w:t xml:space="preserve">infra </w:t>
      </w:r>
      <w:r w:rsidR="003578EC" w:rsidRPr="00194D84">
        <w:rPr>
          <w:rFonts w:ascii="Verdana" w:hAnsi="Verdana"/>
          <w:sz w:val="20"/>
          <w:szCs w:val="20"/>
        </w:rPr>
        <w:t>Considerando</w:t>
      </w:r>
      <w:r w:rsidR="00194D84" w:rsidRPr="00194D84">
        <w:rPr>
          <w:rFonts w:ascii="Verdana" w:hAnsi="Verdana"/>
          <w:sz w:val="20"/>
          <w:szCs w:val="20"/>
        </w:rPr>
        <w:t>s</w:t>
      </w:r>
      <w:r w:rsidR="003578EC" w:rsidRPr="00194D84">
        <w:rPr>
          <w:rFonts w:ascii="Verdana" w:hAnsi="Verdana"/>
          <w:sz w:val="20"/>
          <w:szCs w:val="20"/>
        </w:rPr>
        <w:t xml:space="preserve"> </w:t>
      </w:r>
      <w:r w:rsidR="00825CC3">
        <w:rPr>
          <w:rFonts w:ascii="Verdana" w:hAnsi="Verdana"/>
          <w:sz w:val="20"/>
          <w:szCs w:val="20"/>
        </w:rPr>
        <w:t>11</w:t>
      </w:r>
      <w:r w:rsidR="00194D84" w:rsidRPr="00194D84">
        <w:rPr>
          <w:rFonts w:ascii="Verdana" w:hAnsi="Verdana"/>
          <w:sz w:val="20"/>
          <w:szCs w:val="20"/>
        </w:rPr>
        <w:t xml:space="preserve"> a </w:t>
      </w:r>
      <w:r w:rsidR="00825CC3">
        <w:rPr>
          <w:rFonts w:ascii="Verdana" w:hAnsi="Verdana"/>
          <w:sz w:val="20"/>
          <w:szCs w:val="20"/>
        </w:rPr>
        <w:t>13</w:t>
      </w:r>
      <w:r w:rsidR="003578EC" w:rsidRPr="00194D84">
        <w:rPr>
          <w:rFonts w:ascii="Verdana" w:hAnsi="Verdana"/>
          <w:sz w:val="20"/>
          <w:szCs w:val="20"/>
        </w:rPr>
        <w:t>).</w:t>
      </w:r>
    </w:p>
    <w:p w14:paraId="1993987A" w14:textId="7CC5247A" w:rsidR="00992DA1" w:rsidRPr="00587AD2" w:rsidRDefault="0035477C" w:rsidP="004A11E5">
      <w:pPr>
        <w:pStyle w:val="Prrafodelista"/>
        <w:numPr>
          <w:ilvl w:val="0"/>
          <w:numId w:val="1"/>
        </w:numPr>
        <w:spacing w:before="120" w:after="120" w:line="240" w:lineRule="auto"/>
        <w:ind w:left="0" w:firstLine="0"/>
        <w:contextualSpacing w:val="0"/>
        <w:jc w:val="both"/>
        <w:rPr>
          <w:rFonts w:ascii="Verdana" w:hAnsi="Verdana"/>
          <w:sz w:val="20"/>
          <w:szCs w:val="20"/>
        </w:rPr>
      </w:pPr>
      <w:r>
        <w:rPr>
          <w:rFonts w:ascii="Verdana" w:hAnsi="Verdana"/>
          <w:sz w:val="20"/>
          <w:szCs w:val="20"/>
        </w:rPr>
        <w:t>La</w:t>
      </w:r>
      <w:r w:rsidR="00587AD2">
        <w:rPr>
          <w:rFonts w:ascii="Verdana" w:hAnsi="Verdana"/>
          <w:sz w:val="20"/>
          <w:szCs w:val="20"/>
        </w:rPr>
        <w:t xml:space="preserve"> nota de la Secretaría de 24 de</w:t>
      </w:r>
      <w:r w:rsidR="00BF1B9C">
        <w:rPr>
          <w:rFonts w:ascii="Verdana" w:hAnsi="Verdana"/>
          <w:sz w:val="20"/>
          <w:szCs w:val="20"/>
        </w:rPr>
        <w:t xml:space="preserve"> mayo de 2019, mediante la cual</w:t>
      </w:r>
      <w:r w:rsidR="00587AD2">
        <w:rPr>
          <w:rFonts w:ascii="Verdana" w:hAnsi="Verdana"/>
          <w:sz w:val="20"/>
          <w:szCs w:val="20"/>
        </w:rPr>
        <w:t xml:space="preserve">, </w:t>
      </w:r>
      <w:bookmarkEnd w:id="1"/>
      <w:bookmarkEnd w:id="3"/>
      <w:r w:rsidR="00992DA1" w:rsidRPr="00587AD2">
        <w:rPr>
          <w:rFonts w:ascii="Verdana" w:hAnsi="Verdana" w:cs="Verdana"/>
          <w:sz w:val="20"/>
          <w:szCs w:val="20"/>
        </w:rPr>
        <w:t xml:space="preserve">siguiendo instrucciones del Presidente del Tribunal, se </w:t>
      </w:r>
      <w:r w:rsidR="00F24EAE" w:rsidRPr="00587AD2">
        <w:rPr>
          <w:rFonts w:ascii="Verdana" w:hAnsi="Verdana" w:cs="Verdana"/>
          <w:sz w:val="20"/>
          <w:szCs w:val="20"/>
        </w:rPr>
        <w:t xml:space="preserve">otorgó un plazo al Estado y a la Comisión </w:t>
      </w:r>
      <w:r w:rsidR="00992DA1" w:rsidRPr="00587AD2">
        <w:rPr>
          <w:rFonts w:ascii="Verdana" w:hAnsi="Verdana" w:cs="Verdana"/>
          <w:sz w:val="20"/>
          <w:szCs w:val="20"/>
        </w:rPr>
        <w:t xml:space="preserve">Interamericana de Derechos Humanos (en adelante “la Comisión” o “la Comisión Interamericana”) </w:t>
      </w:r>
      <w:r w:rsidR="00187029" w:rsidRPr="00587AD2">
        <w:rPr>
          <w:rFonts w:ascii="Verdana" w:hAnsi="Verdana" w:cs="Verdana"/>
          <w:sz w:val="20"/>
          <w:szCs w:val="20"/>
        </w:rPr>
        <w:t xml:space="preserve">para </w:t>
      </w:r>
      <w:r w:rsidR="00992DA1" w:rsidRPr="00587AD2">
        <w:rPr>
          <w:rFonts w:ascii="Verdana" w:hAnsi="Verdana" w:cs="Verdana"/>
          <w:sz w:val="20"/>
          <w:szCs w:val="20"/>
        </w:rPr>
        <w:t>presentar sus observaciones a la solicitud de medidas provisionales.</w:t>
      </w:r>
      <w:r w:rsidR="00992DA1" w:rsidRPr="00587AD2">
        <w:rPr>
          <w:sz w:val="20"/>
          <w:szCs w:val="20"/>
        </w:rPr>
        <w:t xml:space="preserve"> </w:t>
      </w:r>
    </w:p>
    <w:p w14:paraId="59E09C9E" w14:textId="618E2CD3" w:rsidR="00651A8C" w:rsidRDefault="00F25FE1" w:rsidP="00651A8C">
      <w:pPr>
        <w:pStyle w:val="Prrafodelista"/>
        <w:numPr>
          <w:ilvl w:val="0"/>
          <w:numId w:val="1"/>
        </w:numPr>
        <w:autoSpaceDE w:val="0"/>
        <w:autoSpaceDN w:val="0"/>
        <w:adjustRightInd w:val="0"/>
        <w:spacing w:before="120" w:after="120" w:line="240" w:lineRule="auto"/>
        <w:ind w:left="0" w:firstLine="0"/>
        <w:contextualSpacing w:val="0"/>
        <w:jc w:val="both"/>
        <w:rPr>
          <w:rFonts w:ascii="Verdana" w:hAnsi="Verdana"/>
          <w:sz w:val="20"/>
          <w:szCs w:val="20"/>
        </w:rPr>
      </w:pPr>
      <w:r w:rsidRPr="00651A8C">
        <w:rPr>
          <w:rFonts w:ascii="Verdana" w:hAnsi="Verdana"/>
          <w:sz w:val="20"/>
          <w:szCs w:val="20"/>
        </w:rPr>
        <w:t>El escrito presentado por El Salvador el 27</w:t>
      </w:r>
      <w:r w:rsidRPr="00651A8C">
        <w:rPr>
          <w:rFonts w:ascii="Verdana" w:hAnsi="Verdana"/>
          <w:sz w:val="20"/>
        </w:rPr>
        <w:t xml:space="preserve"> de mayo de 2019, mediante el cual </w:t>
      </w:r>
      <w:bookmarkStart w:id="4" w:name="_Ref3292275"/>
      <w:r w:rsidRPr="00651A8C">
        <w:rPr>
          <w:rFonts w:ascii="Verdana" w:hAnsi="Verdana"/>
          <w:sz w:val="20"/>
        </w:rPr>
        <w:t>remitió sus observaciones a la referida solicitud</w:t>
      </w:r>
      <w:r w:rsidR="00773D66" w:rsidRPr="00651A8C">
        <w:rPr>
          <w:rFonts w:ascii="Verdana" w:hAnsi="Verdana"/>
          <w:sz w:val="20"/>
        </w:rPr>
        <w:t xml:space="preserve"> de medidas provisionales</w:t>
      </w:r>
      <w:r w:rsidRPr="00651A8C">
        <w:rPr>
          <w:rFonts w:ascii="Verdana" w:hAnsi="Verdana"/>
          <w:sz w:val="20"/>
          <w:szCs w:val="20"/>
        </w:rPr>
        <w:t xml:space="preserve"> (</w:t>
      </w:r>
      <w:r w:rsidRPr="00651A8C">
        <w:rPr>
          <w:rFonts w:ascii="Verdana" w:hAnsi="Verdana"/>
          <w:i/>
          <w:sz w:val="20"/>
          <w:szCs w:val="20"/>
        </w:rPr>
        <w:t>infra</w:t>
      </w:r>
      <w:r w:rsidRPr="00651A8C">
        <w:rPr>
          <w:rFonts w:ascii="Verdana" w:hAnsi="Verdana"/>
          <w:sz w:val="20"/>
          <w:szCs w:val="20"/>
        </w:rPr>
        <w:t xml:space="preserve"> Considerando </w:t>
      </w:r>
      <w:r w:rsidR="00071080">
        <w:rPr>
          <w:rFonts w:ascii="Verdana" w:hAnsi="Verdana"/>
          <w:sz w:val="20"/>
          <w:szCs w:val="20"/>
        </w:rPr>
        <w:t>1</w:t>
      </w:r>
      <w:bookmarkEnd w:id="4"/>
      <w:r w:rsidR="00825CC3">
        <w:rPr>
          <w:rFonts w:ascii="Verdana" w:hAnsi="Verdana"/>
          <w:sz w:val="20"/>
          <w:szCs w:val="20"/>
        </w:rPr>
        <w:t>4</w:t>
      </w:r>
      <w:r w:rsidR="00982369">
        <w:rPr>
          <w:rFonts w:ascii="Verdana" w:hAnsi="Verdana"/>
          <w:sz w:val="20"/>
          <w:szCs w:val="20"/>
        </w:rPr>
        <w:t>).</w:t>
      </w:r>
    </w:p>
    <w:p w14:paraId="02F128FA" w14:textId="7DAAE5FC" w:rsidR="002217B5" w:rsidRPr="00B30617" w:rsidRDefault="002B58D7" w:rsidP="00651A8C">
      <w:pPr>
        <w:pStyle w:val="Prrafodelista"/>
        <w:numPr>
          <w:ilvl w:val="0"/>
          <w:numId w:val="1"/>
        </w:numPr>
        <w:autoSpaceDE w:val="0"/>
        <w:autoSpaceDN w:val="0"/>
        <w:adjustRightInd w:val="0"/>
        <w:spacing w:before="120" w:after="120" w:line="240" w:lineRule="auto"/>
        <w:ind w:left="0" w:firstLine="0"/>
        <w:contextualSpacing w:val="0"/>
        <w:jc w:val="both"/>
        <w:rPr>
          <w:rFonts w:ascii="Verdana" w:hAnsi="Verdana"/>
          <w:sz w:val="20"/>
          <w:szCs w:val="20"/>
        </w:rPr>
      </w:pPr>
      <w:r w:rsidRPr="00B30617">
        <w:rPr>
          <w:rFonts w:ascii="Verdana" w:hAnsi="Verdana"/>
          <w:sz w:val="20"/>
          <w:szCs w:val="20"/>
        </w:rPr>
        <w:t xml:space="preserve">El escrito </w:t>
      </w:r>
      <w:r w:rsidR="002217B5" w:rsidRPr="00B30617">
        <w:rPr>
          <w:rFonts w:ascii="Verdana" w:hAnsi="Verdana"/>
          <w:sz w:val="20"/>
          <w:szCs w:val="20"/>
        </w:rPr>
        <w:t xml:space="preserve">presentado por la Comisión </w:t>
      </w:r>
      <w:r w:rsidRPr="00B30617">
        <w:rPr>
          <w:rFonts w:ascii="Verdana" w:hAnsi="Verdana"/>
          <w:sz w:val="20"/>
          <w:szCs w:val="20"/>
        </w:rPr>
        <w:t xml:space="preserve">el </w:t>
      </w:r>
      <w:r w:rsidR="00773D66" w:rsidRPr="00B30617">
        <w:rPr>
          <w:rFonts w:ascii="Verdana" w:hAnsi="Verdana"/>
          <w:sz w:val="20"/>
          <w:szCs w:val="20"/>
        </w:rPr>
        <w:t>27</w:t>
      </w:r>
      <w:r w:rsidRPr="00B30617">
        <w:rPr>
          <w:rFonts w:ascii="Verdana" w:hAnsi="Verdana"/>
          <w:sz w:val="20"/>
          <w:szCs w:val="20"/>
        </w:rPr>
        <w:t xml:space="preserve"> de </w:t>
      </w:r>
      <w:r w:rsidR="00587AD2" w:rsidRPr="00B30617">
        <w:rPr>
          <w:rFonts w:ascii="Verdana" w:hAnsi="Verdana"/>
          <w:sz w:val="20"/>
          <w:szCs w:val="20"/>
        </w:rPr>
        <w:t>mayo</w:t>
      </w:r>
      <w:r w:rsidRPr="00B30617">
        <w:rPr>
          <w:rFonts w:ascii="Verdana" w:hAnsi="Verdana"/>
          <w:sz w:val="20"/>
          <w:szCs w:val="20"/>
        </w:rPr>
        <w:t xml:space="preserve"> de 2019, mediante el cual remitió sus observaciones a la </w:t>
      </w:r>
      <w:r w:rsidR="00773D66" w:rsidRPr="00B30617">
        <w:rPr>
          <w:rFonts w:ascii="Verdana" w:hAnsi="Verdana"/>
          <w:sz w:val="20"/>
          <w:szCs w:val="20"/>
        </w:rPr>
        <w:t xml:space="preserve">referida </w:t>
      </w:r>
      <w:r w:rsidRPr="00B30617">
        <w:rPr>
          <w:rFonts w:ascii="Verdana" w:hAnsi="Verdana"/>
          <w:sz w:val="20"/>
          <w:szCs w:val="20"/>
        </w:rPr>
        <w:t>solicitud de medidas provisionales</w:t>
      </w:r>
      <w:r w:rsidR="00312C9A" w:rsidRPr="00B30617">
        <w:rPr>
          <w:rFonts w:ascii="Verdana" w:hAnsi="Verdana"/>
          <w:sz w:val="20"/>
          <w:szCs w:val="20"/>
        </w:rPr>
        <w:t xml:space="preserve"> (</w:t>
      </w:r>
      <w:r w:rsidR="00312C9A" w:rsidRPr="00B30617">
        <w:rPr>
          <w:rFonts w:ascii="Verdana" w:hAnsi="Verdana"/>
          <w:i/>
          <w:sz w:val="20"/>
          <w:szCs w:val="20"/>
        </w:rPr>
        <w:t>infra</w:t>
      </w:r>
      <w:r w:rsidR="00312C9A" w:rsidRPr="00B30617">
        <w:rPr>
          <w:rFonts w:ascii="Verdana" w:hAnsi="Verdana"/>
          <w:sz w:val="20"/>
          <w:szCs w:val="20"/>
        </w:rPr>
        <w:t xml:space="preserve"> Considerando</w:t>
      </w:r>
      <w:r w:rsidR="00B30617" w:rsidRPr="00B30617">
        <w:rPr>
          <w:rFonts w:ascii="Verdana" w:hAnsi="Verdana"/>
          <w:sz w:val="20"/>
          <w:szCs w:val="20"/>
        </w:rPr>
        <w:t>s</w:t>
      </w:r>
      <w:r w:rsidR="00312C9A" w:rsidRPr="00B30617">
        <w:rPr>
          <w:rFonts w:ascii="Verdana" w:hAnsi="Verdana"/>
          <w:sz w:val="20"/>
          <w:szCs w:val="20"/>
        </w:rPr>
        <w:t xml:space="preserve"> </w:t>
      </w:r>
      <w:r w:rsidR="00B30617" w:rsidRPr="00B30617">
        <w:rPr>
          <w:rFonts w:ascii="Verdana" w:hAnsi="Verdana"/>
          <w:sz w:val="20"/>
          <w:szCs w:val="20"/>
        </w:rPr>
        <w:t>1</w:t>
      </w:r>
      <w:r w:rsidR="00825CC3">
        <w:rPr>
          <w:rFonts w:ascii="Verdana" w:hAnsi="Verdana"/>
          <w:sz w:val="20"/>
          <w:szCs w:val="20"/>
        </w:rPr>
        <w:t>5</w:t>
      </w:r>
      <w:r w:rsidR="00B30617" w:rsidRPr="00B30617">
        <w:rPr>
          <w:rFonts w:ascii="Verdana" w:hAnsi="Verdana"/>
          <w:sz w:val="20"/>
          <w:szCs w:val="20"/>
        </w:rPr>
        <w:t xml:space="preserve"> y 1</w:t>
      </w:r>
      <w:r w:rsidR="00825CC3">
        <w:rPr>
          <w:rFonts w:ascii="Verdana" w:hAnsi="Verdana"/>
          <w:sz w:val="20"/>
          <w:szCs w:val="20"/>
        </w:rPr>
        <w:t>6</w:t>
      </w:r>
      <w:r w:rsidR="00312C9A" w:rsidRPr="00B30617">
        <w:rPr>
          <w:rFonts w:ascii="Verdana" w:hAnsi="Verdana"/>
          <w:sz w:val="20"/>
          <w:szCs w:val="20"/>
        </w:rPr>
        <w:t>)</w:t>
      </w:r>
      <w:r w:rsidRPr="00B30617">
        <w:rPr>
          <w:rFonts w:ascii="Verdana" w:hAnsi="Verdana"/>
          <w:sz w:val="20"/>
          <w:szCs w:val="20"/>
        </w:rPr>
        <w:t>.</w:t>
      </w:r>
    </w:p>
    <w:p w14:paraId="2DBABD58" w14:textId="77777777" w:rsidR="001F717D" w:rsidRDefault="001F717D" w:rsidP="001F717D">
      <w:pPr>
        <w:pStyle w:val="Prrafodelista"/>
        <w:autoSpaceDE w:val="0"/>
        <w:autoSpaceDN w:val="0"/>
        <w:adjustRightInd w:val="0"/>
        <w:spacing w:before="120" w:after="120" w:line="240" w:lineRule="auto"/>
        <w:ind w:left="0"/>
        <w:contextualSpacing w:val="0"/>
        <w:jc w:val="both"/>
        <w:rPr>
          <w:rFonts w:ascii="Verdana" w:hAnsi="Verdana"/>
          <w:sz w:val="20"/>
          <w:szCs w:val="20"/>
          <w:highlight w:val="yellow"/>
        </w:rPr>
      </w:pPr>
    </w:p>
    <w:p w14:paraId="5EEDEB1F" w14:textId="77777777" w:rsidR="00F03A4C" w:rsidRPr="000E3922" w:rsidRDefault="00F03A4C" w:rsidP="001F717D">
      <w:pPr>
        <w:pStyle w:val="Prrafodelista"/>
        <w:autoSpaceDE w:val="0"/>
        <w:autoSpaceDN w:val="0"/>
        <w:adjustRightInd w:val="0"/>
        <w:spacing w:before="120" w:after="120" w:line="240" w:lineRule="auto"/>
        <w:ind w:left="0"/>
        <w:contextualSpacing w:val="0"/>
        <w:jc w:val="both"/>
        <w:rPr>
          <w:rFonts w:ascii="Verdana" w:hAnsi="Verdana"/>
          <w:sz w:val="20"/>
          <w:szCs w:val="20"/>
          <w:highlight w:val="yellow"/>
        </w:rPr>
      </w:pPr>
    </w:p>
    <w:p w14:paraId="5B76F2C4" w14:textId="73FE653A" w:rsidR="00A31134" w:rsidRPr="001F717D" w:rsidRDefault="001F717D" w:rsidP="001F717D">
      <w:pPr>
        <w:spacing w:before="120" w:after="120" w:line="240" w:lineRule="auto"/>
        <w:jc w:val="center"/>
        <w:rPr>
          <w:rFonts w:ascii="Verdana" w:hAnsi="Verdana"/>
          <w:b/>
          <w:smallCaps/>
          <w:sz w:val="20"/>
          <w:szCs w:val="20"/>
        </w:rPr>
      </w:pPr>
      <w:r>
        <w:rPr>
          <w:rFonts w:ascii="Verdana" w:hAnsi="Verdana"/>
          <w:b/>
          <w:smallCaps/>
          <w:sz w:val="20"/>
          <w:szCs w:val="20"/>
        </w:rPr>
        <w:t>I. Medidas Urgentes</w:t>
      </w:r>
    </w:p>
    <w:p w14:paraId="50692CDE" w14:textId="77777777" w:rsidR="005F37F1" w:rsidRDefault="005F37F1" w:rsidP="004A11E5">
      <w:pPr>
        <w:autoSpaceDE w:val="0"/>
        <w:autoSpaceDN w:val="0"/>
        <w:adjustRightInd w:val="0"/>
        <w:spacing w:before="120" w:after="120" w:line="240" w:lineRule="auto"/>
        <w:jc w:val="both"/>
        <w:rPr>
          <w:rFonts w:ascii="Verdana" w:hAnsi="Verdana"/>
          <w:b/>
          <w:sz w:val="20"/>
          <w:szCs w:val="20"/>
        </w:rPr>
      </w:pPr>
      <w:r>
        <w:rPr>
          <w:rFonts w:ascii="Verdana" w:hAnsi="Verdana"/>
          <w:b/>
          <w:sz w:val="20"/>
          <w:szCs w:val="20"/>
        </w:rPr>
        <w:t>CONSIDERANDO QUE:</w:t>
      </w:r>
    </w:p>
    <w:p w14:paraId="7F3C4951" w14:textId="493F54CA" w:rsidR="00217886" w:rsidRPr="00F91515" w:rsidRDefault="006C309A" w:rsidP="00DD5FAD">
      <w:pPr>
        <w:pStyle w:val="Prrafodelista"/>
        <w:numPr>
          <w:ilvl w:val="0"/>
          <w:numId w:val="35"/>
        </w:numPr>
        <w:autoSpaceDE w:val="0"/>
        <w:autoSpaceDN w:val="0"/>
        <w:adjustRightInd w:val="0"/>
        <w:spacing w:before="120" w:after="120" w:line="240" w:lineRule="auto"/>
        <w:ind w:left="0" w:firstLine="0"/>
        <w:contextualSpacing w:val="0"/>
        <w:jc w:val="both"/>
        <w:rPr>
          <w:rFonts w:ascii="Verdana" w:hAnsi="Verdana" w:cs="Arial"/>
          <w:sz w:val="20"/>
          <w:szCs w:val="20"/>
          <w:lang w:val="es-MX"/>
        </w:rPr>
      </w:pPr>
      <w:bookmarkStart w:id="5" w:name="_Ref3291976"/>
      <w:r w:rsidRPr="00F91515">
        <w:rPr>
          <w:rFonts w:ascii="Verdana" w:hAnsi="Verdana"/>
          <w:sz w:val="20"/>
          <w:szCs w:val="20"/>
        </w:rPr>
        <w:t xml:space="preserve">La Corte emitió </w:t>
      </w:r>
      <w:r w:rsidR="00C87BBB" w:rsidRPr="00F91515">
        <w:rPr>
          <w:rFonts w:ascii="Verdana" w:hAnsi="Verdana"/>
          <w:sz w:val="20"/>
          <w:szCs w:val="20"/>
        </w:rPr>
        <w:t xml:space="preserve">Sentencia en el caso </w:t>
      </w:r>
      <w:r w:rsidR="00C87BBB" w:rsidRPr="00BF1B9C">
        <w:rPr>
          <w:rFonts w:ascii="Verdana" w:hAnsi="Verdana"/>
          <w:i/>
          <w:sz w:val="20"/>
          <w:szCs w:val="20"/>
        </w:rPr>
        <w:t>Masacres de El Mozote y lugares aledaños</w:t>
      </w:r>
      <w:r w:rsidR="00C87BBB" w:rsidRPr="00F91515">
        <w:rPr>
          <w:rFonts w:ascii="Verdana" w:hAnsi="Verdana"/>
          <w:sz w:val="20"/>
          <w:szCs w:val="20"/>
        </w:rPr>
        <w:t xml:space="preserve"> en el 2012 </w:t>
      </w:r>
      <w:r w:rsidRPr="00F91515">
        <w:rPr>
          <w:rFonts w:ascii="Verdana" w:hAnsi="Verdana"/>
          <w:sz w:val="20"/>
          <w:szCs w:val="20"/>
        </w:rPr>
        <w:t>(</w:t>
      </w:r>
      <w:r w:rsidRPr="00F91515">
        <w:rPr>
          <w:rFonts w:ascii="Verdana" w:hAnsi="Verdana"/>
          <w:i/>
          <w:sz w:val="20"/>
          <w:szCs w:val="20"/>
        </w:rPr>
        <w:t xml:space="preserve">supra </w:t>
      </w:r>
      <w:r w:rsidRPr="00F91515">
        <w:rPr>
          <w:rFonts w:ascii="Verdana" w:hAnsi="Verdana"/>
          <w:sz w:val="20"/>
          <w:szCs w:val="20"/>
        </w:rPr>
        <w:t xml:space="preserve">Visto </w:t>
      </w:r>
      <w:r w:rsidR="00C0584F" w:rsidRPr="00F91515">
        <w:rPr>
          <w:rFonts w:ascii="Verdana" w:hAnsi="Verdana"/>
          <w:sz w:val="20"/>
          <w:szCs w:val="20"/>
        </w:rPr>
        <w:fldChar w:fldCharType="begin"/>
      </w:r>
      <w:r w:rsidR="00C0584F" w:rsidRPr="00F91515">
        <w:rPr>
          <w:rFonts w:ascii="Verdana" w:hAnsi="Verdana"/>
          <w:sz w:val="20"/>
          <w:szCs w:val="20"/>
        </w:rPr>
        <w:instrText xml:space="preserve"> REF _Ref3224330 \r \h </w:instrText>
      </w:r>
      <w:r w:rsidR="00217886" w:rsidRPr="00F91515">
        <w:rPr>
          <w:rFonts w:ascii="Verdana" w:hAnsi="Verdana"/>
          <w:sz w:val="20"/>
          <w:szCs w:val="20"/>
        </w:rPr>
        <w:instrText xml:space="preserve"> \* MERGEFORMAT </w:instrText>
      </w:r>
      <w:r w:rsidR="00C0584F" w:rsidRPr="00F91515">
        <w:rPr>
          <w:rFonts w:ascii="Verdana" w:hAnsi="Verdana"/>
          <w:sz w:val="20"/>
          <w:szCs w:val="20"/>
        </w:rPr>
      </w:r>
      <w:r w:rsidR="00C0584F" w:rsidRPr="00F91515">
        <w:rPr>
          <w:rFonts w:ascii="Verdana" w:hAnsi="Verdana"/>
          <w:sz w:val="20"/>
          <w:szCs w:val="20"/>
        </w:rPr>
        <w:fldChar w:fldCharType="separate"/>
      </w:r>
      <w:r w:rsidR="00A426BC">
        <w:rPr>
          <w:rFonts w:ascii="Verdana" w:hAnsi="Verdana"/>
          <w:sz w:val="20"/>
          <w:szCs w:val="20"/>
        </w:rPr>
        <w:t>1</w:t>
      </w:r>
      <w:r w:rsidR="00C0584F" w:rsidRPr="00F91515">
        <w:rPr>
          <w:rFonts w:ascii="Verdana" w:hAnsi="Verdana"/>
          <w:sz w:val="20"/>
          <w:szCs w:val="20"/>
        </w:rPr>
        <w:fldChar w:fldCharType="end"/>
      </w:r>
      <w:r w:rsidRPr="00F91515">
        <w:rPr>
          <w:rFonts w:ascii="Verdana" w:hAnsi="Verdana"/>
          <w:sz w:val="20"/>
          <w:szCs w:val="20"/>
        </w:rPr>
        <w:t xml:space="preserve">), </w:t>
      </w:r>
      <w:r w:rsidR="00217886" w:rsidRPr="00F91515">
        <w:rPr>
          <w:rFonts w:ascii="Verdana" w:hAnsi="Verdana"/>
          <w:sz w:val="20"/>
          <w:szCs w:val="20"/>
        </w:rPr>
        <w:t>en cuyo punto dispositivo tercero ordenó que el Estado debía “</w:t>
      </w:r>
      <w:r w:rsidR="00217886" w:rsidRPr="00F91515">
        <w:rPr>
          <w:rFonts w:ascii="Verdana" w:hAnsi="Verdana"/>
          <w:sz w:val="20"/>
          <w:szCs w:val="20"/>
          <w:lang w:val="es-MX"/>
        </w:rPr>
        <w:t xml:space="preserve">iniciar, impulsar, reabrir, dirigir, continuar y concluir, según corresponda, </w:t>
      </w:r>
      <w:r w:rsidR="00217886" w:rsidRPr="00F91515">
        <w:rPr>
          <w:rFonts w:ascii="Verdana" w:eastAsia="MS Mincho" w:hAnsi="Verdana" w:cs="Times New Roman"/>
          <w:sz w:val="20"/>
          <w:szCs w:val="20"/>
        </w:rPr>
        <w:t xml:space="preserve">con la mayor diligencia, </w:t>
      </w:r>
      <w:r w:rsidR="00217886" w:rsidRPr="00F91515">
        <w:rPr>
          <w:rFonts w:ascii="Verdana" w:hAnsi="Verdana"/>
          <w:sz w:val="20"/>
          <w:szCs w:val="20"/>
          <w:lang w:val="es-MX"/>
        </w:rPr>
        <w:t xml:space="preserve">las investigaciones de todos los hechos que originaron las violaciones declaradas en la presente Sentencia, con el propósito de identificar, juzgar </w:t>
      </w:r>
      <w:r w:rsidR="00217886" w:rsidRPr="00F91515">
        <w:rPr>
          <w:rFonts w:ascii="Verdana" w:eastAsia="Times" w:hAnsi="Verdana" w:cs="Verdana"/>
          <w:sz w:val="20"/>
          <w:szCs w:val="20"/>
        </w:rPr>
        <w:t>y, en su caso, sancionar a los responsables</w:t>
      </w:r>
      <w:r w:rsidR="00217886" w:rsidRPr="00F91515">
        <w:rPr>
          <w:rFonts w:ascii="Verdana" w:hAnsi="Verdana"/>
          <w:sz w:val="20"/>
          <w:szCs w:val="20"/>
          <w:lang w:val="es-MX"/>
        </w:rPr>
        <w:t xml:space="preserve">, </w:t>
      </w:r>
      <w:r w:rsidR="00217886" w:rsidRPr="00F91515">
        <w:rPr>
          <w:rFonts w:ascii="Verdana" w:eastAsia="Times" w:hAnsi="Verdana"/>
          <w:sz w:val="20"/>
          <w:szCs w:val="20"/>
        </w:rPr>
        <w:t>de conformidad con lo establecido en los párrafos 315 a 321 de [esta] Sentencia”.</w:t>
      </w:r>
      <w:r w:rsidR="0098082C">
        <w:rPr>
          <w:rFonts w:ascii="Verdana" w:eastAsia="Times" w:hAnsi="Verdana"/>
          <w:sz w:val="20"/>
          <w:szCs w:val="20"/>
        </w:rPr>
        <w:t xml:space="preserve"> </w:t>
      </w:r>
      <w:r w:rsidR="009E2B25" w:rsidRPr="00F91515">
        <w:rPr>
          <w:rFonts w:ascii="Verdana" w:eastAsia="Times" w:hAnsi="Verdana"/>
          <w:sz w:val="20"/>
          <w:szCs w:val="20"/>
        </w:rPr>
        <w:t>Para ello, estableció que el Estado debía “</w:t>
      </w:r>
      <w:r w:rsidR="009E2B25" w:rsidRPr="00F91515">
        <w:rPr>
          <w:rFonts w:ascii="Verdana" w:eastAsia="MS Mincho" w:hAnsi="Verdana" w:cs="Times New Roman"/>
          <w:sz w:val="20"/>
          <w:szCs w:val="20"/>
        </w:rPr>
        <w:t xml:space="preserve">remover todos los obstáculos </w:t>
      </w:r>
      <w:r w:rsidR="009E2B25" w:rsidRPr="00F91515">
        <w:rPr>
          <w:rFonts w:ascii="Verdana" w:eastAsia="MS Mincho" w:hAnsi="Verdana" w:cs="Times New Roman"/>
          <w:i/>
          <w:iCs/>
          <w:sz w:val="20"/>
          <w:szCs w:val="20"/>
        </w:rPr>
        <w:t xml:space="preserve">de facto </w:t>
      </w:r>
      <w:r w:rsidR="009E2B25" w:rsidRPr="00F91515">
        <w:rPr>
          <w:rFonts w:ascii="Verdana" w:eastAsia="MS Mincho" w:hAnsi="Verdana" w:cs="Times New Roman"/>
          <w:iCs/>
          <w:sz w:val="20"/>
          <w:szCs w:val="20"/>
        </w:rPr>
        <w:t>y</w:t>
      </w:r>
      <w:r w:rsidR="009E2B25" w:rsidRPr="00F91515">
        <w:rPr>
          <w:rFonts w:ascii="Verdana" w:eastAsia="MS Mincho" w:hAnsi="Verdana" w:cs="Times New Roman"/>
          <w:i/>
          <w:iCs/>
          <w:sz w:val="20"/>
          <w:szCs w:val="20"/>
        </w:rPr>
        <w:t xml:space="preserve"> de jure</w:t>
      </w:r>
      <w:r w:rsidR="009E2B25" w:rsidRPr="00F91515">
        <w:rPr>
          <w:rFonts w:ascii="Verdana" w:eastAsia="MS Mincho" w:hAnsi="Verdana" w:cs="Times New Roman"/>
          <w:sz w:val="20"/>
          <w:szCs w:val="20"/>
        </w:rPr>
        <w:t xml:space="preserve"> </w:t>
      </w:r>
      <w:r w:rsidR="009E2B25" w:rsidRPr="00F91515">
        <w:rPr>
          <w:rFonts w:ascii="Verdana" w:eastAsia="MS Mincho" w:hAnsi="Verdana" w:cs="Times New Roman"/>
          <w:sz w:val="20"/>
          <w:szCs w:val="20"/>
          <w:lang w:bidi="en-US"/>
        </w:rPr>
        <w:t>que mantiene</w:t>
      </w:r>
      <w:r w:rsidR="009E2B25" w:rsidRPr="00F91515">
        <w:rPr>
          <w:rFonts w:ascii="Verdana" w:eastAsia="MS Mincho" w:hAnsi="Verdana" w:cs="Times New Roman"/>
          <w:sz w:val="20"/>
          <w:szCs w:val="20"/>
        </w:rPr>
        <w:t>n la impunidad total en este</w:t>
      </w:r>
      <w:r w:rsidR="009E2B25" w:rsidRPr="00F91515">
        <w:rPr>
          <w:rFonts w:ascii="Verdana" w:eastAsia="MS Mincho" w:hAnsi="Verdana" w:cs="Times New Roman"/>
          <w:sz w:val="20"/>
          <w:szCs w:val="20"/>
          <w:lang w:bidi="en-US"/>
        </w:rPr>
        <w:t xml:space="preserve"> caso</w:t>
      </w:r>
      <w:r w:rsidR="009E2B25" w:rsidRPr="00F91515">
        <w:rPr>
          <w:rFonts w:ascii="Verdana" w:hAnsi="Verdana"/>
          <w:sz w:val="20"/>
          <w:szCs w:val="20"/>
        </w:rPr>
        <w:t>, tomando en cuenta que [a ese momento] ha[bían] transcurrido aproximadamente 31 años desde que sucedieron las referidas masacres”</w:t>
      </w:r>
      <w:r w:rsidR="00BC2AB4" w:rsidRPr="00F91515">
        <w:rPr>
          <w:rFonts w:ascii="Verdana" w:hAnsi="Verdana"/>
          <w:sz w:val="20"/>
          <w:szCs w:val="20"/>
        </w:rPr>
        <w:t>, y que “[e]</w:t>
      </w:r>
      <w:r w:rsidR="00BC2AB4" w:rsidRPr="00F91515">
        <w:rPr>
          <w:rFonts w:ascii="Verdana" w:eastAsia="MS Mincho" w:hAnsi="Verdana" w:cs="Times New Roman"/>
          <w:sz w:val="20"/>
          <w:szCs w:val="20"/>
        </w:rPr>
        <w:t xml:space="preserve">n esta línea, el Estado debe </w:t>
      </w:r>
      <w:r w:rsidR="00BC2AB4" w:rsidRPr="00F91515">
        <w:rPr>
          <w:rFonts w:ascii="Verdana" w:eastAsia="Calibri" w:hAnsi="Verdana" w:cs="Times New Roman"/>
          <w:sz w:val="20"/>
          <w:szCs w:val="20"/>
        </w:rPr>
        <w:t>investigar de forma efectiva todos los hechos de las masacres, incluyendo, además de</w:t>
      </w:r>
      <w:r w:rsidR="00BC2AB4" w:rsidRPr="00F91515">
        <w:rPr>
          <w:rFonts w:ascii="Verdana" w:hAnsi="Verdana"/>
          <w:sz w:val="20"/>
          <w:szCs w:val="20"/>
        </w:rPr>
        <w:t xml:space="preserve"> </w:t>
      </w:r>
      <w:r w:rsidR="00BC2AB4" w:rsidRPr="00F91515">
        <w:rPr>
          <w:rFonts w:ascii="Verdana" w:eastAsia="Calibri" w:hAnsi="Verdana" w:cs="Times New Roman"/>
          <w:sz w:val="20"/>
          <w:szCs w:val="20"/>
        </w:rPr>
        <w:t>l</w:t>
      </w:r>
      <w:r w:rsidR="00BC2AB4" w:rsidRPr="00F91515">
        <w:rPr>
          <w:rFonts w:ascii="Verdana" w:hAnsi="Verdana"/>
          <w:sz w:val="20"/>
          <w:szCs w:val="20"/>
        </w:rPr>
        <w:t>as ejecuciones extrajudiciales</w:t>
      </w:r>
      <w:r w:rsidR="00BC2AB4" w:rsidRPr="00F91515">
        <w:rPr>
          <w:rFonts w:ascii="Verdana" w:eastAsia="Calibri" w:hAnsi="Verdana" w:cs="Times New Roman"/>
          <w:sz w:val="20"/>
          <w:szCs w:val="20"/>
        </w:rPr>
        <w:t>, otras posibles graves afectaciones a la integridad personal, y en particular, los actos de tortura y la</w:t>
      </w:r>
      <w:r w:rsidR="00BC2AB4" w:rsidRPr="00F91515">
        <w:rPr>
          <w:rFonts w:ascii="Verdana" w:hAnsi="Verdana"/>
          <w:sz w:val="20"/>
          <w:szCs w:val="20"/>
        </w:rPr>
        <w:t>s</w:t>
      </w:r>
      <w:r w:rsidR="00BC2AB4" w:rsidRPr="00F91515">
        <w:rPr>
          <w:rFonts w:ascii="Verdana" w:eastAsia="Calibri" w:hAnsi="Verdana" w:cs="Times New Roman"/>
          <w:sz w:val="20"/>
          <w:szCs w:val="20"/>
        </w:rPr>
        <w:t xml:space="preserve"> </w:t>
      </w:r>
      <w:r w:rsidR="00BC2AB4" w:rsidRPr="00F91515">
        <w:rPr>
          <w:rFonts w:ascii="Verdana" w:hAnsi="Verdana"/>
          <w:sz w:val="20"/>
          <w:szCs w:val="20"/>
        </w:rPr>
        <w:t xml:space="preserve">violaciones sexuales contra las </w:t>
      </w:r>
      <w:r w:rsidR="00BC2AB4" w:rsidRPr="00F91515">
        <w:rPr>
          <w:rFonts w:ascii="Verdana" w:eastAsia="Calibri" w:hAnsi="Verdana" w:cs="Times New Roman"/>
          <w:sz w:val="20"/>
          <w:szCs w:val="20"/>
        </w:rPr>
        <w:t>mujer</w:t>
      </w:r>
      <w:r w:rsidR="00BC2AB4" w:rsidRPr="00F91515">
        <w:rPr>
          <w:rFonts w:ascii="Verdana" w:hAnsi="Verdana"/>
          <w:sz w:val="20"/>
          <w:szCs w:val="20"/>
        </w:rPr>
        <w:t>es, así como los desplazamientos forzados”</w:t>
      </w:r>
      <w:r w:rsidR="00BC2AB4" w:rsidRPr="00F91515">
        <w:rPr>
          <w:rFonts w:ascii="Verdana" w:eastAsia="MS Mincho" w:hAnsi="Verdana" w:cs="Times New Roman"/>
          <w:sz w:val="20"/>
          <w:szCs w:val="20"/>
          <w:lang w:bidi="en-US"/>
        </w:rPr>
        <w:t>.</w:t>
      </w:r>
      <w:r w:rsidR="00BC2AB4" w:rsidRPr="00F91515">
        <w:rPr>
          <w:rFonts w:ascii="Verdana" w:hAnsi="Verdana" w:cs="Arial"/>
          <w:sz w:val="20"/>
          <w:szCs w:val="20"/>
        </w:rPr>
        <w:t xml:space="preserve"> </w:t>
      </w:r>
      <w:r w:rsidR="00F2384C" w:rsidRPr="00F91515">
        <w:rPr>
          <w:rFonts w:ascii="Verdana" w:eastAsia="Times" w:hAnsi="Verdana"/>
          <w:sz w:val="20"/>
          <w:szCs w:val="20"/>
        </w:rPr>
        <w:t xml:space="preserve">Asimismo, en los referidos párrafos </w:t>
      </w:r>
      <w:r w:rsidR="00BC2AB4" w:rsidRPr="00F91515">
        <w:rPr>
          <w:rFonts w:ascii="Verdana" w:eastAsia="Times" w:hAnsi="Verdana"/>
          <w:sz w:val="20"/>
          <w:szCs w:val="20"/>
        </w:rPr>
        <w:t xml:space="preserve">de </w:t>
      </w:r>
      <w:r w:rsidR="0098082C">
        <w:rPr>
          <w:rFonts w:ascii="Verdana" w:eastAsia="Times" w:hAnsi="Verdana"/>
          <w:sz w:val="20"/>
          <w:szCs w:val="20"/>
        </w:rPr>
        <w:t>esa</w:t>
      </w:r>
      <w:r w:rsidR="00BC2AB4" w:rsidRPr="00F91515">
        <w:rPr>
          <w:rFonts w:ascii="Verdana" w:eastAsia="Times" w:hAnsi="Verdana"/>
          <w:sz w:val="20"/>
          <w:szCs w:val="20"/>
        </w:rPr>
        <w:t xml:space="preserve"> Sentencia se establecieron</w:t>
      </w:r>
      <w:r w:rsidR="00F2384C" w:rsidRPr="00F91515">
        <w:rPr>
          <w:rFonts w:ascii="Verdana" w:eastAsia="Times" w:hAnsi="Verdana"/>
          <w:sz w:val="20"/>
          <w:szCs w:val="20"/>
        </w:rPr>
        <w:t xml:space="preserve"> criterios para dar cumplimiento a dicha obligación, entre los cuales se destaca</w:t>
      </w:r>
      <w:r w:rsidR="00B16C05" w:rsidRPr="00F91515">
        <w:rPr>
          <w:rFonts w:ascii="Verdana" w:eastAsia="Times" w:hAnsi="Verdana"/>
          <w:sz w:val="20"/>
          <w:szCs w:val="20"/>
        </w:rPr>
        <w:t>n</w:t>
      </w:r>
      <w:r w:rsidR="009E2B25" w:rsidRPr="00F91515">
        <w:rPr>
          <w:rFonts w:ascii="Verdana" w:eastAsia="Times" w:hAnsi="Verdana"/>
          <w:sz w:val="20"/>
          <w:szCs w:val="20"/>
        </w:rPr>
        <w:t xml:space="preserve"> que el Estado debe</w:t>
      </w:r>
      <w:r w:rsidR="00F2384C" w:rsidRPr="00F91515">
        <w:rPr>
          <w:rFonts w:ascii="Verdana" w:eastAsia="Times" w:hAnsi="Verdana"/>
          <w:sz w:val="20"/>
          <w:szCs w:val="20"/>
        </w:rPr>
        <w:t>:</w:t>
      </w:r>
    </w:p>
    <w:p w14:paraId="68B0F466" w14:textId="46819E89" w:rsidR="009E2B25" w:rsidRPr="00F91515" w:rsidRDefault="009E2B25" w:rsidP="009E2B25">
      <w:pPr>
        <w:tabs>
          <w:tab w:val="left" w:pos="720"/>
        </w:tabs>
        <w:spacing w:before="120" w:after="120" w:line="240" w:lineRule="auto"/>
        <w:ind w:left="720" w:right="714"/>
        <w:jc w:val="both"/>
        <w:rPr>
          <w:rFonts w:ascii="Verdana" w:hAnsi="Verdana"/>
          <w:sz w:val="16"/>
          <w:szCs w:val="16"/>
        </w:rPr>
      </w:pPr>
      <w:r w:rsidRPr="00F91515">
        <w:rPr>
          <w:rFonts w:ascii="Verdana" w:hAnsi="Verdana"/>
          <w:sz w:val="16"/>
          <w:szCs w:val="16"/>
        </w:rPr>
        <w:t>a)</w:t>
      </w:r>
      <w:r w:rsidRPr="00F91515">
        <w:rPr>
          <w:rFonts w:ascii="Verdana" w:hAnsi="Verdana"/>
          <w:sz w:val="16"/>
          <w:szCs w:val="16"/>
        </w:rPr>
        <w:tab/>
      </w:r>
      <w:r w:rsidRPr="00F91515">
        <w:rPr>
          <w:rFonts w:ascii="Verdana" w:hAnsi="Verdana" w:cs="Verdana"/>
          <w:b/>
          <w:sz w:val="16"/>
          <w:szCs w:val="16"/>
        </w:rPr>
        <w:t xml:space="preserve">abstenerse de recurrir a figuras como la amnistía </w:t>
      </w:r>
      <w:r w:rsidRPr="00F91515">
        <w:rPr>
          <w:rFonts w:ascii="Verdana" w:hAnsi="Verdana"/>
          <w:b/>
          <w:sz w:val="16"/>
          <w:szCs w:val="16"/>
        </w:rPr>
        <w:t>en beneficio de los autores</w:t>
      </w:r>
      <w:r w:rsidRPr="00F91515">
        <w:rPr>
          <w:rFonts w:ascii="Verdana" w:hAnsi="Verdana" w:cs="Verdana"/>
          <w:b/>
          <w:sz w:val="16"/>
          <w:szCs w:val="16"/>
        </w:rPr>
        <w:t xml:space="preserve">, </w:t>
      </w:r>
      <w:r w:rsidRPr="00F91515">
        <w:rPr>
          <w:rFonts w:ascii="Verdana" w:hAnsi="Verdana"/>
          <w:b/>
          <w:sz w:val="16"/>
          <w:szCs w:val="16"/>
        </w:rPr>
        <w:t>así como ninguna otra disposición análoga,</w:t>
      </w:r>
      <w:r w:rsidRPr="00F91515">
        <w:rPr>
          <w:rFonts w:ascii="Verdana" w:hAnsi="Verdana" w:cs="Verdana"/>
          <w:b/>
          <w:sz w:val="16"/>
          <w:szCs w:val="16"/>
        </w:rPr>
        <w:t xml:space="preserve"> la prescripción, irretroactividad de la ley penal, cosa juzgada, </w:t>
      </w:r>
      <w:r w:rsidRPr="00F91515">
        <w:rPr>
          <w:rFonts w:ascii="Verdana" w:hAnsi="Verdana" w:cs="Verdana"/>
          <w:b/>
          <w:i/>
          <w:sz w:val="16"/>
          <w:szCs w:val="16"/>
        </w:rPr>
        <w:t>ne bis in idem</w:t>
      </w:r>
      <w:r w:rsidRPr="00F91515">
        <w:rPr>
          <w:rFonts w:ascii="Verdana" w:hAnsi="Verdana" w:cs="Verdana"/>
          <w:b/>
          <w:sz w:val="16"/>
          <w:szCs w:val="16"/>
        </w:rPr>
        <w:t xml:space="preserve"> o cualquier eximente similar de responsabilidad, </w:t>
      </w:r>
      <w:r w:rsidRPr="00F91515">
        <w:rPr>
          <w:rFonts w:ascii="Verdana" w:hAnsi="Verdana"/>
          <w:b/>
          <w:sz w:val="16"/>
          <w:szCs w:val="16"/>
        </w:rPr>
        <w:t>para excusarse de esta obligación;</w:t>
      </w:r>
      <w:r w:rsidR="00882E5A">
        <w:rPr>
          <w:rFonts w:ascii="Verdana" w:hAnsi="Verdana"/>
          <w:b/>
          <w:sz w:val="16"/>
          <w:szCs w:val="16"/>
        </w:rPr>
        <w:t xml:space="preserve"> </w:t>
      </w:r>
      <w:r w:rsidR="00882E5A" w:rsidRPr="00882E5A">
        <w:rPr>
          <w:rFonts w:ascii="Verdana" w:hAnsi="Verdana"/>
          <w:i/>
          <w:sz w:val="16"/>
          <w:szCs w:val="16"/>
        </w:rPr>
        <w:t>(Énfasis añadido)</w:t>
      </w:r>
    </w:p>
    <w:p w14:paraId="07195340" w14:textId="3AF85A81" w:rsidR="009E2B25" w:rsidRPr="00F91515" w:rsidRDefault="009E2B25" w:rsidP="009E2B25">
      <w:pPr>
        <w:tabs>
          <w:tab w:val="left" w:pos="720"/>
        </w:tabs>
        <w:spacing w:before="120" w:after="120" w:line="240" w:lineRule="auto"/>
        <w:ind w:left="720" w:right="714"/>
        <w:jc w:val="both"/>
        <w:rPr>
          <w:rFonts w:ascii="Verdana" w:hAnsi="Verdana"/>
          <w:sz w:val="16"/>
          <w:szCs w:val="16"/>
        </w:rPr>
      </w:pPr>
      <w:r w:rsidRPr="00F91515">
        <w:rPr>
          <w:rFonts w:ascii="Verdana" w:hAnsi="Verdana"/>
          <w:sz w:val="16"/>
          <w:szCs w:val="16"/>
        </w:rPr>
        <w:t>b)</w:t>
      </w:r>
      <w:r w:rsidRPr="00F91515">
        <w:rPr>
          <w:rFonts w:ascii="Verdana" w:hAnsi="Verdana"/>
          <w:sz w:val="16"/>
          <w:szCs w:val="16"/>
        </w:rPr>
        <w:tab/>
        <w:t xml:space="preserve">tomar en cuenta el patrón sistemático de </w:t>
      </w:r>
      <w:r w:rsidRPr="00F91515">
        <w:rPr>
          <w:rFonts w:ascii="Verdana" w:hAnsi="Verdana" w:cs="Arial"/>
          <w:sz w:val="16"/>
          <w:szCs w:val="16"/>
        </w:rPr>
        <w:t xml:space="preserve">violaciones a derechos humanos </w:t>
      </w:r>
      <w:r w:rsidRPr="00F91515">
        <w:rPr>
          <w:rFonts w:ascii="Verdana" w:hAnsi="Verdana"/>
          <w:sz w:val="16"/>
          <w:szCs w:val="16"/>
        </w:rPr>
        <w:t xml:space="preserve">en el contexto del conflicto armado salvadoreño, así como los operativos militares de grandes proporciones dentro de los que se enmarcaron los hechos de este caso, </w:t>
      </w:r>
      <w:r w:rsidRPr="00F91515">
        <w:rPr>
          <w:rFonts w:ascii="Verdana" w:hAnsi="Verdana" w:cs="Verdana"/>
          <w:sz w:val="16"/>
          <w:szCs w:val="16"/>
        </w:rPr>
        <w:t xml:space="preserve">con el objeto de que los procesos y las investigaciones pertinentes sean conducidos en consideración de la complejidad de estos </w:t>
      </w:r>
      <w:r w:rsidRPr="00F91515">
        <w:rPr>
          <w:rFonts w:ascii="Verdana" w:hAnsi="Verdana"/>
          <w:sz w:val="16"/>
          <w:szCs w:val="16"/>
        </w:rPr>
        <w:t xml:space="preserve">hechos y el contexto en que ocurrieron, evitando omisiones en la recolección de prueba y en el seguimiento de líneas lógicas de investigación </w:t>
      </w:r>
      <w:r w:rsidRPr="00F91515">
        <w:rPr>
          <w:rFonts w:ascii="Verdana" w:hAnsi="Verdana"/>
          <w:sz w:val="16"/>
          <w:szCs w:val="16"/>
          <w:lang w:eastAsia="es-MX"/>
        </w:rPr>
        <w:t>con base en una correcta valoración de los patrones sistemáticos que dieron origen a los hechos que se investigan</w:t>
      </w:r>
      <w:r w:rsidRPr="00F91515">
        <w:rPr>
          <w:rFonts w:ascii="Verdana" w:hAnsi="Verdana"/>
          <w:sz w:val="16"/>
          <w:szCs w:val="16"/>
        </w:rPr>
        <w:t>;</w:t>
      </w:r>
    </w:p>
    <w:p w14:paraId="75A2C481" w14:textId="77777777" w:rsidR="009E2B25" w:rsidRPr="00F91515" w:rsidRDefault="009E2B25" w:rsidP="009E2B25">
      <w:pPr>
        <w:tabs>
          <w:tab w:val="left" w:pos="720"/>
        </w:tabs>
        <w:spacing w:before="120" w:after="120" w:line="240" w:lineRule="auto"/>
        <w:ind w:left="720" w:right="714"/>
        <w:jc w:val="both"/>
        <w:rPr>
          <w:rFonts w:ascii="Verdana" w:hAnsi="Verdana" w:cs="Verdana"/>
          <w:sz w:val="16"/>
          <w:szCs w:val="16"/>
        </w:rPr>
      </w:pPr>
      <w:r w:rsidRPr="00F91515">
        <w:rPr>
          <w:rFonts w:ascii="Verdana" w:hAnsi="Verdana"/>
          <w:sz w:val="16"/>
          <w:szCs w:val="16"/>
        </w:rPr>
        <w:t>c)</w:t>
      </w:r>
      <w:r w:rsidRPr="00F91515">
        <w:rPr>
          <w:rFonts w:ascii="Verdana" w:hAnsi="Verdana"/>
          <w:sz w:val="16"/>
          <w:szCs w:val="16"/>
        </w:rPr>
        <w:tab/>
        <w:t>identificar</w:t>
      </w:r>
      <w:r w:rsidRPr="00F91515">
        <w:rPr>
          <w:rFonts w:ascii="Verdana" w:hAnsi="Verdana" w:cs="Verdana"/>
          <w:sz w:val="16"/>
          <w:szCs w:val="16"/>
        </w:rPr>
        <w:t xml:space="preserve"> e </w:t>
      </w:r>
      <w:r w:rsidRPr="00F91515">
        <w:rPr>
          <w:rFonts w:ascii="Verdana" w:hAnsi="Verdana"/>
          <w:sz w:val="16"/>
          <w:szCs w:val="16"/>
        </w:rPr>
        <w:t xml:space="preserve">individualizar </w:t>
      </w:r>
      <w:r w:rsidRPr="00F91515">
        <w:rPr>
          <w:rFonts w:ascii="Verdana" w:hAnsi="Verdana" w:cs="Verdana"/>
          <w:sz w:val="16"/>
          <w:szCs w:val="16"/>
        </w:rPr>
        <w:t>a todos los autores materiales e intelectuales de las masacres del presente caso. La debida diligencia en la investigación implica que todas las autoridades estatales están obligadas a colaborar en la recaudación de la prueba, por lo que deberán brindar al juez, fiscal u otra autoridad judicial toda la información que requiera y abstenerse de actos que impliquen la obstrucción para la marcha del proceso investigativo;</w:t>
      </w:r>
    </w:p>
    <w:p w14:paraId="03B2FC88" w14:textId="6C214C11" w:rsidR="009E2B25" w:rsidRPr="00F91515" w:rsidRDefault="009E2B25" w:rsidP="009E2B25">
      <w:pPr>
        <w:tabs>
          <w:tab w:val="left" w:pos="720"/>
        </w:tabs>
        <w:spacing w:before="120" w:after="120" w:line="240" w:lineRule="auto"/>
        <w:ind w:left="720" w:right="714"/>
        <w:jc w:val="both"/>
        <w:rPr>
          <w:rFonts w:ascii="Verdana" w:hAnsi="Verdana"/>
          <w:sz w:val="16"/>
          <w:szCs w:val="16"/>
        </w:rPr>
      </w:pPr>
      <w:r w:rsidRPr="00F91515">
        <w:rPr>
          <w:rFonts w:ascii="Verdana" w:hAnsi="Verdana"/>
          <w:sz w:val="16"/>
          <w:szCs w:val="16"/>
        </w:rPr>
        <w:lastRenderedPageBreak/>
        <w:t xml:space="preserve">d) </w:t>
      </w:r>
      <w:r w:rsidRPr="00F91515">
        <w:rPr>
          <w:rFonts w:ascii="Verdana" w:hAnsi="Verdana"/>
          <w:sz w:val="16"/>
          <w:szCs w:val="16"/>
        </w:rPr>
        <w:tab/>
      </w:r>
      <w:r w:rsidRPr="00F91515">
        <w:rPr>
          <w:rFonts w:ascii="Verdana" w:hAnsi="Verdana"/>
          <w:b/>
          <w:sz w:val="16"/>
          <w:szCs w:val="16"/>
        </w:rPr>
        <w:t xml:space="preserve">asegurarse que las autoridades competentes realicen las investigaciones correspondientes </w:t>
      </w:r>
      <w:r w:rsidRPr="00F91515">
        <w:rPr>
          <w:rFonts w:ascii="Verdana" w:hAnsi="Verdana"/>
          <w:b/>
          <w:i/>
          <w:sz w:val="16"/>
          <w:szCs w:val="16"/>
        </w:rPr>
        <w:t>ex officio</w:t>
      </w:r>
      <w:r w:rsidRPr="00F91515">
        <w:rPr>
          <w:rFonts w:ascii="Verdana" w:hAnsi="Verdana"/>
          <w:b/>
          <w:sz w:val="16"/>
          <w:szCs w:val="16"/>
        </w:rPr>
        <w:t>,</w:t>
      </w:r>
      <w:r w:rsidRPr="00F91515">
        <w:rPr>
          <w:rFonts w:ascii="Verdana" w:hAnsi="Verdana"/>
          <w:sz w:val="16"/>
          <w:szCs w:val="16"/>
        </w:rPr>
        <w:t xml:space="preserve"> y que para tal efecto tengan a su alcance y utilicen todos los recursos logísticos y científicos necesarios para recabar y procesar las pruebas y, en particular, tengan las facultades para acceder a la documentación e información pertinentes para investigar los hechos denunciados y llevar a cabo con prontitud aquellas actuaciones y averiguaciones esenciales para esclarecer lo sucedido en el presente caso; </w:t>
      </w:r>
      <w:r w:rsidR="00882E5A" w:rsidRPr="00882E5A">
        <w:rPr>
          <w:rFonts w:ascii="Verdana" w:hAnsi="Verdana"/>
          <w:i/>
          <w:sz w:val="16"/>
          <w:szCs w:val="16"/>
        </w:rPr>
        <w:t>(Énfasis añadido)</w:t>
      </w:r>
    </w:p>
    <w:p w14:paraId="7145A10B" w14:textId="77777777" w:rsidR="009E2B25" w:rsidRPr="00F91515" w:rsidRDefault="009E2B25" w:rsidP="009E2B25">
      <w:pPr>
        <w:tabs>
          <w:tab w:val="left" w:pos="720"/>
        </w:tabs>
        <w:spacing w:before="120" w:after="120" w:line="240" w:lineRule="auto"/>
        <w:ind w:left="720" w:right="714"/>
        <w:jc w:val="both"/>
        <w:rPr>
          <w:rFonts w:ascii="Verdana" w:eastAsia="Times" w:hAnsi="Verdana" w:cs="Times New Roman"/>
          <w:sz w:val="16"/>
          <w:szCs w:val="16"/>
        </w:rPr>
      </w:pPr>
      <w:r w:rsidRPr="00F91515">
        <w:rPr>
          <w:rFonts w:ascii="Verdana" w:eastAsia="Times" w:hAnsi="Verdana" w:cs="Times New Roman"/>
          <w:sz w:val="16"/>
          <w:szCs w:val="16"/>
        </w:rPr>
        <w:t xml:space="preserve">e) </w:t>
      </w:r>
      <w:r w:rsidRPr="00F91515">
        <w:rPr>
          <w:rFonts w:ascii="Verdana" w:eastAsia="Times" w:hAnsi="Verdana" w:cs="Times New Roman"/>
          <w:sz w:val="16"/>
          <w:szCs w:val="16"/>
        </w:rPr>
        <w:tab/>
        <w:t>garantizar que las investigaciones por los hechos constitutivos de las masacres del presente caso se mantengan, en todo momento, bajo conocimiento de la jurisdicción ordinaria;</w:t>
      </w:r>
    </w:p>
    <w:p w14:paraId="1321A4EB" w14:textId="77777777" w:rsidR="009E2B25" w:rsidRPr="00F91515" w:rsidRDefault="009E2B25" w:rsidP="009E2B25">
      <w:pPr>
        <w:tabs>
          <w:tab w:val="left" w:pos="720"/>
        </w:tabs>
        <w:spacing w:before="120" w:after="120" w:line="240" w:lineRule="auto"/>
        <w:ind w:left="720" w:right="714"/>
        <w:jc w:val="both"/>
        <w:rPr>
          <w:rFonts w:ascii="Verdana" w:eastAsia="Times" w:hAnsi="Verdana" w:cs="Times New Roman"/>
          <w:sz w:val="16"/>
          <w:szCs w:val="16"/>
        </w:rPr>
      </w:pPr>
      <w:r w:rsidRPr="00F91515">
        <w:rPr>
          <w:rFonts w:ascii="Verdana" w:eastAsia="Times" w:hAnsi="Verdana" w:cs="Times New Roman"/>
          <w:sz w:val="16"/>
          <w:szCs w:val="16"/>
        </w:rPr>
        <w:t>f)</w:t>
      </w:r>
      <w:r w:rsidRPr="00F91515">
        <w:rPr>
          <w:rFonts w:ascii="Verdana" w:eastAsia="Times" w:hAnsi="Verdana" w:cs="Times New Roman"/>
          <w:sz w:val="16"/>
          <w:szCs w:val="16"/>
        </w:rPr>
        <w:tab/>
        <w:t xml:space="preserve">asegurarse que los distintos órganos del sistema de justicia involucrados en el caso cuenten con los </w:t>
      </w:r>
      <w:r w:rsidRPr="00F91515">
        <w:rPr>
          <w:rFonts w:ascii="Verdana" w:eastAsia="Times" w:hAnsi="Verdana" w:cs="Times New Roman"/>
          <w:sz w:val="16"/>
          <w:szCs w:val="16"/>
          <w:lang w:eastAsia="es-MX"/>
        </w:rPr>
        <w:t xml:space="preserve">recursos humanos, económicos, logísticos, científicos o de cualquier índole </w:t>
      </w:r>
      <w:r w:rsidRPr="00F91515">
        <w:rPr>
          <w:rFonts w:ascii="Verdana" w:eastAsia="Times" w:hAnsi="Verdana" w:cs="Times New Roman"/>
          <w:sz w:val="16"/>
          <w:szCs w:val="16"/>
        </w:rPr>
        <w:t xml:space="preserve">necesarios para desempeñar sus tareas de manera adecuada, independiente e imparcial y adoptar las medidas necesarias para </w:t>
      </w:r>
      <w:r w:rsidRPr="00F91515">
        <w:rPr>
          <w:rFonts w:ascii="Verdana" w:eastAsia="Times" w:hAnsi="Verdana" w:cs="Times New Roman"/>
          <w:sz w:val="16"/>
          <w:szCs w:val="16"/>
          <w:lang w:eastAsia="es-MX"/>
        </w:rPr>
        <w:t>garantizar que funcionarios judiciales, fiscales, investigadores y demás operadores de justicia cuenten con un sistema de seguridad y protección adecuado, tomando en cuenta las circunstancias de los casos a su cargo y el lugar donde se encuentran laborando, que les permita desempeñar sus funciones con debida diligencia, así como la protección de testigos, víctimas y familiares</w:t>
      </w:r>
      <w:r w:rsidRPr="00F91515">
        <w:rPr>
          <w:rFonts w:ascii="Verdana" w:eastAsia="Times" w:hAnsi="Verdana" w:cs="Times New Roman"/>
          <w:sz w:val="16"/>
          <w:szCs w:val="16"/>
        </w:rPr>
        <w:t>; y</w:t>
      </w:r>
    </w:p>
    <w:p w14:paraId="5283DD56" w14:textId="77777777" w:rsidR="009E2B25" w:rsidRDefault="009E2B25" w:rsidP="009E2B25">
      <w:pPr>
        <w:tabs>
          <w:tab w:val="left" w:pos="720"/>
        </w:tabs>
        <w:spacing w:before="120" w:after="120" w:line="240" w:lineRule="auto"/>
        <w:ind w:left="720" w:right="714"/>
        <w:jc w:val="both"/>
        <w:rPr>
          <w:rFonts w:ascii="Verdana" w:eastAsia="Times" w:hAnsi="Verdana" w:cs="Times New Roman"/>
          <w:sz w:val="16"/>
          <w:szCs w:val="16"/>
        </w:rPr>
      </w:pPr>
      <w:r w:rsidRPr="00F91515">
        <w:rPr>
          <w:rFonts w:ascii="Verdana" w:eastAsia="Times" w:hAnsi="Verdana" w:cs="Times New Roman"/>
          <w:sz w:val="16"/>
          <w:szCs w:val="16"/>
        </w:rPr>
        <w:t>g)</w:t>
      </w:r>
      <w:r w:rsidRPr="00F91515">
        <w:rPr>
          <w:rFonts w:ascii="Verdana" w:eastAsia="Times" w:hAnsi="Verdana" w:cs="Times New Roman"/>
          <w:sz w:val="16"/>
          <w:szCs w:val="16"/>
        </w:rPr>
        <w:tab/>
        <w:t xml:space="preserve">asegurar el pleno acceso y capacidad de actuar de las víctimas o sus familiares en todas las etapas de la investigación y el juzgamiento de los responsables. </w:t>
      </w:r>
    </w:p>
    <w:p w14:paraId="6373721F" w14:textId="77777777" w:rsidR="00F03A4C" w:rsidRPr="00F91515" w:rsidRDefault="00F03A4C" w:rsidP="009E2B25">
      <w:pPr>
        <w:tabs>
          <w:tab w:val="left" w:pos="720"/>
        </w:tabs>
        <w:spacing w:before="120" w:after="120" w:line="240" w:lineRule="auto"/>
        <w:ind w:left="720" w:right="714"/>
        <w:jc w:val="both"/>
        <w:rPr>
          <w:rFonts w:ascii="Verdana" w:eastAsia="Times" w:hAnsi="Verdana" w:cs="Times New Roman"/>
          <w:sz w:val="16"/>
          <w:szCs w:val="16"/>
        </w:rPr>
      </w:pPr>
    </w:p>
    <w:p w14:paraId="4BB842C8" w14:textId="391AD7E8" w:rsidR="00DD5FAD" w:rsidRPr="00DD5FAD" w:rsidRDefault="00BC2AB4" w:rsidP="00DD5FAD">
      <w:pPr>
        <w:pStyle w:val="Prrafodelista"/>
        <w:numPr>
          <w:ilvl w:val="0"/>
          <w:numId w:val="35"/>
        </w:numPr>
        <w:tabs>
          <w:tab w:val="left" w:pos="142"/>
        </w:tabs>
        <w:autoSpaceDE w:val="0"/>
        <w:autoSpaceDN w:val="0"/>
        <w:adjustRightInd w:val="0"/>
        <w:spacing w:before="120" w:afterLines="40" w:after="96" w:line="240" w:lineRule="auto"/>
        <w:ind w:left="0" w:right="99" w:firstLine="0"/>
        <w:contextualSpacing w:val="0"/>
        <w:jc w:val="both"/>
        <w:rPr>
          <w:rFonts w:ascii="Verdana" w:hAnsi="Verdana" w:cs="Arial"/>
          <w:sz w:val="20"/>
          <w:szCs w:val="20"/>
          <w:lang w:val="es-MX"/>
        </w:rPr>
      </w:pPr>
      <w:r w:rsidRPr="00F91515">
        <w:rPr>
          <w:rFonts w:ascii="Verdana" w:eastAsia="Times" w:hAnsi="Verdana"/>
          <w:sz w:val="20"/>
          <w:szCs w:val="20"/>
        </w:rPr>
        <w:t xml:space="preserve">Adicionalmente, en los párrafos 283 a 296 de la Sentencia, la Corte desarrolló las razones por las cuales la Ley de Amnistía General para la Consolidación de la Paz </w:t>
      </w:r>
      <w:r w:rsidR="00B31894" w:rsidRPr="00F91515">
        <w:rPr>
          <w:rFonts w:ascii="Verdana" w:eastAsia="Times" w:hAnsi="Verdana"/>
          <w:sz w:val="20"/>
          <w:szCs w:val="20"/>
        </w:rPr>
        <w:t xml:space="preserve">de 20 de marzo de 1993, que </w:t>
      </w:r>
      <w:r w:rsidR="00F91515">
        <w:rPr>
          <w:rFonts w:ascii="Verdana" w:eastAsia="Times" w:hAnsi="Verdana"/>
          <w:sz w:val="20"/>
          <w:szCs w:val="20"/>
        </w:rPr>
        <w:t>“</w:t>
      </w:r>
      <w:r w:rsidR="00B31894" w:rsidRPr="00F91515">
        <w:rPr>
          <w:rFonts w:ascii="Verdana" w:hAnsi="Verdana"/>
          <w:sz w:val="20"/>
          <w:szCs w:val="20"/>
        </w:rPr>
        <w:t>concedió una amnistía de carácter general y absoluta que amplió la posibilidad de impedir la investigación penal y la determinación de responsabilidades a aquellas personas que hubieran participado en la comisión de graves violaciones a los derechos humanos e infracciones graves del derecho internacional humanitario durante el conflicto armado interno</w:t>
      </w:r>
      <w:r w:rsidR="00F91515">
        <w:rPr>
          <w:rFonts w:ascii="Verdana" w:hAnsi="Verdana"/>
          <w:sz w:val="20"/>
          <w:szCs w:val="20"/>
        </w:rPr>
        <w:t>, incluidos aquellos casos ejemplarizantes determinados por la Comisión de la Verdad”</w:t>
      </w:r>
      <w:r w:rsidR="00B31894" w:rsidRPr="00F91515">
        <w:rPr>
          <w:rFonts w:ascii="Verdana" w:hAnsi="Verdana"/>
          <w:sz w:val="20"/>
          <w:szCs w:val="20"/>
        </w:rPr>
        <w:t>,</w:t>
      </w:r>
      <w:r w:rsidR="00B31894" w:rsidRPr="00F91515">
        <w:rPr>
          <w:rFonts w:ascii="Verdana" w:eastAsia="Times" w:hAnsi="Verdana"/>
          <w:sz w:val="20"/>
          <w:szCs w:val="20"/>
        </w:rPr>
        <w:t xml:space="preserve"> e</w:t>
      </w:r>
      <w:r w:rsidR="005D5155">
        <w:rPr>
          <w:rFonts w:ascii="Verdana" w:eastAsia="Times" w:hAnsi="Verdana"/>
          <w:sz w:val="20"/>
          <w:szCs w:val="20"/>
        </w:rPr>
        <w:t>ra</w:t>
      </w:r>
      <w:r w:rsidR="00B31894" w:rsidRPr="00F91515">
        <w:rPr>
          <w:rFonts w:ascii="Verdana" w:eastAsia="Times" w:hAnsi="Verdana"/>
          <w:sz w:val="20"/>
          <w:szCs w:val="20"/>
        </w:rPr>
        <w:t xml:space="preserve"> incompatible con </w:t>
      </w:r>
      <w:r w:rsidR="004059E2">
        <w:rPr>
          <w:rFonts w:ascii="Verdana" w:eastAsia="Times" w:hAnsi="Verdana"/>
          <w:sz w:val="20"/>
          <w:szCs w:val="20"/>
        </w:rPr>
        <w:t>los estándares del Derecho Internacional de los Derechos Humanos y del Derecho Internacional Humanitario</w:t>
      </w:r>
      <w:r w:rsidR="00F91515" w:rsidRPr="00F91515">
        <w:rPr>
          <w:rFonts w:ascii="Verdana" w:eastAsia="Times" w:hAnsi="Verdana"/>
          <w:sz w:val="20"/>
          <w:szCs w:val="20"/>
        </w:rPr>
        <w:t xml:space="preserve"> </w:t>
      </w:r>
      <w:r w:rsidR="00B31894" w:rsidRPr="00F91515">
        <w:rPr>
          <w:rFonts w:ascii="Verdana" w:eastAsia="Times" w:hAnsi="Verdana"/>
          <w:sz w:val="20"/>
          <w:szCs w:val="20"/>
        </w:rPr>
        <w:t xml:space="preserve">y, en consecuencia </w:t>
      </w:r>
      <w:r w:rsidRPr="00F91515">
        <w:rPr>
          <w:rFonts w:ascii="Verdana" w:eastAsia="Times" w:hAnsi="Verdana"/>
          <w:sz w:val="20"/>
          <w:szCs w:val="20"/>
        </w:rPr>
        <w:t xml:space="preserve">carece de </w:t>
      </w:r>
      <w:r w:rsidR="00B31894" w:rsidRPr="00F91515">
        <w:rPr>
          <w:rFonts w:ascii="Verdana" w:eastAsia="Times" w:hAnsi="Verdana"/>
          <w:sz w:val="20"/>
          <w:szCs w:val="20"/>
        </w:rPr>
        <w:t xml:space="preserve">efectos jurídicos. </w:t>
      </w:r>
      <w:r w:rsidR="00F91515" w:rsidRPr="00F91515">
        <w:rPr>
          <w:rFonts w:ascii="Verdana" w:eastAsia="Times" w:hAnsi="Verdana"/>
          <w:sz w:val="20"/>
          <w:szCs w:val="20"/>
        </w:rPr>
        <w:t>Al respecto, en el punto dispositivo cuarto y el párrafo 318 de la Sentencia, se ordenó que “</w:t>
      </w:r>
      <w:r w:rsidR="00386BD0">
        <w:rPr>
          <w:rFonts w:ascii="Verdana" w:eastAsia="Times" w:hAnsi="Verdana"/>
          <w:sz w:val="20"/>
          <w:szCs w:val="20"/>
        </w:rPr>
        <w:t xml:space="preserve">dado que </w:t>
      </w:r>
      <w:r w:rsidR="00F91515" w:rsidRPr="00F91515">
        <w:rPr>
          <w:rFonts w:ascii="Verdana" w:eastAsia="MS Mincho" w:hAnsi="Verdana" w:cs="Verdana"/>
          <w:sz w:val="20"/>
          <w:szCs w:val="20"/>
        </w:rPr>
        <w:t>[dicha] Ley</w:t>
      </w:r>
      <w:r w:rsidR="00386BD0">
        <w:rPr>
          <w:rFonts w:ascii="Verdana" w:eastAsia="MS Mincho" w:hAnsi="Verdana" w:cs="Verdana"/>
          <w:sz w:val="20"/>
          <w:szCs w:val="20"/>
        </w:rPr>
        <w:t xml:space="preserve"> carece de efectos […] el Estado deb[ía] asegurar que</w:t>
      </w:r>
      <w:r w:rsidR="00F91515" w:rsidRPr="00F91515">
        <w:rPr>
          <w:rFonts w:ascii="Verdana" w:eastAsia="MS Mincho" w:hAnsi="Verdana" w:cs="Verdana"/>
          <w:sz w:val="20"/>
          <w:szCs w:val="20"/>
        </w:rPr>
        <w:t xml:space="preserve"> no v[olviera] a representar un obstáculo para la investigación de los hechos materia del presente caso ni para la identificación, juzgamiento y eventual sanción de los responsables de los mismos y de otras graves violaciones de derechos humanos similares acontecidas durante el conflicto armado en El Salvador”.</w:t>
      </w:r>
    </w:p>
    <w:p w14:paraId="00DBE35E" w14:textId="77777777" w:rsidR="00DD5FAD" w:rsidRDefault="00F91515" w:rsidP="00DD5FAD">
      <w:pPr>
        <w:pStyle w:val="Prrafodelista"/>
        <w:numPr>
          <w:ilvl w:val="0"/>
          <w:numId w:val="35"/>
        </w:numPr>
        <w:tabs>
          <w:tab w:val="left" w:pos="142"/>
        </w:tabs>
        <w:autoSpaceDE w:val="0"/>
        <w:autoSpaceDN w:val="0"/>
        <w:adjustRightInd w:val="0"/>
        <w:spacing w:before="120" w:afterLines="40" w:after="96" w:line="240" w:lineRule="auto"/>
        <w:ind w:left="0" w:right="99" w:firstLine="0"/>
        <w:contextualSpacing w:val="0"/>
        <w:jc w:val="both"/>
        <w:rPr>
          <w:rFonts w:ascii="Verdana" w:hAnsi="Verdana" w:cs="Arial"/>
          <w:sz w:val="20"/>
          <w:szCs w:val="20"/>
          <w:lang w:val="es-MX"/>
        </w:rPr>
      </w:pPr>
      <w:r w:rsidRPr="00DD5FAD">
        <w:rPr>
          <w:rFonts w:ascii="Verdana" w:hAnsi="Verdana" w:cs="Arial"/>
          <w:sz w:val="20"/>
          <w:szCs w:val="20"/>
          <w:lang w:val="es-MX"/>
        </w:rPr>
        <w:t>En la Resolución de supervisión de cumplimiento de Sentencia de agosto de 2017 (</w:t>
      </w:r>
      <w:r w:rsidRPr="00DD5FAD">
        <w:rPr>
          <w:rFonts w:ascii="Verdana" w:hAnsi="Verdana" w:cs="Arial"/>
          <w:i/>
          <w:sz w:val="20"/>
          <w:szCs w:val="20"/>
          <w:lang w:val="es-MX"/>
        </w:rPr>
        <w:t xml:space="preserve">supra </w:t>
      </w:r>
      <w:r w:rsidRPr="00DD5FAD">
        <w:rPr>
          <w:rFonts w:ascii="Verdana" w:hAnsi="Verdana" w:cs="Arial"/>
          <w:sz w:val="20"/>
          <w:szCs w:val="20"/>
          <w:lang w:val="es-MX"/>
        </w:rPr>
        <w:t xml:space="preserve">Visto 2) la Corte </w:t>
      </w:r>
      <w:r w:rsidR="00A8166C" w:rsidRPr="00DD5FAD">
        <w:rPr>
          <w:rFonts w:ascii="Verdana" w:hAnsi="Verdana" w:cs="Arial"/>
          <w:sz w:val="20"/>
          <w:szCs w:val="20"/>
          <w:lang w:val="es-MX"/>
        </w:rPr>
        <w:t xml:space="preserve">constató </w:t>
      </w:r>
      <w:r w:rsidR="00A07E1C" w:rsidRPr="00DD5FAD">
        <w:rPr>
          <w:rFonts w:ascii="Verdana" w:hAnsi="Verdana" w:cs="Arial"/>
          <w:sz w:val="20"/>
          <w:szCs w:val="20"/>
          <w:lang w:val="es-MX"/>
        </w:rPr>
        <w:t xml:space="preserve">el cumplimiento total de la reparación referida en el considerando anterior, en virtud de </w:t>
      </w:r>
      <w:r w:rsidR="00A8166C" w:rsidRPr="00DD5FAD">
        <w:rPr>
          <w:rFonts w:ascii="Verdana" w:hAnsi="Verdana" w:cs="Arial"/>
          <w:sz w:val="20"/>
          <w:szCs w:val="20"/>
          <w:lang w:val="es-MX"/>
        </w:rPr>
        <w:t>que el 13 de julio de 2016 la Sala de lo Constitucional de la Corte Suprema de Justicia de El Salvador emitió una decisión en la cual declaró la inconstitucionalidad de la Ley de Amnistía General para la Consolidación de la Paz apr</w:t>
      </w:r>
      <w:r w:rsidR="00A07E1C" w:rsidRPr="00DD5FAD">
        <w:rPr>
          <w:rFonts w:ascii="Verdana" w:hAnsi="Verdana" w:cs="Arial"/>
          <w:sz w:val="20"/>
          <w:szCs w:val="20"/>
          <w:lang w:val="es-MX"/>
        </w:rPr>
        <w:t>obada en 1993 por considerar, entre otros, que “la extensión objetiva y subjetiva de la amnistía es contraria al derecho de acceso a la justicia, a la tutela judicial –protección de los derechos fundamentales–, y</w:t>
      </w:r>
      <w:r w:rsidR="00C93E06" w:rsidRPr="00DD5FAD">
        <w:rPr>
          <w:rFonts w:ascii="Verdana" w:hAnsi="Verdana" w:cs="Arial"/>
          <w:sz w:val="20"/>
          <w:szCs w:val="20"/>
          <w:lang w:val="es-MX"/>
        </w:rPr>
        <w:t xml:space="preserve"> </w:t>
      </w:r>
      <w:r w:rsidR="00A07E1C" w:rsidRPr="00DD5FAD">
        <w:rPr>
          <w:rFonts w:ascii="Verdana" w:hAnsi="Verdana" w:cs="Arial"/>
          <w:sz w:val="20"/>
          <w:szCs w:val="20"/>
          <w:lang w:val="es-MX"/>
        </w:rPr>
        <w:t>al derecho a la reparación integral de las víctimas de crímenes de lesa humanidad y crímenes de guerra constitutivos de graves violaciones al Derecho Internacional Humanitario”</w:t>
      </w:r>
      <w:r w:rsidR="00A07E1C" w:rsidRPr="00103C4D">
        <w:rPr>
          <w:rStyle w:val="Refdenotaalpie"/>
          <w:rFonts w:ascii="Verdana" w:hAnsi="Verdana" w:cs="Arial"/>
          <w:sz w:val="20"/>
          <w:szCs w:val="20"/>
          <w:lang w:val="es-MX"/>
        </w:rPr>
        <w:footnoteReference w:id="9"/>
      </w:r>
      <w:r w:rsidR="00A07E1C" w:rsidRPr="00DD5FAD">
        <w:rPr>
          <w:rFonts w:ascii="Verdana" w:hAnsi="Verdana" w:cs="Arial"/>
          <w:sz w:val="20"/>
          <w:szCs w:val="20"/>
          <w:lang w:val="es-MX"/>
        </w:rPr>
        <w:t>.</w:t>
      </w:r>
      <w:r w:rsidR="00C93E06" w:rsidRPr="00DD5FAD">
        <w:rPr>
          <w:rFonts w:ascii="Verdana" w:hAnsi="Verdana" w:cs="Arial"/>
          <w:sz w:val="20"/>
          <w:szCs w:val="20"/>
          <w:lang w:val="es-MX"/>
        </w:rPr>
        <w:t xml:space="preserve"> </w:t>
      </w:r>
      <w:r w:rsidR="00710033" w:rsidRPr="00DD5FAD">
        <w:rPr>
          <w:rFonts w:ascii="Verdana" w:hAnsi="Verdana" w:cs="Arial"/>
          <w:sz w:val="20"/>
          <w:szCs w:val="20"/>
          <w:lang w:val="es-MX"/>
        </w:rPr>
        <w:t>Adicionalmente en la referida Resolución de supervisión de cumplimiento se constató que, a raíz de la sentencia de la Sala de lo Constitucional de julio de 2016, se había revocado el sobreseimiento definitivo de las investigaciones sobre los hechos de las masacres de El Mozote, dictado en septiembre de 1993 en aplicación de la referida Ley de Amnistía, y se ordenó la reapertura del proceso penal</w:t>
      </w:r>
      <w:r w:rsidR="00710033">
        <w:rPr>
          <w:rStyle w:val="Refdenotaalpie"/>
          <w:rFonts w:ascii="Verdana" w:hAnsi="Verdana" w:cs="Arial"/>
          <w:sz w:val="20"/>
          <w:szCs w:val="20"/>
          <w:lang w:val="es-MX"/>
        </w:rPr>
        <w:footnoteReference w:id="10"/>
      </w:r>
      <w:r w:rsidR="00710033" w:rsidRPr="00DD5FAD">
        <w:rPr>
          <w:rFonts w:ascii="Verdana" w:hAnsi="Verdana" w:cs="Arial"/>
          <w:sz w:val="20"/>
          <w:szCs w:val="20"/>
          <w:lang w:val="es-MX"/>
        </w:rPr>
        <w:t xml:space="preserve">. </w:t>
      </w:r>
    </w:p>
    <w:p w14:paraId="3989FE86" w14:textId="54701485" w:rsidR="00985E59" w:rsidRPr="004A11E5" w:rsidRDefault="008430A5" w:rsidP="00DD5FAD">
      <w:pPr>
        <w:pStyle w:val="Prrafodelista"/>
        <w:numPr>
          <w:ilvl w:val="0"/>
          <w:numId w:val="35"/>
        </w:numPr>
        <w:tabs>
          <w:tab w:val="left" w:pos="142"/>
        </w:tabs>
        <w:autoSpaceDE w:val="0"/>
        <w:autoSpaceDN w:val="0"/>
        <w:adjustRightInd w:val="0"/>
        <w:spacing w:before="120" w:afterLines="40" w:after="96" w:line="240" w:lineRule="auto"/>
        <w:ind w:left="0" w:right="99" w:firstLine="0"/>
        <w:contextualSpacing w:val="0"/>
        <w:jc w:val="both"/>
        <w:rPr>
          <w:rFonts w:ascii="Verdana" w:hAnsi="Verdana" w:cs="Arial"/>
          <w:sz w:val="20"/>
          <w:szCs w:val="20"/>
          <w:lang w:val="es-MX"/>
        </w:rPr>
      </w:pPr>
      <w:r w:rsidRPr="004A11E5">
        <w:rPr>
          <w:rFonts w:ascii="Verdana" w:hAnsi="Verdana" w:cs="Arial"/>
          <w:sz w:val="20"/>
          <w:szCs w:val="20"/>
          <w:lang w:val="es-MX"/>
        </w:rPr>
        <w:t>En la referida decisión interna de julio de 2016, la Sala de lo Constitucional también reconoció</w:t>
      </w:r>
      <w:r w:rsidR="00985E59" w:rsidRPr="004A11E5">
        <w:rPr>
          <w:rFonts w:ascii="Verdana" w:hAnsi="Verdana" w:cs="Arial"/>
          <w:sz w:val="20"/>
          <w:szCs w:val="20"/>
          <w:lang w:val="es-MX"/>
        </w:rPr>
        <w:t xml:space="preserve"> que</w:t>
      </w:r>
      <w:r w:rsidR="00882E5A">
        <w:rPr>
          <w:rFonts w:ascii="Verdana" w:hAnsi="Verdana" w:cs="Arial"/>
          <w:sz w:val="20"/>
          <w:szCs w:val="20"/>
          <w:lang w:val="es-MX"/>
        </w:rPr>
        <w:t>:</w:t>
      </w:r>
      <w:r w:rsidRPr="004A11E5">
        <w:rPr>
          <w:rFonts w:ascii="Verdana" w:hAnsi="Verdana" w:cs="Arial"/>
          <w:sz w:val="20"/>
          <w:szCs w:val="20"/>
          <w:lang w:val="es-MX"/>
        </w:rPr>
        <w:t xml:space="preserve"> </w:t>
      </w:r>
    </w:p>
    <w:p w14:paraId="4192D07F" w14:textId="0EE530FF" w:rsidR="00985E59" w:rsidRDefault="00985E59" w:rsidP="00985E59">
      <w:pPr>
        <w:pStyle w:val="Prrafodelista"/>
        <w:tabs>
          <w:tab w:val="left" w:pos="720"/>
        </w:tabs>
        <w:autoSpaceDE w:val="0"/>
        <w:autoSpaceDN w:val="0"/>
        <w:adjustRightInd w:val="0"/>
        <w:spacing w:before="120" w:after="120" w:line="240" w:lineRule="auto"/>
        <w:ind w:left="709" w:right="713"/>
        <w:contextualSpacing w:val="0"/>
        <w:jc w:val="both"/>
        <w:rPr>
          <w:rFonts w:ascii="Verdana" w:hAnsi="Verdana"/>
          <w:sz w:val="16"/>
          <w:szCs w:val="16"/>
        </w:rPr>
      </w:pPr>
      <w:r w:rsidRPr="004A11E5">
        <w:rPr>
          <w:rFonts w:ascii="Verdana" w:hAnsi="Verdana"/>
          <w:sz w:val="16"/>
          <w:szCs w:val="16"/>
        </w:rPr>
        <w:lastRenderedPageBreak/>
        <w:t>[</w:t>
      </w:r>
      <w:r w:rsidR="008430A5" w:rsidRPr="004A11E5">
        <w:rPr>
          <w:rFonts w:ascii="Verdana" w:hAnsi="Verdana"/>
          <w:sz w:val="16"/>
          <w:szCs w:val="16"/>
        </w:rPr>
        <w:t>l</w:t>
      </w:r>
      <w:r w:rsidRPr="004A11E5">
        <w:rPr>
          <w:rFonts w:ascii="Verdana" w:hAnsi="Verdana"/>
          <w:sz w:val="16"/>
          <w:szCs w:val="16"/>
        </w:rPr>
        <w:t>]</w:t>
      </w:r>
      <w:r w:rsidR="008430A5" w:rsidRPr="004A11E5">
        <w:rPr>
          <w:rFonts w:ascii="Verdana" w:hAnsi="Verdana"/>
          <w:sz w:val="16"/>
          <w:szCs w:val="16"/>
        </w:rPr>
        <w:t>a nueva situación que se abr[ía] con esta sentencia constitucional</w:t>
      </w:r>
      <w:r w:rsidRPr="004A11E5">
        <w:rPr>
          <w:rFonts w:ascii="Verdana" w:hAnsi="Verdana"/>
          <w:sz w:val="16"/>
          <w:szCs w:val="16"/>
        </w:rPr>
        <w:t xml:space="preserve"> </w:t>
      </w:r>
      <w:r w:rsidR="008430A5" w:rsidRPr="004A11E5">
        <w:rPr>
          <w:rFonts w:ascii="Verdana" w:hAnsi="Verdana"/>
          <w:sz w:val="16"/>
          <w:szCs w:val="16"/>
        </w:rPr>
        <w:t>pon[ía] en evidencia la necesidad de una regulación complementaria para la genuina transición democrática hacia la paz, que respete la dignidad humana y los derechos fundamentales de las víctimas, en especial, los derechos de acceso a la justicia y a la tutela judicial, el derecho a la reparación integral, el derecho a la verdad y la garantía de no repetición de los crímenes de lesa humanidad y crímenes de guerra constitutivos de graves violaciones al D[erecho Internacional Humanitario], debiéndose garantizar, en todo caso, el derecho de las personas investigadas y enjuiciadas</w:t>
      </w:r>
      <w:r w:rsidR="00677FCC" w:rsidRPr="004A11E5">
        <w:rPr>
          <w:rFonts w:ascii="Verdana" w:hAnsi="Verdana"/>
          <w:sz w:val="16"/>
          <w:szCs w:val="16"/>
        </w:rPr>
        <w:t xml:space="preserve"> por los hechos del conflicto armado</w:t>
      </w:r>
      <w:r w:rsidR="00C56B00" w:rsidRPr="004A11E5">
        <w:rPr>
          <w:rStyle w:val="Refdenotaalpie"/>
          <w:rFonts w:ascii="Verdana" w:hAnsi="Verdana"/>
          <w:sz w:val="16"/>
          <w:szCs w:val="16"/>
        </w:rPr>
        <w:footnoteReference w:id="11"/>
      </w:r>
      <w:r w:rsidR="001D29E4" w:rsidRPr="004A11E5">
        <w:rPr>
          <w:rFonts w:ascii="Verdana" w:hAnsi="Verdana"/>
          <w:sz w:val="16"/>
          <w:szCs w:val="16"/>
        </w:rPr>
        <w:t>.</w:t>
      </w:r>
      <w:r w:rsidR="00677FCC" w:rsidRPr="001D29E4">
        <w:rPr>
          <w:rFonts w:ascii="Verdana" w:hAnsi="Verdana"/>
          <w:sz w:val="16"/>
          <w:szCs w:val="16"/>
        </w:rPr>
        <w:t xml:space="preserve"> </w:t>
      </w:r>
    </w:p>
    <w:p w14:paraId="0AE917CA" w14:textId="77777777" w:rsidR="00D123FC" w:rsidRPr="00D123FC" w:rsidRDefault="00D123FC" w:rsidP="00985E59">
      <w:pPr>
        <w:pStyle w:val="Prrafodelista"/>
        <w:tabs>
          <w:tab w:val="left" w:pos="720"/>
        </w:tabs>
        <w:autoSpaceDE w:val="0"/>
        <w:autoSpaceDN w:val="0"/>
        <w:adjustRightInd w:val="0"/>
        <w:spacing w:before="120" w:after="120" w:line="240" w:lineRule="auto"/>
        <w:ind w:left="709" w:right="713"/>
        <w:contextualSpacing w:val="0"/>
        <w:jc w:val="both"/>
        <w:rPr>
          <w:rFonts w:ascii="Verdana" w:hAnsi="Verdana"/>
          <w:sz w:val="4"/>
          <w:szCs w:val="4"/>
        </w:rPr>
      </w:pPr>
    </w:p>
    <w:p w14:paraId="19D02FAD" w14:textId="22EF6242" w:rsidR="00985E59" w:rsidRPr="0019593B" w:rsidRDefault="00985E59" w:rsidP="00DD5FAD">
      <w:pPr>
        <w:pStyle w:val="Prrafodelista"/>
        <w:numPr>
          <w:ilvl w:val="0"/>
          <w:numId w:val="35"/>
        </w:numPr>
        <w:tabs>
          <w:tab w:val="left" w:pos="0"/>
        </w:tabs>
        <w:autoSpaceDE w:val="0"/>
        <w:autoSpaceDN w:val="0"/>
        <w:adjustRightInd w:val="0"/>
        <w:spacing w:before="120" w:after="120" w:line="240" w:lineRule="auto"/>
        <w:ind w:left="0" w:right="96" w:firstLine="0"/>
        <w:contextualSpacing w:val="0"/>
        <w:jc w:val="both"/>
        <w:rPr>
          <w:rFonts w:ascii="Verdana" w:hAnsi="Verdana" w:cs="Arial"/>
          <w:sz w:val="20"/>
          <w:szCs w:val="20"/>
          <w:lang w:val="es-MX"/>
        </w:rPr>
      </w:pPr>
      <w:r w:rsidRPr="0019593B">
        <w:rPr>
          <w:rFonts w:ascii="Verdana" w:hAnsi="Verdana" w:cs="Arial"/>
          <w:sz w:val="20"/>
          <w:szCs w:val="20"/>
          <w:lang w:val="es-MX"/>
        </w:rPr>
        <w:t>En ese sentido, dicho tribunal interno determinó que</w:t>
      </w:r>
      <w:r w:rsidR="001D29E4" w:rsidRPr="0019593B">
        <w:rPr>
          <w:rFonts w:ascii="Verdana" w:hAnsi="Verdana" w:cs="Arial"/>
          <w:sz w:val="20"/>
          <w:szCs w:val="20"/>
          <w:lang w:val="es-MX"/>
        </w:rPr>
        <w:t>, en un plazo razonable,</w:t>
      </w:r>
      <w:r w:rsidRPr="0019593B">
        <w:rPr>
          <w:rFonts w:ascii="Verdana" w:hAnsi="Verdana" w:cs="Arial"/>
          <w:sz w:val="20"/>
          <w:szCs w:val="20"/>
          <w:lang w:val="es-MX"/>
        </w:rPr>
        <w:t xml:space="preserve"> la Asamblea Legislativa </w:t>
      </w:r>
      <w:r w:rsidR="001D29E4" w:rsidRPr="0019593B">
        <w:rPr>
          <w:rFonts w:ascii="Verdana" w:hAnsi="Verdana" w:cs="Arial"/>
          <w:sz w:val="20"/>
          <w:szCs w:val="20"/>
          <w:lang w:val="es-MX"/>
        </w:rPr>
        <w:t>de El Salvador debía:</w:t>
      </w:r>
    </w:p>
    <w:p w14:paraId="05956AE2" w14:textId="099559BE" w:rsidR="00C56B00" w:rsidRDefault="00C56B00" w:rsidP="00C56B00">
      <w:pPr>
        <w:pStyle w:val="Prrafodelista"/>
        <w:tabs>
          <w:tab w:val="left" w:pos="720"/>
        </w:tabs>
        <w:autoSpaceDE w:val="0"/>
        <w:autoSpaceDN w:val="0"/>
        <w:adjustRightInd w:val="0"/>
        <w:spacing w:before="120" w:after="120" w:line="240" w:lineRule="auto"/>
        <w:ind w:left="709" w:right="713"/>
        <w:contextualSpacing w:val="0"/>
        <w:jc w:val="both"/>
        <w:rPr>
          <w:rFonts w:ascii="Verdana" w:hAnsi="Verdana"/>
          <w:sz w:val="16"/>
          <w:szCs w:val="16"/>
        </w:rPr>
      </w:pPr>
      <w:r w:rsidRPr="0019593B">
        <w:rPr>
          <w:rFonts w:ascii="Verdana" w:hAnsi="Verdana"/>
          <w:sz w:val="16"/>
          <w:szCs w:val="16"/>
        </w:rPr>
        <w:t xml:space="preserve">[…] (i) </w:t>
      </w:r>
      <w:r w:rsidR="001D29E4" w:rsidRPr="0019593B">
        <w:rPr>
          <w:rFonts w:ascii="Verdana" w:hAnsi="Verdana"/>
          <w:sz w:val="16"/>
          <w:szCs w:val="16"/>
        </w:rPr>
        <w:t>regular los medios para garantizar el acceso a la información pública sobre los hechos y sus circunstancias relacionadas con crímenes de lesa humanidad y crímenes de guerra constitutivos de graves violaciones al D[erecho Internacional Humanitario], ocurridos durante el conflicto armado y atribuidos a ambas partes; (ii) disponer de los recursos adecuados para responder en menor tiempo posible, a las exigencias de las víctimas y sus familiares y de la sociedad salvadoreña</w:t>
      </w:r>
      <w:r w:rsidR="0019593B" w:rsidRPr="0019593B">
        <w:rPr>
          <w:rFonts w:ascii="Verdana" w:hAnsi="Verdana"/>
          <w:sz w:val="16"/>
          <w:szCs w:val="16"/>
        </w:rPr>
        <w:t xml:space="preserve">, respecto de las investigaciones, el enjuiciamiento, el esclarecimiento de la verdad y la sanción a los responsables de crímenes de lesa humanidad y crímenes de guerra constitutivos de graves violaciones al D[erecho Internacional Humanitario], ocurridos durante el conflicto armado y atribuidos a ambas partes; y (iii) considerar las medidas de reparación integral a las víctimas que fueran necesarias para su satisfacción, compensación y reivindicación, así como las medidas de no repetición de los crímenes de lesa humanidad y crímenes de guerra constitutivos de graves violaciones al D[erecho Internacional Humanitario], tomando en cuenta los parámetros de [esa] sentencia y los estándares de la justicia transicional desarrollados </w:t>
      </w:r>
      <w:r w:rsidR="0019593B">
        <w:rPr>
          <w:rFonts w:ascii="Verdana" w:hAnsi="Verdana"/>
          <w:sz w:val="16"/>
          <w:szCs w:val="16"/>
        </w:rPr>
        <w:t>fundamentalmente en la jurisprudencia de la Corte Interamericana de Derechos Humanos</w:t>
      </w:r>
      <w:r w:rsidR="0019593B">
        <w:rPr>
          <w:rStyle w:val="Refdenotaalpie"/>
          <w:rFonts w:ascii="Verdana" w:hAnsi="Verdana"/>
          <w:sz w:val="16"/>
          <w:szCs w:val="16"/>
        </w:rPr>
        <w:footnoteReference w:id="12"/>
      </w:r>
      <w:r w:rsidR="0019593B">
        <w:rPr>
          <w:rFonts w:ascii="Verdana" w:hAnsi="Verdana"/>
          <w:sz w:val="16"/>
          <w:szCs w:val="16"/>
        </w:rPr>
        <w:t>.</w:t>
      </w:r>
    </w:p>
    <w:p w14:paraId="3E991C12" w14:textId="77777777" w:rsidR="00D123FC" w:rsidRPr="00D123FC" w:rsidRDefault="00D123FC" w:rsidP="00D123FC">
      <w:pPr>
        <w:tabs>
          <w:tab w:val="left" w:pos="720"/>
        </w:tabs>
        <w:autoSpaceDE w:val="0"/>
        <w:autoSpaceDN w:val="0"/>
        <w:adjustRightInd w:val="0"/>
        <w:spacing w:before="120" w:after="120" w:line="240" w:lineRule="auto"/>
        <w:ind w:right="713"/>
        <w:jc w:val="both"/>
        <w:rPr>
          <w:rFonts w:ascii="Verdana" w:hAnsi="Verdana"/>
          <w:sz w:val="4"/>
          <w:szCs w:val="4"/>
        </w:rPr>
      </w:pPr>
    </w:p>
    <w:p w14:paraId="61D4365B" w14:textId="11BE0809" w:rsidR="00F33802" w:rsidRDefault="00F33802" w:rsidP="00841CDF">
      <w:pPr>
        <w:pStyle w:val="Prrafodelista"/>
        <w:numPr>
          <w:ilvl w:val="0"/>
          <w:numId w:val="35"/>
        </w:numPr>
        <w:tabs>
          <w:tab w:val="left" w:pos="0"/>
        </w:tabs>
        <w:autoSpaceDE w:val="0"/>
        <w:autoSpaceDN w:val="0"/>
        <w:adjustRightInd w:val="0"/>
        <w:spacing w:before="120" w:after="120" w:line="240" w:lineRule="auto"/>
        <w:ind w:left="0" w:right="96" w:firstLine="0"/>
        <w:contextualSpacing w:val="0"/>
        <w:jc w:val="both"/>
        <w:rPr>
          <w:rFonts w:ascii="Verdana" w:hAnsi="Verdana" w:cs="Arial"/>
          <w:sz w:val="20"/>
          <w:szCs w:val="20"/>
          <w:lang w:val="es-MX"/>
        </w:rPr>
      </w:pPr>
      <w:r>
        <w:rPr>
          <w:rFonts w:ascii="Verdana" w:hAnsi="Verdana" w:cs="Arial"/>
          <w:sz w:val="20"/>
          <w:szCs w:val="20"/>
          <w:lang w:val="es-MX"/>
        </w:rPr>
        <w:t>Adicionalmente, al referirse a los “[c]asos excluidos de la amnistía”, la Sala de lo Constitucional indicó en la referida Sentencia que consideraba “necesario establecer que, para los efectos de esta sentencia, se entenderá que los hechos que quedan excluidos de la amnistía son los atribuidos a ambas partes que puedan ser calificados como crímenes de lesa humanidad y crímenes de guerra constitutivos de graves violaciones al D[erecho Internacional Humanitario]”</w:t>
      </w:r>
      <w:r>
        <w:rPr>
          <w:rStyle w:val="Refdenotaalpie"/>
          <w:rFonts w:ascii="Verdana" w:hAnsi="Verdana" w:cs="Arial"/>
          <w:sz w:val="20"/>
          <w:szCs w:val="20"/>
          <w:lang w:val="es-MX"/>
        </w:rPr>
        <w:footnoteReference w:id="13"/>
      </w:r>
      <w:r>
        <w:rPr>
          <w:rFonts w:ascii="Verdana" w:hAnsi="Verdana" w:cs="Arial"/>
          <w:sz w:val="20"/>
          <w:szCs w:val="20"/>
          <w:lang w:val="es-MX"/>
        </w:rPr>
        <w:t>.</w:t>
      </w:r>
    </w:p>
    <w:p w14:paraId="589C7710" w14:textId="1B310043" w:rsidR="00841CDF" w:rsidRPr="00841CDF" w:rsidRDefault="00FF74B4" w:rsidP="00841CDF">
      <w:pPr>
        <w:pStyle w:val="Prrafodelista"/>
        <w:numPr>
          <w:ilvl w:val="0"/>
          <w:numId w:val="35"/>
        </w:numPr>
        <w:tabs>
          <w:tab w:val="left" w:pos="0"/>
        </w:tabs>
        <w:autoSpaceDE w:val="0"/>
        <w:autoSpaceDN w:val="0"/>
        <w:adjustRightInd w:val="0"/>
        <w:spacing w:before="120" w:after="120" w:line="240" w:lineRule="auto"/>
        <w:ind w:left="0" w:right="96" w:firstLine="0"/>
        <w:contextualSpacing w:val="0"/>
        <w:jc w:val="both"/>
        <w:rPr>
          <w:rFonts w:ascii="Verdana" w:hAnsi="Verdana" w:cs="Arial"/>
          <w:sz w:val="20"/>
          <w:szCs w:val="20"/>
          <w:lang w:val="es-MX"/>
        </w:rPr>
      </w:pPr>
      <w:r>
        <w:rPr>
          <w:rFonts w:ascii="Verdana" w:hAnsi="Verdana" w:cs="Arial"/>
          <w:sz w:val="20"/>
          <w:szCs w:val="20"/>
          <w:lang w:val="es-MX"/>
        </w:rPr>
        <w:t>L</w:t>
      </w:r>
      <w:r w:rsidR="00710033" w:rsidRPr="00FF74B4">
        <w:rPr>
          <w:rFonts w:ascii="Verdana" w:hAnsi="Verdana" w:cs="Arial"/>
          <w:sz w:val="20"/>
          <w:szCs w:val="20"/>
          <w:lang w:val="es-MX"/>
        </w:rPr>
        <w:t>a solicitud de medidas provisionales presentada por los re</w:t>
      </w:r>
      <w:r w:rsidR="0019593B">
        <w:rPr>
          <w:rFonts w:ascii="Verdana" w:hAnsi="Verdana" w:cs="Arial"/>
          <w:sz w:val="20"/>
          <w:szCs w:val="20"/>
          <w:lang w:val="es-MX"/>
        </w:rPr>
        <w:t xml:space="preserve">presentantes de las víctimas del caso </w:t>
      </w:r>
      <w:r w:rsidR="0019593B" w:rsidRPr="0019593B">
        <w:rPr>
          <w:rFonts w:ascii="Verdana" w:hAnsi="Verdana" w:cs="Arial"/>
          <w:i/>
          <w:sz w:val="20"/>
          <w:szCs w:val="20"/>
          <w:lang w:val="es-MX"/>
        </w:rPr>
        <w:t>Masacres de El Mozote y lugares aledaños</w:t>
      </w:r>
      <w:r w:rsidR="0019593B">
        <w:rPr>
          <w:rFonts w:ascii="Verdana" w:hAnsi="Verdana" w:cs="Arial"/>
          <w:sz w:val="20"/>
          <w:szCs w:val="20"/>
          <w:lang w:val="es-MX"/>
        </w:rPr>
        <w:t xml:space="preserve">, </w:t>
      </w:r>
      <w:r w:rsidR="00710033" w:rsidRPr="00FF74B4">
        <w:rPr>
          <w:rFonts w:ascii="Verdana" w:hAnsi="Verdana" w:cs="Arial"/>
          <w:sz w:val="20"/>
          <w:szCs w:val="20"/>
          <w:lang w:val="es-MX"/>
        </w:rPr>
        <w:t xml:space="preserve">que se encuentra actualmente en etapa de supervisión de cumplimiento, </w:t>
      </w:r>
      <w:r w:rsidR="00DB439A" w:rsidRPr="00FF74B4">
        <w:rPr>
          <w:rFonts w:ascii="Verdana" w:hAnsi="Verdana" w:cs="Arial"/>
          <w:sz w:val="20"/>
          <w:szCs w:val="20"/>
          <w:lang w:val="es-MX"/>
        </w:rPr>
        <w:t>se refier</w:t>
      </w:r>
      <w:r w:rsidR="00175CE1">
        <w:rPr>
          <w:rFonts w:ascii="Verdana" w:hAnsi="Verdana" w:cs="Arial"/>
          <w:sz w:val="20"/>
          <w:szCs w:val="20"/>
          <w:lang w:val="es-MX"/>
        </w:rPr>
        <w:t>e</w:t>
      </w:r>
      <w:r w:rsidR="00DB439A" w:rsidRPr="00FF74B4">
        <w:rPr>
          <w:rFonts w:ascii="Verdana" w:hAnsi="Verdana" w:cs="Arial"/>
          <w:sz w:val="20"/>
          <w:szCs w:val="20"/>
          <w:lang w:val="es-MX"/>
        </w:rPr>
        <w:t xml:space="preserve"> al alegado “riesgo de daño irreparable de extrema grave</w:t>
      </w:r>
      <w:r w:rsidR="00175CE1">
        <w:rPr>
          <w:rFonts w:ascii="Verdana" w:hAnsi="Verdana" w:cs="Arial"/>
          <w:sz w:val="20"/>
          <w:szCs w:val="20"/>
          <w:lang w:val="es-MX"/>
        </w:rPr>
        <w:t>d</w:t>
      </w:r>
      <w:r w:rsidR="00DB439A" w:rsidRPr="00FF74B4">
        <w:rPr>
          <w:rFonts w:ascii="Verdana" w:hAnsi="Verdana" w:cs="Arial"/>
          <w:sz w:val="20"/>
          <w:szCs w:val="20"/>
          <w:lang w:val="es-MX"/>
        </w:rPr>
        <w:t>ad y urgencia de que el derecho de acceso a la justicia de las víctimas de la</w:t>
      </w:r>
      <w:r w:rsidR="00506EF3">
        <w:rPr>
          <w:rFonts w:ascii="Verdana" w:hAnsi="Verdana" w:cs="Arial"/>
          <w:sz w:val="20"/>
          <w:szCs w:val="20"/>
          <w:lang w:val="es-MX"/>
        </w:rPr>
        <w:t>[s]</w:t>
      </w:r>
      <w:r w:rsidR="00DB439A" w:rsidRPr="00FF74B4">
        <w:rPr>
          <w:rFonts w:ascii="Verdana" w:hAnsi="Verdana" w:cs="Arial"/>
          <w:sz w:val="20"/>
          <w:szCs w:val="20"/>
          <w:lang w:val="es-MX"/>
        </w:rPr>
        <w:t xml:space="preserve"> Masacre</w:t>
      </w:r>
      <w:r w:rsidR="00506EF3">
        <w:rPr>
          <w:rFonts w:ascii="Verdana" w:hAnsi="Verdana" w:cs="Arial"/>
          <w:sz w:val="20"/>
          <w:szCs w:val="20"/>
          <w:lang w:val="es-MX"/>
        </w:rPr>
        <w:t>[s]</w:t>
      </w:r>
      <w:r w:rsidR="00DB439A" w:rsidRPr="00FF74B4">
        <w:rPr>
          <w:rFonts w:ascii="Verdana" w:hAnsi="Verdana" w:cs="Arial"/>
          <w:sz w:val="20"/>
          <w:szCs w:val="20"/>
          <w:lang w:val="es-MX"/>
        </w:rPr>
        <w:t xml:space="preserve"> de El Mozote y lugares aledaños y de las víctimas de violaciones a derechos humanos del conflicto armado en su conjunto sea violado”</w:t>
      </w:r>
      <w:r w:rsidR="00CF6F09">
        <w:rPr>
          <w:rFonts w:ascii="Verdana" w:hAnsi="Verdana" w:cs="Arial"/>
          <w:sz w:val="20"/>
          <w:szCs w:val="20"/>
          <w:lang w:val="es-MX"/>
        </w:rPr>
        <w:t>,</w:t>
      </w:r>
      <w:r w:rsidR="00DB439A" w:rsidRPr="00FF74B4">
        <w:rPr>
          <w:rFonts w:ascii="Verdana" w:hAnsi="Verdana" w:cs="Arial"/>
          <w:sz w:val="20"/>
          <w:szCs w:val="20"/>
          <w:lang w:val="es-MX"/>
        </w:rPr>
        <w:t xml:space="preserve"> </w:t>
      </w:r>
      <w:r w:rsidR="00CF6F09">
        <w:rPr>
          <w:rFonts w:ascii="Verdana" w:hAnsi="Verdana" w:cs="Arial"/>
          <w:sz w:val="20"/>
          <w:szCs w:val="20"/>
          <w:lang w:val="es-MX"/>
        </w:rPr>
        <w:t>debido a</w:t>
      </w:r>
      <w:r w:rsidR="00DB439A" w:rsidRPr="00FF74B4">
        <w:rPr>
          <w:rFonts w:ascii="Verdana" w:hAnsi="Verdana" w:cs="Arial"/>
          <w:sz w:val="20"/>
          <w:szCs w:val="20"/>
          <w:lang w:val="es-MX"/>
        </w:rPr>
        <w:t xml:space="preserve"> la</w:t>
      </w:r>
      <w:r w:rsidR="005B4879" w:rsidRPr="00FF74B4">
        <w:rPr>
          <w:rFonts w:ascii="Verdana" w:hAnsi="Verdana" w:cs="Arial"/>
          <w:sz w:val="20"/>
          <w:szCs w:val="20"/>
          <w:lang w:val="es-MX"/>
        </w:rPr>
        <w:t xml:space="preserve"> “inminente</w:t>
      </w:r>
      <w:r w:rsidR="00DB439A" w:rsidRPr="00FF74B4">
        <w:rPr>
          <w:rFonts w:ascii="Verdana" w:hAnsi="Verdana" w:cs="Arial"/>
          <w:sz w:val="20"/>
          <w:szCs w:val="20"/>
          <w:lang w:val="es-MX"/>
        </w:rPr>
        <w:t xml:space="preserve"> aprobación</w:t>
      </w:r>
      <w:r w:rsidR="005B4879" w:rsidRPr="00FF74B4">
        <w:rPr>
          <w:rFonts w:ascii="Verdana" w:hAnsi="Verdana" w:cs="Arial"/>
          <w:sz w:val="20"/>
          <w:szCs w:val="20"/>
          <w:lang w:val="es-MX"/>
        </w:rPr>
        <w:t>”</w:t>
      </w:r>
      <w:r w:rsidR="00DB439A" w:rsidRPr="00FF74B4">
        <w:rPr>
          <w:rFonts w:ascii="Verdana" w:hAnsi="Verdana" w:cs="Arial"/>
          <w:sz w:val="20"/>
          <w:szCs w:val="20"/>
          <w:lang w:val="es-MX"/>
        </w:rPr>
        <w:t xml:space="preserve"> de</w:t>
      </w:r>
      <w:r w:rsidR="005B4879" w:rsidRPr="00FF74B4">
        <w:rPr>
          <w:rFonts w:ascii="Verdana" w:hAnsi="Verdana" w:cs="Arial"/>
          <w:sz w:val="20"/>
          <w:szCs w:val="20"/>
          <w:lang w:val="es-MX"/>
        </w:rPr>
        <w:t>l “proyecto de Ley Especial de Justicia Transicional y Restaurativa para la Reconciliación Nacional”</w:t>
      </w:r>
      <w:bookmarkEnd w:id="5"/>
      <w:r w:rsidR="0014437F" w:rsidRPr="00FF74B4">
        <w:rPr>
          <w:rFonts w:ascii="Verdana" w:hAnsi="Verdana"/>
          <w:sz w:val="20"/>
          <w:szCs w:val="20"/>
        </w:rPr>
        <w:t xml:space="preserve"> </w:t>
      </w:r>
      <w:r w:rsidR="005D1A9E">
        <w:rPr>
          <w:rFonts w:ascii="Verdana" w:hAnsi="Verdana"/>
          <w:sz w:val="20"/>
          <w:szCs w:val="20"/>
        </w:rPr>
        <w:t>(en adelante también “iniciativa de Ley de Reconciliación Nacional”)</w:t>
      </w:r>
      <w:r w:rsidR="0014437F" w:rsidRPr="00FF74B4">
        <w:rPr>
          <w:rFonts w:ascii="Verdana" w:hAnsi="Verdana"/>
          <w:sz w:val="20"/>
          <w:szCs w:val="20"/>
        </w:rPr>
        <w:t>.</w:t>
      </w:r>
      <w:r w:rsidR="007D5468">
        <w:rPr>
          <w:rFonts w:ascii="Verdana" w:hAnsi="Verdana"/>
          <w:sz w:val="20"/>
          <w:szCs w:val="20"/>
        </w:rPr>
        <w:t xml:space="preserve"> </w:t>
      </w:r>
      <w:r w:rsidR="00F25FE1" w:rsidRPr="00F25FE1">
        <w:rPr>
          <w:rFonts w:ascii="Verdana" w:hAnsi="Verdana"/>
          <w:sz w:val="20"/>
          <w:szCs w:val="20"/>
        </w:rPr>
        <w:t>Según lo indicado por el Estado y la exposición de motivos del proyecto de ley, el trámite de este último</w:t>
      </w:r>
      <w:r w:rsidR="007D5468" w:rsidRPr="00F25FE1">
        <w:rPr>
          <w:rFonts w:ascii="Verdana" w:hAnsi="Verdana"/>
          <w:sz w:val="20"/>
          <w:szCs w:val="20"/>
        </w:rPr>
        <w:t xml:space="preserve"> se estaría llevando a cabo </w:t>
      </w:r>
      <w:r w:rsidR="00F25FE1" w:rsidRPr="00F25FE1">
        <w:rPr>
          <w:rFonts w:ascii="Verdana" w:hAnsi="Verdana"/>
          <w:sz w:val="20"/>
          <w:szCs w:val="20"/>
        </w:rPr>
        <w:t>“para el</w:t>
      </w:r>
      <w:r w:rsidR="007D5468" w:rsidRPr="00F25FE1">
        <w:rPr>
          <w:rFonts w:ascii="Verdana" w:hAnsi="Verdana"/>
          <w:sz w:val="20"/>
          <w:szCs w:val="20"/>
        </w:rPr>
        <w:t xml:space="preserve"> cumplimiento </w:t>
      </w:r>
      <w:r w:rsidR="00F25FE1" w:rsidRPr="00F25FE1">
        <w:rPr>
          <w:rFonts w:ascii="Verdana" w:hAnsi="Verdana"/>
          <w:sz w:val="20"/>
          <w:szCs w:val="20"/>
        </w:rPr>
        <w:t>de la […] sentencia</w:t>
      </w:r>
      <w:r w:rsidR="007D5468" w:rsidRPr="00F25FE1">
        <w:rPr>
          <w:rFonts w:ascii="Verdana" w:hAnsi="Verdana"/>
          <w:sz w:val="20"/>
          <w:szCs w:val="20"/>
        </w:rPr>
        <w:t xml:space="preserve"> </w:t>
      </w:r>
      <w:r w:rsidR="00F25FE1" w:rsidRPr="00F25FE1">
        <w:rPr>
          <w:rFonts w:ascii="Verdana" w:hAnsi="Verdana"/>
          <w:sz w:val="20"/>
          <w:szCs w:val="20"/>
        </w:rPr>
        <w:t xml:space="preserve">[de </w:t>
      </w:r>
      <w:r w:rsidR="007D5468" w:rsidRPr="00F25FE1">
        <w:rPr>
          <w:rFonts w:ascii="Verdana" w:hAnsi="Verdana"/>
          <w:sz w:val="20"/>
          <w:szCs w:val="20"/>
        </w:rPr>
        <w:t>la Sala de lo Constitucional de julio de 2016</w:t>
      </w:r>
      <w:r w:rsidR="00F25FE1" w:rsidRPr="00F25FE1">
        <w:rPr>
          <w:rFonts w:ascii="Verdana" w:hAnsi="Verdana"/>
          <w:sz w:val="20"/>
          <w:szCs w:val="20"/>
        </w:rPr>
        <w:t>]”</w:t>
      </w:r>
      <w:r w:rsidR="00BF424C">
        <w:rPr>
          <w:rFonts w:ascii="Verdana" w:hAnsi="Verdana"/>
          <w:sz w:val="20"/>
          <w:szCs w:val="20"/>
        </w:rPr>
        <w:t>.</w:t>
      </w:r>
      <w:r w:rsidR="007D5468">
        <w:rPr>
          <w:rFonts w:ascii="Verdana" w:hAnsi="Verdana"/>
          <w:sz w:val="20"/>
          <w:szCs w:val="20"/>
        </w:rPr>
        <w:t xml:space="preserve"> </w:t>
      </w:r>
    </w:p>
    <w:p w14:paraId="543AA583" w14:textId="77777777" w:rsidR="00841CDF" w:rsidRPr="00841CDF" w:rsidRDefault="005F37F1" w:rsidP="00841CDF">
      <w:pPr>
        <w:pStyle w:val="Prrafodelista"/>
        <w:numPr>
          <w:ilvl w:val="0"/>
          <w:numId w:val="35"/>
        </w:numPr>
        <w:tabs>
          <w:tab w:val="left" w:pos="0"/>
        </w:tabs>
        <w:autoSpaceDE w:val="0"/>
        <w:autoSpaceDN w:val="0"/>
        <w:adjustRightInd w:val="0"/>
        <w:spacing w:before="120" w:after="120" w:line="240" w:lineRule="auto"/>
        <w:ind w:left="0" w:right="96" w:firstLine="0"/>
        <w:contextualSpacing w:val="0"/>
        <w:jc w:val="both"/>
        <w:rPr>
          <w:rFonts w:ascii="Verdana" w:hAnsi="Verdana" w:cs="Arial"/>
          <w:sz w:val="20"/>
          <w:szCs w:val="20"/>
          <w:lang w:val="es-MX"/>
        </w:rPr>
      </w:pPr>
      <w:r w:rsidRPr="00841CDF">
        <w:rPr>
          <w:rFonts w:ascii="Verdana" w:hAnsi="Verdana"/>
          <w:sz w:val="20"/>
          <w:szCs w:val="20"/>
        </w:rPr>
        <w:t xml:space="preserve">El artículo 63.2 de la Convención Americana sobre Derechos Humanos (en adelante “la Convención” o “la Convención Americana”) dispone, en lo relevante, que “[e]n casos de extrema gravedad y urgencia, y cuando se haga necesario evitar daños irreparables a las personas, la Corte, en los asuntos que esté conociendo, podrá tomar las medidas provisionales que considere pertinentes”. </w:t>
      </w:r>
      <w:bookmarkStart w:id="6" w:name="_Ref3291966"/>
    </w:p>
    <w:p w14:paraId="01CE4DB8" w14:textId="77777777" w:rsidR="00841CDF" w:rsidRPr="00841CDF" w:rsidRDefault="005F37F1" w:rsidP="00841CDF">
      <w:pPr>
        <w:pStyle w:val="Prrafodelista"/>
        <w:numPr>
          <w:ilvl w:val="0"/>
          <w:numId w:val="35"/>
        </w:numPr>
        <w:tabs>
          <w:tab w:val="left" w:pos="0"/>
        </w:tabs>
        <w:autoSpaceDE w:val="0"/>
        <w:autoSpaceDN w:val="0"/>
        <w:adjustRightInd w:val="0"/>
        <w:spacing w:before="120" w:after="120" w:line="240" w:lineRule="auto"/>
        <w:ind w:left="0" w:right="96" w:firstLine="0"/>
        <w:contextualSpacing w:val="0"/>
        <w:jc w:val="both"/>
        <w:rPr>
          <w:rFonts w:ascii="Verdana" w:hAnsi="Verdana" w:cs="Arial"/>
          <w:sz w:val="20"/>
          <w:szCs w:val="20"/>
          <w:lang w:val="es-MX"/>
        </w:rPr>
      </w:pPr>
      <w:r w:rsidRPr="00841CDF">
        <w:rPr>
          <w:rFonts w:ascii="Verdana" w:hAnsi="Verdana"/>
          <w:sz w:val="20"/>
          <w:szCs w:val="20"/>
        </w:rPr>
        <w:t xml:space="preserve">Asimismo, el artículo 27.3 del Reglamento del Tribunal establece que “[e]n los casos contenciosos que se encuentren en conocimiento de la Corte, las víctimas o las presuntas víctimas, o sus representantes, podrán presentar directamente a ésta una solicitud de </w:t>
      </w:r>
      <w:r w:rsidRPr="00841CDF">
        <w:rPr>
          <w:rFonts w:ascii="Verdana" w:hAnsi="Verdana"/>
          <w:sz w:val="20"/>
          <w:szCs w:val="20"/>
        </w:rPr>
        <w:lastRenderedPageBreak/>
        <w:t xml:space="preserve">medidas provisionales, las que deberán tener relación con el objeto del caso”. </w:t>
      </w:r>
      <w:r w:rsidR="00090FD3" w:rsidRPr="00841CDF">
        <w:rPr>
          <w:rFonts w:ascii="Verdana" w:hAnsi="Verdana" w:cs="Arial"/>
          <w:sz w:val="20"/>
          <w:szCs w:val="20"/>
          <w:lang w:val="es-PR"/>
        </w:rPr>
        <w:t>Asimismo, el artículo 27.6 del Reglamento establece que “</w:t>
      </w:r>
      <w:r w:rsidR="0014437F" w:rsidRPr="00841CDF">
        <w:rPr>
          <w:rFonts w:ascii="Verdana" w:hAnsi="Verdana" w:cs="Arial"/>
          <w:sz w:val="20"/>
          <w:szCs w:val="20"/>
          <w:lang w:val="es-PR"/>
        </w:rPr>
        <w:t>[</w:t>
      </w:r>
      <w:r w:rsidR="00090FD3" w:rsidRPr="00841CDF">
        <w:rPr>
          <w:rFonts w:ascii="Verdana" w:hAnsi="Verdana" w:cs="Arial"/>
          <w:sz w:val="20"/>
          <w:szCs w:val="20"/>
          <w:lang w:val="es-PR"/>
        </w:rPr>
        <w:t>s</w:t>
      </w:r>
      <w:r w:rsidR="0014437F" w:rsidRPr="00841CDF">
        <w:rPr>
          <w:rFonts w:ascii="Verdana" w:hAnsi="Verdana" w:cs="Arial"/>
          <w:sz w:val="20"/>
          <w:szCs w:val="20"/>
          <w:lang w:val="es-PR"/>
        </w:rPr>
        <w:t>]</w:t>
      </w:r>
      <w:r w:rsidR="00090FD3" w:rsidRPr="00841CDF">
        <w:rPr>
          <w:rFonts w:ascii="Verdana" w:hAnsi="Verdana" w:cs="Arial"/>
          <w:sz w:val="20"/>
          <w:szCs w:val="20"/>
          <w:lang w:val="es-PR"/>
        </w:rPr>
        <w:t>i la Corte no estuviere reunida, la Presidencia, en consulta con la Comisión Permanente y, de ser posible, con los demás Jueces, requerirá del Estado respectivo que dicte las providencias urgentes necesarias a fin de asegurar la eficacia de las medidas provisionales que después pueda tomar la Corte en su próximo período de sesiones”.</w:t>
      </w:r>
      <w:bookmarkEnd w:id="6"/>
    </w:p>
    <w:p w14:paraId="6F703EBB" w14:textId="62883654" w:rsidR="000A60EA" w:rsidRPr="004A11E5" w:rsidRDefault="00D0601C" w:rsidP="00841CDF">
      <w:pPr>
        <w:pStyle w:val="Prrafodelista"/>
        <w:numPr>
          <w:ilvl w:val="0"/>
          <w:numId w:val="35"/>
        </w:numPr>
        <w:tabs>
          <w:tab w:val="left" w:pos="0"/>
        </w:tabs>
        <w:autoSpaceDE w:val="0"/>
        <w:autoSpaceDN w:val="0"/>
        <w:adjustRightInd w:val="0"/>
        <w:spacing w:before="120" w:after="120" w:line="240" w:lineRule="auto"/>
        <w:ind w:left="0" w:right="96" w:firstLine="0"/>
        <w:contextualSpacing w:val="0"/>
        <w:jc w:val="both"/>
        <w:rPr>
          <w:rFonts w:ascii="Verdana" w:hAnsi="Verdana" w:cs="Arial"/>
          <w:sz w:val="20"/>
          <w:szCs w:val="20"/>
          <w:lang w:val="es-MX"/>
        </w:rPr>
      </w:pPr>
      <w:r w:rsidRPr="00841CDF">
        <w:rPr>
          <w:rFonts w:ascii="Verdana" w:hAnsi="Verdana"/>
          <w:sz w:val="20"/>
          <w:szCs w:val="20"/>
        </w:rPr>
        <w:t>En el Derecho Internacional de los Derechos Humanos las medidas provisionales tienen un carácter no sólo cautelar, en el sentido de que preservan una situación jurídica, sino fundamentalmente tutelar, por cuanto protegen derechos humanos, en tanto que buscan evitar daños irreparables a las personas. Éstas se aplican siempre y cuando se reúnan los requisitos básicos de extrema gravedad y urgencia y de la prevención de daños irreparables a las personas. De esta manera, las medidas provisionales se transforman en una verdadera garantía jurisdiccional de carácter preventivo</w:t>
      </w:r>
      <w:r>
        <w:rPr>
          <w:rStyle w:val="Refdenotaalpie"/>
          <w:rFonts w:ascii="Verdana" w:hAnsi="Verdana"/>
          <w:sz w:val="20"/>
          <w:szCs w:val="20"/>
        </w:rPr>
        <w:footnoteReference w:id="14"/>
      </w:r>
      <w:r w:rsidRPr="00841CDF">
        <w:rPr>
          <w:rFonts w:ascii="Verdana" w:hAnsi="Verdana"/>
          <w:sz w:val="20"/>
          <w:szCs w:val="20"/>
        </w:rPr>
        <w:t>.</w:t>
      </w:r>
      <w:bookmarkStart w:id="7" w:name="_Ref3290770"/>
    </w:p>
    <w:p w14:paraId="46457F6C" w14:textId="77777777" w:rsidR="00953771" w:rsidRPr="00F03A4C" w:rsidRDefault="00953771" w:rsidP="004A11E5">
      <w:pPr>
        <w:pStyle w:val="Prrafodelista"/>
        <w:tabs>
          <w:tab w:val="left" w:pos="0"/>
        </w:tabs>
        <w:autoSpaceDE w:val="0"/>
        <w:autoSpaceDN w:val="0"/>
        <w:adjustRightInd w:val="0"/>
        <w:spacing w:before="120" w:after="120" w:line="240" w:lineRule="auto"/>
        <w:ind w:left="0" w:right="96"/>
        <w:contextualSpacing w:val="0"/>
        <w:jc w:val="both"/>
        <w:rPr>
          <w:rFonts w:ascii="Verdana" w:hAnsi="Verdana" w:cs="Arial"/>
          <w:sz w:val="20"/>
          <w:szCs w:val="20"/>
          <w:lang w:val="es-MX"/>
        </w:rPr>
      </w:pPr>
    </w:p>
    <w:p w14:paraId="1B30F9BB" w14:textId="77777777" w:rsidR="000A60EA" w:rsidRPr="002633AB" w:rsidRDefault="000A60EA" w:rsidP="000A60EA">
      <w:pPr>
        <w:pStyle w:val="Prrafodelista"/>
        <w:numPr>
          <w:ilvl w:val="0"/>
          <w:numId w:val="3"/>
        </w:numPr>
        <w:autoSpaceDE w:val="0"/>
        <w:autoSpaceDN w:val="0"/>
        <w:adjustRightInd w:val="0"/>
        <w:spacing w:before="120" w:after="120" w:line="240" w:lineRule="auto"/>
        <w:contextualSpacing w:val="0"/>
        <w:jc w:val="both"/>
        <w:rPr>
          <w:rFonts w:ascii="Verdana" w:hAnsi="Verdana"/>
          <w:b/>
          <w:sz w:val="20"/>
          <w:szCs w:val="20"/>
        </w:rPr>
      </w:pPr>
      <w:r w:rsidRPr="002633AB">
        <w:rPr>
          <w:rFonts w:ascii="Verdana" w:hAnsi="Verdana"/>
          <w:b/>
          <w:sz w:val="20"/>
          <w:szCs w:val="20"/>
        </w:rPr>
        <w:t>Solicitud presentada por las representantes de las víctimas</w:t>
      </w:r>
    </w:p>
    <w:p w14:paraId="7E598D09" w14:textId="31BFAC78" w:rsidR="00303995" w:rsidRPr="002633AB" w:rsidRDefault="0039265E" w:rsidP="00841CDF">
      <w:pPr>
        <w:pStyle w:val="Prrafodelista"/>
        <w:numPr>
          <w:ilvl w:val="0"/>
          <w:numId w:val="35"/>
        </w:numPr>
        <w:tabs>
          <w:tab w:val="left" w:pos="0"/>
        </w:tabs>
        <w:autoSpaceDE w:val="0"/>
        <w:autoSpaceDN w:val="0"/>
        <w:adjustRightInd w:val="0"/>
        <w:spacing w:before="120" w:after="120" w:line="240" w:lineRule="auto"/>
        <w:ind w:left="0" w:right="99" w:firstLine="0"/>
        <w:contextualSpacing w:val="0"/>
        <w:jc w:val="both"/>
        <w:rPr>
          <w:rFonts w:ascii="Verdana" w:hAnsi="Verdana" w:cs="Arial"/>
          <w:sz w:val="20"/>
          <w:szCs w:val="20"/>
          <w:lang w:val="es-MX"/>
        </w:rPr>
      </w:pPr>
      <w:r w:rsidRPr="002633AB">
        <w:rPr>
          <w:rFonts w:ascii="Verdana" w:hAnsi="Verdana"/>
          <w:sz w:val="20"/>
          <w:szCs w:val="20"/>
        </w:rPr>
        <w:t xml:space="preserve">En el escrito de solicitud de medidas provisionales </w:t>
      </w:r>
      <w:r w:rsidR="00FF74B4" w:rsidRPr="002633AB">
        <w:rPr>
          <w:rFonts w:ascii="Verdana" w:hAnsi="Verdana"/>
          <w:sz w:val="20"/>
          <w:szCs w:val="20"/>
        </w:rPr>
        <w:t xml:space="preserve">de 24 de mayo de 2019 </w:t>
      </w:r>
      <w:r w:rsidRPr="002633AB">
        <w:rPr>
          <w:rFonts w:ascii="Verdana" w:hAnsi="Verdana"/>
          <w:sz w:val="20"/>
          <w:szCs w:val="20"/>
        </w:rPr>
        <w:t>(</w:t>
      </w:r>
      <w:r w:rsidRPr="002633AB">
        <w:rPr>
          <w:rFonts w:ascii="Verdana" w:hAnsi="Verdana"/>
          <w:i/>
          <w:sz w:val="20"/>
          <w:szCs w:val="20"/>
        </w:rPr>
        <w:t xml:space="preserve">supra </w:t>
      </w:r>
      <w:r w:rsidRPr="002633AB">
        <w:rPr>
          <w:rFonts w:ascii="Verdana" w:hAnsi="Verdana"/>
          <w:sz w:val="20"/>
          <w:szCs w:val="20"/>
        </w:rPr>
        <w:t xml:space="preserve">Visto </w:t>
      </w:r>
      <w:r w:rsidR="00CD21F0">
        <w:rPr>
          <w:rFonts w:ascii="Verdana" w:hAnsi="Verdana"/>
          <w:sz w:val="20"/>
          <w:szCs w:val="20"/>
        </w:rPr>
        <w:t>8</w:t>
      </w:r>
      <w:r w:rsidR="007A62BA" w:rsidRPr="002633AB">
        <w:rPr>
          <w:rFonts w:ascii="Verdana" w:hAnsi="Verdana"/>
          <w:sz w:val="20"/>
          <w:szCs w:val="20"/>
        </w:rPr>
        <w:t>), lo</w:t>
      </w:r>
      <w:r w:rsidRPr="002633AB">
        <w:rPr>
          <w:rFonts w:ascii="Verdana" w:hAnsi="Verdana"/>
          <w:sz w:val="20"/>
          <w:szCs w:val="20"/>
        </w:rPr>
        <w:t xml:space="preserve">s representantes de las víctimas </w:t>
      </w:r>
      <w:r w:rsidR="007A62BA" w:rsidRPr="002633AB">
        <w:rPr>
          <w:rFonts w:ascii="Verdana" w:hAnsi="Verdana"/>
          <w:sz w:val="20"/>
          <w:szCs w:val="20"/>
        </w:rPr>
        <w:t>solicitaron</w:t>
      </w:r>
      <w:r w:rsidRPr="002633AB">
        <w:rPr>
          <w:rFonts w:ascii="Verdana" w:hAnsi="Verdana"/>
          <w:sz w:val="20"/>
          <w:szCs w:val="20"/>
        </w:rPr>
        <w:t xml:space="preserve"> a la Corte</w:t>
      </w:r>
      <w:r w:rsidR="00283261" w:rsidRPr="002633AB">
        <w:rPr>
          <w:rFonts w:ascii="Verdana" w:hAnsi="Verdana"/>
          <w:sz w:val="20"/>
          <w:szCs w:val="20"/>
        </w:rPr>
        <w:t xml:space="preserve"> </w:t>
      </w:r>
      <w:bookmarkEnd w:id="7"/>
      <w:r w:rsidR="007A62BA" w:rsidRPr="002633AB">
        <w:rPr>
          <w:rFonts w:ascii="Verdana" w:hAnsi="Verdana"/>
          <w:sz w:val="20"/>
          <w:szCs w:val="20"/>
        </w:rPr>
        <w:t>que</w:t>
      </w:r>
      <w:r w:rsidR="00830412" w:rsidRPr="002633AB">
        <w:rPr>
          <w:rFonts w:ascii="Verdana" w:hAnsi="Verdana"/>
          <w:sz w:val="20"/>
          <w:szCs w:val="20"/>
        </w:rPr>
        <w:t>:</w:t>
      </w:r>
    </w:p>
    <w:p w14:paraId="28832787" w14:textId="6B734661" w:rsidR="00830412" w:rsidRPr="002633AB" w:rsidRDefault="00830412" w:rsidP="001F1250">
      <w:pPr>
        <w:pStyle w:val="Prrafodelista"/>
        <w:tabs>
          <w:tab w:val="left" w:pos="720"/>
        </w:tabs>
        <w:autoSpaceDE w:val="0"/>
        <w:autoSpaceDN w:val="0"/>
        <w:adjustRightInd w:val="0"/>
        <w:spacing w:before="120" w:after="120" w:line="240" w:lineRule="auto"/>
        <w:ind w:left="709" w:right="713"/>
        <w:contextualSpacing w:val="0"/>
        <w:jc w:val="both"/>
        <w:rPr>
          <w:rFonts w:ascii="Verdana" w:hAnsi="Verdana" w:cs="Arial"/>
          <w:sz w:val="16"/>
          <w:szCs w:val="16"/>
          <w:lang w:val="es-MX"/>
        </w:rPr>
      </w:pPr>
      <w:r w:rsidRPr="002633AB">
        <w:rPr>
          <w:rFonts w:ascii="Verdana" w:hAnsi="Verdana"/>
          <w:sz w:val="16"/>
          <w:szCs w:val="16"/>
        </w:rPr>
        <w:t>[…]</w:t>
      </w:r>
      <w:r w:rsidR="001F1250" w:rsidRPr="002633AB">
        <w:rPr>
          <w:rFonts w:ascii="Verdana" w:hAnsi="Verdana"/>
          <w:sz w:val="16"/>
          <w:szCs w:val="16"/>
        </w:rPr>
        <w:t xml:space="preserve"> </w:t>
      </w:r>
      <w:r w:rsidRPr="002633AB">
        <w:rPr>
          <w:rFonts w:ascii="Verdana" w:hAnsi="Verdana"/>
          <w:sz w:val="16"/>
          <w:szCs w:val="16"/>
        </w:rPr>
        <w:t>Adopte medidas provisionales en favor de las víctimas del caso y ordene al Estado de El Salvador interrumpir el trámite legislativo de la iniciativa de Ley de Reconciliación Nacional en comento y se abstenga de aprobar cualquier normativa similiar.</w:t>
      </w:r>
    </w:p>
    <w:p w14:paraId="06405F1D" w14:textId="02066B54" w:rsidR="00283261" w:rsidRPr="002633AB" w:rsidRDefault="00EA09C3" w:rsidP="00841CDF">
      <w:pPr>
        <w:pStyle w:val="Prrafodelista"/>
        <w:numPr>
          <w:ilvl w:val="0"/>
          <w:numId w:val="35"/>
        </w:numPr>
        <w:autoSpaceDE w:val="0"/>
        <w:autoSpaceDN w:val="0"/>
        <w:adjustRightInd w:val="0"/>
        <w:spacing w:before="120" w:after="120" w:line="240" w:lineRule="auto"/>
        <w:ind w:left="0" w:right="99" w:firstLine="0"/>
        <w:contextualSpacing w:val="0"/>
        <w:jc w:val="both"/>
        <w:rPr>
          <w:rFonts w:ascii="Verdana" w:hAnsi="Verdana" w:cs="Verdana"/>
          <w:sz w:val="20"/>
          <w:szCs w:val="20"/>
        </w:rPr>
      </w:pPr>
      <w:r>
        <w:rPr>
          <w:rFonts w:ascii="Verdana" w:hAnsi="Verdana" w:cs="Verdana"/>
          <w:sz w:val="20"/>
          <w:szCs w:val="20"/>
        </w:rPr>
        <w:t>F</w:t>
      </w:r>
      <w:r w:rsidR="00830412" w:rsidRPr="002633AB">
        <w:rPr>
          <w:rFonts w:ascii="Verdana" w:hAnsi="Verdana" w:cs="Verdana"/>
          <w:sz w:val="20"/>
          <w:szCs w:val="20"/>
        </w:rPr>
        <w:t>undamentaron la referida solicitud en los siguientes hechos y argumentos:</w:t>
      </w:r>
    </w:p>
    <w:p w14:paraId="6A7A491F" w14:textId="7FB193A9" w:rsidR="00D35710" w:rsidRPr="00CD21F0" w:rsidRDefault="00440594" w:rsidP="00FF74B4">
      <w:pPr>
        <w:pStyle w:val="Prrafodelista"/>
        <w:numPr>
          <w:ilvl w:val="1"/>
          <w:numId w:val="4"/>
        </w:numPr>
        <w:autoSpaceDE w:val="0"/>
        <w:autoSpaceDN w:val="0"/>
        <w:adjustRightInd w:val="0"/>
        <w:spacing w:before="120" w:after="120" w:line="240" w:lineRule="auto"/>
        <w:ind w:left="709" w:hanging="425"/>
        <w:contextualSpacing w:val="0"/>
        <w:jc w:val="both"/>
        <w:rPr>
          <w:rFonts w:ascii="Verdana" w:hAnsi="Verdana"/>
          <w:sz w:val="19"/>
          <w:szCs w:val="19"/>
        </w:rPr>
      </w:pPr>
      <w:r w:rsidRPr="00CD21F0">
        <w:rPr>
          <w:rFonts w:ascii="Verdana" w:hAnsi="Verdana"/>
          <w:sz w:val="19"/>
          <w:szCs w:val="19"/>
        </w:rPr>
        <w:t>En la sentencia de la Sala de lo Constitucional de 13 de julio de 2016 (</w:t>
      </w:r>
      <w:r w:rsidRPr="00CD21F0">
        <w:rPr>
          <w:rFonts w:ascii="Verdana" w:hAnsi="Verdana"/>
          <w:i/>
          <w:sz w:val="19"/>
          <w:szCs w:val="19"/>
        </w:rPr>
        <w:t>supra</w:t>
      </w:r>
      <w:r w:rsidRPr="00CD21F0">
        <w:rPr>
          <w:rFonts w:ascii="Verdana" w:hAnsi="Verdana"/>
          <w:sz w:val="19"/>
          <w:szCs w:val="19"/>
        </w:rPr>
        <w:t xml:space="preserve"> Considerando</w:t>
      </w:r>
      <w:r w:rsidR="00CD21F0" w:rsidRPr="00CD21F0">
        <w:rPr>
          <w:rFonts w:ascii="Verdana" w:hAnsi="Verdana"/>
          <w:sz w:val="19"/>
          <w:szCs w:val="19"/>
        </w:rPr>
        <w:t>s 3 a 5</w:t>
      </w:r>
      <w:r w:rsidRPr="00CD21F0">
        <w:rPr>
          <w:rFonts w:ascii="Verdana" w:hAnsi="Verdana"/>
          <w:sz w:val="19"/>
          <w:szCs w:val="19"/>
        </w:rPr>
        <w:t>), además de declararse la inconstitucionalidad de la Ley de Amnistía General para la Consolidación de la Paz”, “se estableció que, en un plazo razonable, la Asamblea Legislativa debía: i) regular los medios idóneos para un efectivo acceso a la información sobre graves violaciones a derechos humanos ocurridas durante el conflicto armado interno</w:t>
      </w:r>
      <w:r w:rsidR="007750B1" w:rsidRPr="00CD21F0">
        <w:rPr>
          <w:rFonts w:ascii="Verdana" w:hAnsi="Verdana"/>
          <w:sz w:val="19"/>
          <w:szCs w:val="19"/>
        </w:rPr>
        <w:t xml:space="preserve">; ii) disponer los recursos adecuados </w:t>
      </w:r>
      <w:r w:rsidR="00CB400A" w:rsidRPr="00CD21F0">
        <w:rPr>
          <w:rFonts w:ascii="Verdana" w:hAnsi="Verdana"/>
          <w:sz w:val="19"/>
          <w:szCs w:val="19"/>
        </w:rPr>
        <w:t xml:space="preserve">para responder las exigencias sobre el esclarecimiento de la verdad, las investigaciones, juzgamiento y sanción de los responsables de violaciones cometidas en el conflicto armado; y iii) considerar las reparaciones correspondientes a las víctimas, teniendo en cuenta los parámetros establecidos por la Corte IDH”. </w:t>
      </w:r>
    </w:p>
    <w:p w14:paraId="3639BF2F" w14:textId="58D2FDC3" w:rsidR="00CB400A" w:rsidRPr="00DF1C66" w:rsidRDefault="00CB400A" w:rsidP="00FF74B4">
      <w:pPr>
        <w:pStyle w:val="Prrafodelista"/>
        <w:numPr>
          <w:ilvl w:val="1"/>
          <w:numId w:val="4"/>
        </w:numPr>
        <w:autoSpaceDE w:val="0"/>
        <w:autoSpaceDN w:val="0"/>
        <w:adjustRightInd w:val="0"/>
        <w:spacing w:before="120" w:after="120" w:line="240" w:lineRule="auto"/>
        <w:ind w:left="709" w:hanging="425"/>
        <w:contextualSpacing w:val="0"/>
        <w:jc w:val="both"/>
        <w:rPr>
          <w:rFonts w:ascii="Verdana" w:hAnsi="Verdana"/>
          <w:sz w:val="19"/>
          <w:szCs w:val="19"/>
        </w:rPr>
      </w:pPr>
      <w:r w:rsidRPr="00DF1C66">
        <w:rPr>
          <w:rFonts w:ascii="Verdana" w:hAnsi="Verdana"/>
          <w:sz w:val="19"/>
          <w:szCs w:val="19"/>
        </w:rPr>
        <w:t xml:space="preserve">El 19 de julio de 2017 la Sala de lo </w:t>
      </w:r>
      <w:r w:rsidR="00462A26" w:rsidRPr="00DF1C66">
        <w:rPr>
          <w:rFonts w:ascii="Verdana" w:hAnsi="Verdana"/>
          <w:sz w:val="19"/>
          <w:szCs w:val="19"/>
        </w:rPr>
        <w:t>Constitucional</w:t>
      </w:r>
      <w:r w:rsidRPr="00DF1C66">
        <w:rPr>
          <w:rFonts w:ascii="Verdana" w:hAnsi="Verdana"/>
          <w:sz w:val="19"/>
          <w:szCs w:val="19"/>
        </w:rPr>
        <w:t xml:space="preserve"> “llevó a cabo una audiencia pública para supervisar el cumplimiento de la sentencia de inconstitucionalidad”, en la cual “instó a la Asamblea a crear la Ley de la Reconciliación Nacional, en el marco de lo dispuesto en la [referida sentencia] de inconstitucionalidad”. Posteriormente, “entre el 20 y 25 de junio de 2018 se llevó a cabo una segunda audiencia de seguimiento</w:t>
      </w:r>
      <w:r w:rsidR="003D297A" w:rsidRPr="00DF1C66">
        <w:rPr>
          <w:rFonts w:ascii="Verdana" w:hAnsi="Verdana"/>
          <w:sz w:val="19"/>
          <w:szCs w:val="19"/>
        </w:rPr>
        <w:t>, derivado de lo cual [dicha] Sala emitió una resolución de supervisión de fecha 13 de julio de 2018, resolviendo que continúa sin cumplirse lo dispuesto en la declaratoria de inconstitucionalidad, particularmente porque la Asamblea no ha promulgado la L[ey de Reconciliación Nacional]”. En esa resolución la Sala de lo Contencioso “señaló que el órgano legislativo debe promulgar dicha ley</w:t>
      </w:r>
      <w:r w:rsidR="00874D6A" w:rsidRPr="00DF1C66">
        <w:rPr>
          <w:rFonts w:ascii="Verdana" w:hAnsi="Verdana"/>
          <w:sz w:val="19"/>
          <w:szCs w:val="19"/>
        </w:rPr>
        <w:t xml:space="preserve"> permitiendo que: i) se conozca la verdad y se regulen los mecanismos para el acceso de las víctimas a la información; ii) se regulen aspectos relativos a la persecución penal como la imprescriptibilidad de los delitos; participación de víctimas en el proceso; y modulaciones sancionatorias en orden a la reparación de las víctimas; iii) se ejecuten programas de reparación, y iv) se formulen garantías de no repetición</w:t>
      </w:r>
      <w:r w:rsidR="00F348C6" w:rsidRPr="00DF1C66">
        <w:rPr>
          <w:rFonts w:ascii="Verdana" w:hAnsi="Verdana"/>
          <w:sz w:val="19"/>
          <w:szCs w:val="19"/>
        </w:rPr>
        <w:t>”</w:t>
      </w:r>
      <w:r w:rsidR="00874D6A" w:rsidRPr="00DF1C66">
        <w:rPr>
          <w:rFonts w:ascii="Verdana" w:hAnsi="Verdana"/>
          <w:sz w:val="19"/>
          <w:szCs w:val="19"/>
        </w:rPr>
        <w:t xml:space="preserve">. </w:t>
      </w:r>
    </w:p>
    <w:p w14:paraId="5321AE7D" w14:textId="60393986" w:rsidR="00E218FD" w:rsidRPr="00DF1C66" w:rsidRDefault="009C4C1B" w:rsidP="00FF74B4">
      <w:pPr>
        <w:pStyle w:val="Prrafodelista"/>
        <w:numPr>
          <w:ilvl w:val="1"/>
          <w:numId w:val="4"/>
        </w:numPr>
        <w:autoSpaceDE w:val="0"/>
        <w:autoSpaceDN w:val="0"/>
        <w:adjustRightInd w:val="0"/>
        <w:spacing w:before="120" w:after="120" w:line="240" w:lineRule="auto"/>
        <w:ind w:left="709" w:hanging="425"/>
        <w:contextualSpacing w:val="0"/>
        <w:jc w:val="both"/>
        <w:rPr>
          <w:rFonts w:ascii="Verdana" w:hAnsi="Verdana"/>
          <w:sz w:val="19"/>
          <w:szCs w:val="19"/>
        </w:rPr>
      </w:pPr>
      <w:r w:rsidRPr="00DF1C66">
        <w:rPr>
          <w:rFonts w:ascii="Verdana" w:hAnsi="Verdana"/>
          <w:sz w:val="19"/>
          <w:szCs w:val="19"/>
        </w:rPr>
        <w:lastRenderedPageBreak/>
        <w:t>“[</w:t>
      </w:r>
      <w:r w:rsidR="00E218FD" w:rsidRPr="00DF1C66">
        <w:rPr>
          <w:rFonts w:ascii="Verdana" w:hAnsi="Verdana"/>
          <w:sz w:val="19"/>
          <w:szCs w:val="19"/>
        </w:rPr>
        <w:t>E</w:t>
      </w:r>
      <w:r w:rsidRPr="00DF1C66">
        <w:rPr>
          <w:rFonts w:ascii="Verdana" w:hAnsi="Verdana"/>
          <w:sz w:val="19"/>
          <w:szCs w:val="19"/>
        </w:rPr>
        <w:t>]</w:t>
      </w:r>
      <w:r w:rsidR="00E218FD" w:rsidRPr="00DF1C66">
        <w:rPr>
          <w:rFonts w:ascii="Verdana" w:hAnsi="Verdana"/>
          <w:sz w:val="19"/>
          <w:szCs w:val="19"/>
        </w:rPr>
        <w:t xml:space="preserve">l 13 de junio de 2018 </w:t>
      </w:r>
      <w:r w:rsidRPr="00DF1C66">
        <w:rPr>
          <w:rFonts w:ascii="Verdana" w:hAnsi="Verdana"/>
          <w:sz w:val="19"/>
          <w:szCs w:val="19"/>
        </w:rPr>
        <w:t xml:space="preserve">fue creada </w:t>
      </w:r>
      <w:r w:rsidR="00E218FD" w:rsidRPr="00DF1C66">
        <w:rPr>
          <w:rFonts w:ascii="Verdana" w:hAnsi="Verdana"/>
          <w:sz w:val="19"/>
          <w:szCs w:val="19"/>
        </w:rPr>
        <w:t xml:space="preserve">en la Asamblea Legislativa una </w:t>
      </w:r>
      <w:r w:rsidRPr="00DF1C66">
        <w:rPr>
          <w:rFonts w:ascii="Verdana" w:hAnsi="Verdana"/>
          <w:sz w:val="19"/>
          <w:szCs w:val="19"/>
        </w:rPr>
        <w:t>Comisión</w:t>
      </w:r>
      <w:r w:rsidR="00E218FD" w:rsidRPr="00DF1C66">
        <w:rPr>
          <w:rFonts w:ascii="Verdana" w:hAnsi="Verdana"/>
          <w:sz w:val="19"/>
          <w:szCs w:val="19"/>
        </w:rPr>
        <w:t xml:space="preserve"> </w:t>
      </w:r>
      <w:r w:rsidR="00E218FD" w:rsidRPr="00DF1C66">
        <w:rPr>
          <w:rFonts w:ascii="Verdana" w:hAnsi="Verdana"/>
          <w:i/>
          <w:sz w:val="19"/>
          <w:szCs w:val="19"/>
        </w:rPr>
        <w:t>Ad-hoc</w:t>
      </w:r>
      <w:r w:rsidR="00E218FD" w:rsidRPr="00DF1C66">
        <w:rPr>
          <w:rFonts w:ascii="Verdana" w:hAnsi="Verdana"/>
          <w:sz w:val="19"/>
          <w:szCs w:val="19"/>
        </w:rPr>
        <w:t xml:space="preserve"> </w:t>
      </w:r>
      <w:r w:rsidRPr="00DF1C66">
        <w:rPr>
          <w:rFonts w:ascii="Verdana" w:hAnsi="Verdana"/>
          <w:sz w:val="19"/>
          <w:szCs w:val="19"/>
        </w:rPr>
        <w:t>con el objeto de formular la iniciativa de L</w:t>
      </w:r>
      <w:r w:rsidR="00E218FD" w:rsidRPr="00DF1C66">
        <w:rPr>
          <w:rFonts w:ascii="Verdana" w:hAnsi="Verdana"/>
          <w:sz w:val="19"/>
          <w:szCs w:val="19"/>
        </w:rPr>
        <w:t>[ey de Reconciliación Nacional]”</w:t>
      </w:r>
      <w:r w:rsidRPr="00DF1C66">
        <w:rPr>
          <w:rFonts w:ascii="Verdana" w:hAnsi="Verdana"/>
          <w:sz w:val="19"/>
          <w:szCs w:val="19"/>
        </w:rPr>
        <w:t>, conformada por cinco diputados</w:t>
      </w:r>
      <w:r w:rsidR="00EE7DA8" w:rsidRPr="00DF1C66">
        <w:rPr>
          <w:rStyle w:val="Refdenotaalpie"/>
          <w:rFonts w:ascii="Verdana" w:hAnsi="Verdana"/>
          <w:sz w:val="19"/>
          <w:szCs w:val="19"/>
        </w:rPr>
        <w:footnoteReference w:id="15"/>
      </w:r>
      <w:r w:rsidRPr="00DF1C66">
        <w:rPr>
          <w:rFonts w:ascii="Verdana" w:hAnsi="Verdana"/>
          <w:sz w:val="19"/>
          <w:szCs w:val="19"/>
        </w:rPr>
        <w:t xml:space="preserve">. </w:t>
      </w:r>
      <w:r w:rsidR="00E218FD" w:rsidRPr="00DF1C66">
        <w:rPr>
          <w:rFonts w:ascii="Verdana" w:hAnsi="Verdana"/>
          <w:sz w:val="19"/>
          <w:szCs w:val="19"/>
        </w:rPr>
        <w:t xml:space="preserve"> </w:t>
      </w:r>
    </w:p>
    <w:p w14:paraId="3A1BB957" w14:textId="2ABE7F4B" w:rsidR="00F348C6" w:rsidRPr="00DF1C66" w:rsidRDefault="00F348C6" w:rsidP="00FF74B4">
      <w:pPr>
        <w:pStyle w:val="Prrafodelista"/>
        <w:numPr>
          <w:ilvl w:val="1"/>
          <w:numId w:val="4"/>
        </w:numPr>
        <w:autoSpaceDE w:val="0"/>
        <w:autoSpaceDN w:val="0"/>
        <w:adjustRightInd w:val="0"/>
        <w:spacing w:before="120" w:after="120" w:line="240" w:lineRule="auto"/>
        <w:ind w:left="709" w:hanging="425"/>
        <w:contextualSpacing w:val="0"/>
        <w:jc w:val="both"/>
        <w:rPr>
          <w:rFonts w:ascii="Verdana" w:hAnsi="Verdana"/>
          <w:sz w:val="19"/>
          <w:szCs w:val="19"/>
        </w:rPr>
      </w:pPr>
      <w:r w:rsidRPr="00DF1C66">
        <w:rPr>
          <w:rFonts w:ascii="Verdana" w:hAnsi="Verdana"/>
          <w:sz w:val="19"/>
          <w:szCs w:val="19"/>
        </w:rPr>
        <w:t xml:space="preserve">En la diligencia </w:t>
      </w:r>
      <w:r w:rsidRPr="00DF1C66">
        <w:rPr>
          <w:rFonts w:ascii="Verdana" w:hAnsi="Verdana"/>
          <w:i/>
          <w:sz w:val="19"/>
          <w:szCs w:val="19"/>
        </w:rPr>
        <w:t>in situ</w:t>
      </w:r>
      <w:r w:rsidRPr="00DF1C66">
        <w:rPr>
          <w:rFonts w:ascii="Verdana" w:hAnsi="Verdana"/>
          <w:sz w:val="19"/>
          <w:szCs w:val="19"/>
        </w:rPr>
        <w:t xml:space="preserve"> realizada por la Corte Interamericana a El Salvador entre el 27 y el 30 de agosto de 201</w:t>
      </w:r>
      <w:r w:rsidR="00CF6F09">
        <w:rPr>
          <w:rFonts w:ascii="Verdana" w:hAnsi="Verdana"/>
          <w:sz w:val="19"/>
          <w:szCs w:val="19"/>
        </w:rPr>
        <w:t>8</w:t>
      </w:r>
      <w:r w:rsidRPr="00DF1C66">
        <w:rPr>
          <w:rFonts w:ascii="Verdana" w:hAnsi="Verdana"/>
          <w:sz w:val="19"/>
          <w:szCs w:val="19"/>
        </w:rPr>
        <w:t xml:space="preserve"> se solicitó al Estado “que presentara información sobre los proyectos legislativos que se encontraran pendientes y que pudieran obstaculizar el proceso penal del caso, particularmente sobre la constitución de [la] referida Comisión </w:t>
      </w:r>
      <w:r w:rsidRPr="00DF1C66">
        <w:rPr>
          <w:rFonts w:ascii="Verdana" w:hAnsi="Verdana"/>
          <w:i/>
          <w:sz w:val="19"/>
          <w:szCs w:val="19"/>
        </w:rPr>
        <w:t>Ad-hoc</w:t>
      </w:r>
      <w:r w:rsidRPr="00DF1C66">
        <w:rPr>
          <w:rFonts w:ascii="Verdana" w:hAnsi="Verdana"/>
          <w:sz w:val="19"/>
          <w:szCs w:val="19"/>
        </w:rPr>
        <w:t xml:space="preserve">”. </w:t>
      </w:r>
    </w:p>
    <w:p w14:paraId="25992CB9" w14:textId="792C9137" w:rsidR="00AA799E" w:rsidRPr="00DF1C66" w:rsidRDefault="005D0CD2" w:rsidP="00AA799E">
      <w:pPr>
        <w:pStyle w:val="Prrafodelista"/>
        <w:numPr>
          <w:ilvl w:val="1"/>
          <w:numId w:val="4"/>
        </w:numPr>
        <w:autoSpaceDE w:val="0"/>
        <w:autoSpaceDN w:val="0"/>
        <w:adjustRightInd w:val="0"/>
        <w:spacing w:before="120" w:after="120" w:line="240" w:lineRule="auto"/>
        <w:ind w:left="709" w:hanging="425"/>
        <w:contextualSpacing w:val="0"/>
        <w:jc w:val="both"/>
        <w:rPr>
          <w:rFonts w:ascii="Verdana" w:hAnsi="Verdana"/>
          <w:sz w:val="19"/>
          <w:szCs w:val="19"/>
        </w:rPr>
      </w:pPr>
      <w:r w:rsidRPr="00DF1C66">
        <w:rPr>
          <w:rFonts w:ascii="Verdana" w:hAnsi="Verdana"/>
          <w:sz w:val="19"/>
          <w:szCs w:val="19"/>
        </w:rPr>
        <w:t xml:space="preserve">“El 19 de febrero de 2019, la Asamblea dio a conocer la presentación de un borrador de L[ey de Reconciliación Nacional], elaborado por [uno de los diputados de la Comisión </w:t>
      </w:r>
      <w:r w:rsidRPr="007F425E">
        <w:rPr>
          <w:rFonts w:ascii="Verdana" w:hAnsi="Verdana"/>
          <w:i/>
          <w:sz w:val="19"/>
          <w:szCs w:val="19"/>
        </w:rPr>
        <w:t>Ad-hoc</w:t>
      </w:r>
      <w:r w:rsidRPr="00DF1C66">
        <w:rPr>
          <w:rFonts w:ascii="Verdana" w:hAnsi="Verdana"/>
          <w:sz w:val="19"/>
          <w:szCs w:val="19"/>
        </w:rPr>
        <w:t>], el cual pretendía otorgar una amnistía 'amplia, absoluta e incondicional y limitaba los procesos de investigación de violaciones de derechos humanos a un efecto de conocimiento de la verdad y no de sanción de prisión”, que “fue ampliamente criticado por las víctimas y organ</w:t>
      </w:r>
      <w:r w:rsidR="00AA799E" w:rsidRPr="00DF1C66">
        <w:rPr>
          <w:rFonts w:ascii="Verdana" w:hAnsi="Verdana"/>
          <w:sz w:val="19"/>
          <w:szCs w:val="19"/>
        </w:rPr>
        <w:t>izaciones de derechos humanos”. Mediante escrito de 26 de febrero, presentado en la supervisión de cumplimiento, los representante expresaron su “preocupación” frente a este anteproyecto de ley”.</w:t>
      </w:r>
    </w:p>
    <w:p w14:paraId="3DCBEE1B" w14:textId="28CAD62F" w:rsidR="00AA799E" w:rsidRPr="00DF1C66" w:rsidRDefault="00AA799E" w:rsidP="00AA799E">
      <w:pPr>
        <w:pStyle w:val="Prrafodelista"/>
        <w:numPr>
          <w:ilvl w:val="1"/>
          <w:numId w:val="4"/>
        </w:numPr>
        <w:autoSpaceDE w:val="0"/>
        <w:autoSpaceDN w:val="0"/>
        <w:adjustRightInd w:val="0"/>
        <w:spacing w:before="120" w:after="120" w:line="240" w:lineRule="auto"/>
        <w:ind w:left="709" w:hanging="425"/>
        <w:contextualSpacing w:val="0"/>
        <w:jc w:val="both"/>
        <w:rPr>
          <w:rFonts w:ascii="Verdana" w:hAnsi="Verdana"/>
          <w:sz w:val="19"/>
          <w:szCs w:val="19"/>
        </w:rPr>
      </w:pPr>
      <w:r w:rsidRPr="00DF1C66">
        <w:rPr>
          <w:rFonts w:ascii="Verdana" w:hAnsi="Verdana"/>
          <w:sz w:val="19"/>
          <w:szCs w:val="19"/>
        </w:rPr>
        <w:t>Mediante nota de Secretaría de 15 de marzo de 2019 la Corte solicitó al Estado que presentara información sobre el anteproyecto de Ley de Reconciliació</w:t>
      </w:r>
      <w:r w:rsidR="00D27166" w:rsidRPr="00DF1C66">
        <w:rPr>
          <w:rFonts w:ascii="Verdana" w:hAnsi="Verdana"/>
          <w:sz w:val="19"/>
          <w:szCs w:val="19"/>
        </w:rPr>
        <w:t>n Nacional. El Salvador presentó</w:t>
      </w:r>
      <w:r w:rsidRPr="00DF1C66">
        <w:rPr>
          <w:rFonts w:ascii="Verdana" w:hAnsi="Verdana"/>
          <w:sz w:val="19"/>
          <w:szCs w:val="19"/>
        </w:rPr>
        <w:t xml:space="preserve"> un informe que “no aportaba ningún tipo de información adicional ni hacía referencia al contenido del borrador de la iniciativa” de ley.</w:t>
      </w:r>
    </w:p>
    <w:p w14:paraId="0F55DCB3" w14:textId="05404834" w:rsidR="005D0CD2" w:rsidRPr="00CD21F0" w:rsidRDefault="005D0CD2" w:rsidP="00AA799E">
      <w:pPr>
        <w:pStyle w:val="Prrafodelista"/>
        <w:numPr>
          <w:ilvl w:val="1"/>
          <w:numId w:val="4"/>
        </w:numPr>
        <w:autoSpaceDE w:val="0"/>
        <w:autoSpaceDN w:val="0"/>
        <w:adjustRightInd w:val="0"/>
        <w:spacing w:before="120" w:after="120" w:line="240" w:lineRule="auto"/>
        <w:ind w:left="709" w:hanging="425"/>
        <w:contextualSpacing w:val="0"/>
        <w:jc w:val="both"/>
        <w:rPr>
          <w:rFonts w:ascii="Verdana" w:hAnsi="Verdana"/>
          <w:sz w:val="19"/>
          <w:szCs w:val="19"/>
        </w:rPr>
      </w:pPr>
      <w:r w:rsidRPr="00CD21F0">
        <w:rPr>
          <w:rFonts w:ascii="Verdana" w:hAnsi="Verdana"/>
          <w:sz w:val="19"/>
          <w:szCs w:val="19"/>
        </w:rPr>
        <w:t>En marzo de 2019, el referido diputado “renunció a la Comisión y solicitó que su borrador no fuera tenido en cuenta en el proceso legislativo”</w:t>
      </w:r>
      <w:r w:rsidR="00AA799E" w:rsidRPr="00CD21F0">
        <w:rPr>
          <w:rFonts w:ascii="Verdana" w:hAnsi="Verdana"/>
          <w:sz w:val="19"/>
          <w:szCs w:val="19"/>
        </w:rPr>
        <w:t xml:space="preserve"> (</w:t>
      </w:r>
      <w:r w:rsidR="00AA799E" w:rsidRPr="00CD21F0">
        <w:rPr>
          <w:rFonts w:ascii="Verdana" w:hAnsi="Verdana"/>
          <w:i/>
          <w:sz w:val="19"/>
          <w:szCs w:val="19"/>
        </w:rPr>
        <w:t>supra</w:t>
      </w:r>
      <w:r w:rsidR="00AA799E" w:rsidRPr="00CD21F0">
        <w:rPr>
          <w:rFonts w:ascii="Verdana" w:hAnsi="Verdana"/>
          <w:sz w:val="19"/>
          <w:szCs w:val="19"/>
        </w:rPr>
        <w:t xml:space="preserve"> Considerando </w:t>
      </w:r>
      <w:r w:rsidR="00F16C5D">
        <w:rPr>
          <w:rFonts w:ascii="Verdana" w:hAnsi="Verdana"/>
          <w:sz w:val="19"/>
          <w:szCs w:val="19"/>
        </w:rPr>
        <w:t>12</w:t>
      </w:r>
      <w:r w:rsidR="00CD21F0" w:rsidRPr="00CD21F0">
        <w:rPr>
          <w:rFonts w:ascii="Verdana" w:hAnsi="Verdana"/>
          <w:sz w:val="19"/>
          <w:szCs w:val="19"/>
        </w:rPr>
        <w:t>.e</w:t>
      </w:r>
      <w:r w:rsidR="00AA799E" w:rsidRPr="00CD21F0">
        <w:rPr>
          <w:rFonts w:ascii="Verdana" w:hAnsi="Verdana"/>
          <w:sz w:val="19"/>
          <w:szCs w:val="19"/>
        </w:rPr>
        <w:t>)</w:t>
      </w:r>
      <w:r w:rsidRPr="00CD21F0">
        <w:rPr>
          <w:rFonts w:ascii="Verdana" w:hAnsi="Verdana"/>
          <w:sz w:val="19"/>
          <w:szCs w:val="19"/>
        </w:rPr>
        <w:t xml:space="preserve">. Los demás integrantes de la Comisión </w:t>
      </w:r>
      <w:r w:rsidRPr="00CD21F0">
        <w:rPr>
          <w:rFonts w:ascii="Verdana" w:hAnsi="Verdana"/>
          <w:i/>
          <w:sz w:val="19"/>
          <w:szCs w:val="19"/>
        </w:rPr>
        <w:t>Ad-hoc</w:t>
      </w:r>
      <w:r w:rsidRPr="00CD21F0">
        <w:rPr>
          <w:rFonts w:ascii="Verdana" w:hAnsi="Verdana"/>
          <w:sz w:val="19"/>
          <w:szCs w:val="19"/>
        </w:rPr>
        <w:t xml:space="preserve"> “continu[aron] sus labores, pero sin presentar o socializar ningún proyecto ni insumo nuevo”.</w:t>
      </w:r>
    </w:p>
    <w:p w14:paraId="3BB88E86" w14:textId="49A1CD28" w:rsidR="005D0CD2" w:rsidRPr="00CD21F0" w:rsidRDefault="005D0CD2" w:rsidP="00FF74B4">
      <w:pPr>
        <w:pStyle w:val="Prrafodelista"/>
        <w:numPr>
          <w:ilvl w:val="1"/>
          <w:numId w:val="4"/>
        </w:numPr>
        <w:autoSpaceDE w:val="0"/>
        <w:autoSpaceDN w:val="0"/>
        <w:adjustRightInd w:val="0"/>
        <w:spacing w:before="120" w:after="120" w:line="240" w:lineRule="auto"/>
        <w:ind w:left="709" w:hanging="425"/>
        <w:contextualSpacing w:val="0"/>
        <w:jc w:val="both"/>
        <w:rPr>
          <w:rFonts w:ascii="Verdana" w:hAnsi="Verdana"/>
          <w:sz w:val="19"/>
          <w:szCs w:val="19"/>
        </w:rPr>
      </w:pPr>
      <w:r w:rsidRPr="00CD21F0">
        <w:rPr>
          <w:rFonts w:ascii="Verdana" w:hAnsi="Verdana"/>
          <w:sz w:val="19"/>
          <w:szCs w:val="19"/>
        </w:rPr>
        <w:t xml:space="preserve">El 13 de mayo de 2019 la Comisión </w:t>
      </w:r>
      <w:r w:rsidRPr="00CD21F0">
        <w:rPr>
          <w:rFonts w:ascii="Verdana" w:hAnsi="Verdana"/>
          <w:i/>
          <w:sz w:val="19"/>
          <w:szCs w:val="19"/>
        </w:rPr>
        <w:t xml:space="preserve">Ad-hoc </w:t>
      </w:r>
      <w:r w:rsidRPr="00CD21F0">
        <w:rPr>
          <w:rFonts w:ascii="Verdana" w:hAnsi="Verdana"/>
          <w:sz w:val="19"/>
          <w:szCs w:val="19"/>
        </w:rPr>
        <w:t>“e</w:t>
      </w:r>
      <w:r w:rsidR="00F0464A" w:rsidRPr="00CD21F0">
        <w:rPr>
          <w:rFonts w:ascii="Verdana" w:hAnsi="Verdana"/>
          <w:sz w:val="19"/>
          <w:szCs w:val="19"/>
        </w:rPr>
        <w:t xml:space="preserve">ntreg[ó] a la Comisión Política de la Asamblea Legislativa un informe sobre su labor”, en el cual “se present[ó] un documento de trabajo agrupado y articulado que sería de insumo para que [dicha Comisión Política] formule la L[ey de Reconciliación Nacional]”. </w:t>
      </w:r>
      <w:r w:rsidR="00EB717A" w:rsidRPr="00CD21F0">
        <w:rPr>
          <w:rFonts w:ascii="Verdana" w:hAnsi="Verdana"/>
          <w:sz w:val="19"/>
          <w:szCs w:val="19"/>
        </w:rPr>
        <w:t>Dicha “propuesta de L[ey de Reconciliación Nacional] establece algunas disposiciones que resultan particularmente alarmantes” (</w:t>
      </w:r>
      <w:r w:rsidR="00EB717A" w:rsidRPr="00CD21F0">
        <w:rPr>
          <w:rFonts w:ascii="Verdana" w:hAnsi="Verdana"/>
          <w:i/>
          <w:sz w:val="19"/>
          <w:szCs w:val="19"/>
        </w:rPr>
        <w:t>infra</w:t>
      </w:r>
      <w:r w:rsidR="00EB717A" w:rsidRPr="00CD21F0">
        <w:rPr>
          <w:rFonts w:ascii="Verdana" w:hAnsi="Verdana"/>
          <w:sz w:val="19"/>
          <w:szCs w:val="19"/>
        </w:rPr>
        <w:t xml:space="preserve"> Considerando</w:t>
      </w:r>
      <w:r w:rsidR="00CD21F0" w:rsidRPr="00CD21F0">
        <w:rPr>
          <w:rFonts w:ascii="Verdana" w:hAnsi="Verdana"/>
          <w:sz w:val="19"/>
          <w:szCs w:val="19"/>
        </w:rPr>
        <w:t xml:space="preserve"> 1</w:t>
      </w:r>
      <w:r w:rsidR="00F16C5D">
        <w:rPr>
          <w:rFonts w:ascii="Verdana" w:hAnsi="Verdana"/>
          <w:sz w:val="19"/>
          <w:szCs w:val="19"/>
        </w:rPr>
        <w:t>3</w:t>
      </w:r>
      <w:r w:rsidR="00ED305A">
        <w:rPr>
          <w:rFonts w:ascii="Verdana" w:hAnsi="Verdana"/>
          <w:sz w:val="19"/>
          <w:szCs w:val="19"/>
        </w:rPr>
        <w:t>.a</w:t>
      </w:r>
      <w:r w:rsidR="00EB717A" w:rsidRPr="00CD21F0">
        <w:rPr>
          <w:rFonts w:ascii="Verdana" w:hAnsi="Verdana"/>
          <w:sz w:val="19"/>
          <w:szCs w:val="19"/>
        </w:rPr>
        <w:t xml:space="preserve">). “De esta forma, fue disuelta la Comisión </w:t>
      </w:r>
      <w:r w:rsidR="00EB717A" w:rsidRPr="007F425E">
        <w:rPr>
          <w:rFonts w:ascii="Verdana" w:hAnsi="Verdana"/>
          <w:i/>
          <w:sz w:val="19"/>
          <w:szCs w:val="19"/>
        </w:rPr>
        <w:t>Ad-hoc</w:t>
      </w:r>
      <w:r w:rsidR="00EB717A" w:rsidRPr="00CD21F0">
        <w:rPr>
          <w:rFonts w:ascii="Verdana" w:hAnsi="Verdana"/>
          <w:sz w:val="19"/>
          <w:szCs w:val="19"/>
        </w:rPr>
        <w:t xml:space="preserve"> y la continuación del estudio y elaboración de la L[ey de Reconciliación Nacional] pasó a manos de la C[omisión Política], creándose para ello una Subcomisión”. </w:t>
      </w:r>
    </w:p>
    <w:p w14:paraId="520BD189" w14:textId="6F2E48E6" w:rsidR="00CF4E89" w:rsidRPr="00DF1C66" w:rsidRDefault="00EB717A" w:rsidP="004A61A1">
      <w:pPr>
        <w:pStyle w:val="Prrafodelista"/>
        <w:numPr>
          <w:ilvl w:val="1"/>
          <w:numId w:val="4"/>
        </w:numPr>
        <w:autoSpaceDE w:val="0"/>
        <w:autoSpaceDN w:val="0"/>
        <w:adjustRightInd w:val="0"/>
        <w:spacing w:before="120" w:after="120" w:line="240" w:lineRule="auto"/>
        <w:ind w:left="709" w:hanging="425"/>
        <w:contextualSpacing w:val="0"/>
        <w:jc w:val="both"/>
        <w:rPr>
          <w:rFonts w:ascii="Verdana" w:hAnsi="Verdana"/>
          <w:sz w:val="19"/>
          <w:szCs w:val="19"/>
        </w:rPr>
      </w:pPr>
      <w:r w:rsidRPr="00DF1C66">
        <w:rPr>
          <w:rFonts w:ascii="Verdana" w:hAnsi="Verdana"/>
          <w:sz w:val="19"/>
          <w:szCs w:val="19"/>
        </w:rPr>
        <w:t>El 17 de mayo de 2019 la Subcomisión analiz</w:t>
      </w:r>
      <w:r w:rsidR="00D4023E" w:rsidRPr="00DF1C66">
        <w:rPr>
          <w:rFonts w:ascii="Verdana" w:hAnsi="Verdana"/>
          <w:sz w:val="19"/>
          <w:szCs w:val="19"/>
        </w:rPr>
        <w:t>ó</w:t>
      </w:r>
      <w:r w:rsidRPr="00DF1C66">
        <w:rPr>
          <w:rFonts w:ascii="Verdana" w:hAnsi="Verdana"/>
          <w:sz w:val="19"/>
          <w:szCs w:val="19"/>
        </w:rPr>
        <w:t xml:space="preserve"> </w:t>
      </w:r>
      <w:r w:rsidR="00D4023E" w:rsidRPr="00DF1C66">
        <w:rPr>
          <w:rFonts w:ascii="Verdana" w:hAnsi="Verdana"/>
          <w:sz w:val="19"/>
          <w:szCs w:val="19"/>
        </w:rPr>
        <w:t>la propuesta</w:t>
      </w:r>
      <w:r w:rsidRPr="00DF1C66">
        <w:rPr>
          <w:rFonts w:ascii="Verdana" w:hAnsi="Verdana"/>
          <w:sz w:val="19"/>
          <w:szCs w:val="19"/>
        </w:rPr>
        <w:t xml:space="preserve"> de la Comisión </w:t>
      </w:r>
      <w:r w:rsidRPr="00DF1C66">
        <w:rPr>
          <w:rFonts w:ascii="Verdana" w:hAnsi="Verdana"/>
          <w:i/>
          <w:sz w:val="19"/>
          <w:szCs w:val="19"/>
        </w:rPr>
        <w:t>Ad-hoc,</w:t>
      </w:r>
      <w:r w:rsidRPr="00DF1C66">
        <w:rPr>
          <w:rFonts w:ascii="Verdana" w:hAnsi="Verdana"/>
          <w:sz w:val="19"/>
          <w:szCs w:val="19"/>
        </w:rPr>
        <w:t xml:space="preserve"> </w:t>
      </w:r>
      <w:r w:rsidR="00D4023E" w:rsidRPr="00DF1C66">
        <w:rPr>
          <w:rFonts w:ascii="Verdana" w:hAnsi="Verdana"/>
          <w:sz w:val="19"/>
          <w:szCs w:val="19"/>
        </w:rPr>
        <w:t>e “hicieron observaciones y sugerencias de modificaciones”. El 21 de mayo dicha Subcomisión se “reuni[ó] con víctimas de violaciones a los derechos humanos y las organizaciones no gubernamentales que forman parte d</w:t>
      </w:r>
      <w:r w:rsidR="00E3597C" w:rsidRPr="00DF1C66">
        <w:rPr>
          <w:rFonts w:ascii="Verdana" w:hAnsi="Verdana"/>
          <w:sz w:val="19"/>
          <w:szCs w:val="19"/>
        </w:rPr>
        <w:t>e una Mesa contra la Impunidad”. Además, quienes integran la referida mesa</w:t>
      </w:r>
      <w:r w:rsidR="00D4023E" w:rsidRPr="00DF1C66">
        <w:rPr>
          <w:rFonts w:ascii="Verdana" w:hAnsi="Verdana"/>
          <w:sz w:val="19"/>
          <w:szCs w:val="19"/>
        </w:rPr>
        <w:t xml:space="preserve"> “manifestaron su preocupación por la falta de información a la ley que se pretendía aprobar”. Además, “solicitaron expresamente tener acceso al anteproyecto”, pero “esta solicitud fue negada bajo el pretexto de que debía ser entregado a la C[omisión Política]</w:t>
      </w:r>
      <w:r w:rsidR="004A61A1" w:rsidRPr="00DF1C66">
        <w:rPr>
          <w:rFonts w:ascii="Verdana" w:hAnsi="Verdana"/>
          <w:sz w:val="19"/>
          <w:szCs w:val="19"/>
        </w:rPr>
        <w:t xml:space="preserve"> y no podía ser compartido”. Adicionalmente, “presentaron un Anteproyecto de Ley elaborado en consulta con un amplio número de víctimas, con el fin de cumplir con lo ordenado por la Sala de lo Constitucional”. </w:t>
      </w:r>
    </w:p>
    <w:p w14:paraId="13481BE4" w14:textId="46BE9C70" w:rsidR="002935B2" w:rsidRPr="00ED305A" w:rsidRDefault="004A61A1" w:rsidP="002935B2">
      <w:pPr>
        <w:pStyle w:val="Prrafodelista"/>
        <w:numPr>
          <w:ilvl w:val="1"/>
          <w:numId w:val="4"/>
        </w:numPr>
        <w:autoSpaceDE w:val="0"/>
        <w:autoSpaceDN w:val="0"/>
        <w:adjustRightInd w:val="0"/>
        <w:spacing w:before="120" w:after="120" w:line="240" w:lineRule="auto"/>
        <w:ind w:left="709" w:hanging="425"/>
        <w:contextualSpacing w:val="0"/>
        <w:jc w:val="both"/>
        <w:rPr>
          <w:rFonts w:ascii="Verdana" w:hAnsi="Verdana"/>
          <w:sz w:val="19"/>
          <w:szCs w:val="19"/>
        </w:rPr>
      </w:pPr>
      <w:r w:rsidRPr="00ED305A">
        <w:rPr>
          <w:rFonts w:ascii="Verdana" w:hAnsi="Verdana"/>
          <w:sz w:val="19"/>
          <w:szCs w:val="19"/>
        </w:rPr>
        <w:t>“El 22 de mayo la Subcomisión anunció que contaba ya con un Anteproyecto de Ley Especial de Justicia Transicional y Restaurativa para la Reconciliación Nacional” que fue entregado al día siguiente a la Comisión Política “para su dictamen y posterior sometimiento al pl</w:t>
      </w:r>
      <w:r w:rsidR="00CC47B6">
        <w:rPr>
          <w:rFonts w:ascii="Verdana" w:hAnsi="Verdana"/>
          <w:sz w:val="19"/>
          <w:szCs w:val="19"/>
        </w:rPr>
        <w:t>eno” de la Asamblea Legislativa</w:t>
      </w:r>
      <w:r w:rsidRPr="00ED305A">
        <w:rPr>
          <w:rFonts w:ascii="Verdana" w:hAnsi="Verdana"/>
          <w:sz w:val="19"/>
          <w:szCs w:val="19"/>
        </w:rPr>
        <w:t xml:space="preserve">. Este documento “no ha sido difundido públicamente por parte de la Asamblea” y “de las pocas discusiones que se han hecho públicas a través del canal oficial de televisión de la Asamblea Legislativa, las representantes han constatado que esta </w:t>
      </w:r>
      <w:r w:rsidRPr="00ED305A">
        <w:rPr>
          <w:rFonts w:ascii="Verdana" w:hAnsi="Verdana"/>
          <w:sz w:val="19"/>
          <w:szCs w:val="19"/>
        </w:rPr>
        <w:lastRenderedPageBreak/>
        <w:t xml:space="preserve">iniciativa es precisamente el </w:t>
      </w:r>
      <w:r w:rsidR="008C4119" w:rsidRPr="00ED305A">
        <w:rPr>
          <w:rFonts w:ascii="Verdana" w:hAnsi="Verdana"/>
          <w:sz w:val="19"/>
          <w:szCs w:val="19"/>
        </w:rPr>
        <w:t xml:space="preserve">[anteproyecto] </w:t>
      </w:r>
      <w:r w:rsidRPr="00ED305A">
        <w:rPr>
          <w:rFonts w:ascii="Verdana" w:hAnsi="Verdana"/>
          <w:sz w:val="19"/>
          <w:szCs w:val="19"/>
        </w:rPr>
        <w:t xml:space="preserve">propuesto por la Comisión </w:t>
      </w:r>
      <w:r w:rsidRPr="00ED305A">
        <w:rPr>
          <w:rFonts w:ascii="Verdana" w:hAnsi="Verdana"/>
          <w:i/>
          <w:sz w:val="19"/>
          <w:szCs w:val="19"/>
        </w:rPr>
        <w:t>Ad-Hoc</w:t>
      </w:r>
      <w:r w:rsidRPr="00ED305A">
        <w:rPr>
          <w:rFonts w:ascii="Verdana" w:hAnsi="Verdana"/>
          <w:sz w:val="19"/>
          <w:szCs w:val="19"/>
        </w:rPr>
        <w:t>”.</w:t>
      </w:r>
      <w:r w:rsidR="009425D7" w:rsidRPr="00ED305A">
        <w:rPr>
          <w:rFonts w:ascii="Verdana" w:hAnsi="Verdana"/>
          <w:sz w:val="19"/>
          <w:szCs w:val="19"/>
        </w:rPr>
        <w:t xml:space="preserve"> Ese mismo día, los representantes remitieron a la Corte Interamericana un escrito en la supervisión de cumplimiento del presente caso “alertando el avance de la Asamblea Legislativa de la formulación de una L[ey de Reconciliación Nacional]”. </w:t>
      </w:r>
    </w:p>
    <w:p w14:paraId="5E54502D" w14:textId="7332E905" w:rsidR="004A61A1" w:rsidRDefault="004A61A1" w:rsidP="002935B2">
      <w:pPr>
        <w:pStyle w:val="Prrafodelista"/>
        <w:numPr>
          <w:ilvl w:val="1"/>
          <w:numId w:val="4"/>
        </w:numPr>
        <w:autoSpaceDE w:val="0"/>
        <w:autoSpaceDN w:val="0"/>
        <w:adjustRightInd w:val="0"/>
        <w:spacing w:before="120" w:after="120" w:line="240" w:lineRule="auto"/>
        <w:ind w:left="709" w:hanging="425"/>
        <w:contextualSpacing w:val="0"/>
        <w:jc w:val="both"/>
        <w:rPr>
          <w:rFonts w:ascii="Verdana" w:hAnsi="Verdana"/>
          <w:sz w:val="19"/>
          <w:szCs w:val="19"/>
        </w:rPr>
      </w:pPr>
      <w:r w:rsidRPr="00ED305A">
        <w:rPr>
          <w:rFonts w:ascii="Verdana" w:hAnsi="Verdana"/>
          <w:sz w:val="19"/>
          <w:szCs w:val="19"/>
        </w:rPr>
        <w:t>Los representantes tuvieron acceso a la iniciativa de ley que está en trámite “de manera extraoficial” y aportaron una copia a la Corte Interamericana</w:t>
      </w:r>
      <w:r w:rsidR="009425D7" w:rsidRPr="00ED305A">
        <w:rPr>
          <w:rFonts w:ascii="Verdana" w:hAnsi="Verdana"/>
          <w:sz w:val="19"/>
          <w:szCs w:val="19"/>
        </w:rPr>
        <w:t xml:space="preserve"> junto con su escrito de solicitud de medidas provisionales de 24 de mayo de 2019</w:t>
      </w:r>
      <w:r w:rsidRPr="00ED305A">
        <w:rPr>
          <w:rFonts w:ascii="Verdana" w:hAnsi="Verdana"/>
          <w:sz w:val="19"/>
          <w:szCs w:val="19"/>
        </w:rPr>
        <w:t>, y se refirieron a las “disposiciones [de dicha iniciativa de ley] que colocan en grave riesgo el derecho de acceso a la justicia de las víctimas de graves violaciones a los derechos humanos y en particular de las Masacres de El Mozote y lugares aledaños” (</w:t>
      </w:r>
      <w:r w:rsidRPr="00ED305A">
        <w:rPr>
          <w:rFonts w:ascii="Verdana" w:hAnsi="Verdana"/>
          <w:i/>
          <w:sz w:val="19"/>
          <w:szCs w:val="19"/>
        </w:rPr>
        <w:t xml:space="preserve">infra </w:t>
      </w:r>
      <w:r w:rsidRPr="00ED305A">
        <w:rPr>
          <w:rFonts w:ascii="Verdana" w:hAnsi="Verdana"/>
          <w:sz w:val="19"/>
          <w:szCs w:val="19"/>
        </w:rPr>
        <w:t xml:space="preserve">Considerando </w:t>
      </w:r>
      <w:r w:rsidR="00F16C5D">
        <w:rPr>
          <w:rFonts w:ascii="Verdana" w:hAnsi="Verdana"/>
          <w:sz w:val="19"/>
          <w:szCs w:val="19"/>
        </w:rPr>
        <w:t>13</w:t>
      </w:r>
      <w:r w:rsidR="00ED305A">
        <w:rPr>
          <w:rFonts w:ascii="Verdana" w:hAnsi="Verdana"/>
          <w:sz w:val="19"/>
          <w:szCs w:val="19"/>
        </w:rPr>
        <w:t>.a</w:t>
      </w:r>
      <w:r w:rsidRPr="00ED305A">
        <w:rPr>
          <w:rFonts w:ascii="Verdana" w:hAnsi="Verdana"/>
          <w:sz w:val="19"/>
          <w:szCs w:val="19"/>
        </w:rPr>
        <w:t xml:space="preserve">). </w:t>
      </w:r>
    </w:p>
    <w:p w14:paraId="6E04C03E" w14:textId="77777777" w:rsidR="00D123FC" w:rsidRPr="00AF1DD0" w:rsidRDefault="00D123FC" w:rsidP="00D123FC">
      <w:pPr>
        <w:pStyle w:val="Prrafodelista"/>
        <w:autoSpaceDE w:val="0"/>
        <w:autoSpaceDN w:val="0"/>
        <w:adjustRightInd w:val="0"/>
        <w:spacing w:before="120" w:after="120" w:line="240" w:lineRule="auto"/>
        <w:ind w:left="709"/>
        <w:contextualSpacing w:val="0"/>
        <w:jc w:val="both"/>
        <w:rPr>
          <w:rFonts w:ascii="Verdana" w:hAnsi="Verdana"/>
          <w:sz w:val="4"/>
          <w:szCs w:val="4"/>
        </w:rPr>
      </w:pPr>
    </w:p>
    <w:p w14:paraId="6361BD47" w14:textId="32FF0D77" w:rsidR="00194E2A" w:rsidRPr="002633AB" w:rsidRDefault="00194E2A" w:rsidP="002410F0">
      <w:pPr>
        <w:pStyle w:val="Prrafodelista"/>
        <w:numPr>
          <w:ilvl w:val="0"/>
          <w:numId w:val="35"/>
        </w:numPr>
        <w:tabs>
          <w:tab w:val="left" w:pos="142"/>
        </w:tabs>
        <w:autoSpaceDE w:val="0"/>
        <w:autoSpaceDN w:val="0"/>
        <w:adjustRightInd w:val="0"/>
        <w:spacing w:before="120" w:after="120" w:line="240" w:lineRule="auto"/>
        <w:ind w:left="0" w:right="99" w:firstLine="142"/>
        <w:contextualSpacing w:val="0"/>
        <w:jc w:val="both"/>
        <w:rPr>
          <w:rFonts w:ascii="Verdana" w:hAnsi="Verdana"/>
          <w:sz w:val="20"/>
          <w:szCs w:val="20"/>
        </w:rPr>
      </w:pPr>
      <w:r w:rsidRPr="002633AB">
        <w:rPr>
          <w:rFonts w:ascii="Verdana" w:hAnsi="Verdana"/>
          <w:sz w:val="20"/>
          <w:szCs w:val="20"/>
        </w:rPr>
        <w:t xml:space="preserve">Con respecto a los requisitos para la adopción de medidas provisionales, indicaron: </w:t>
      </w:r>
    </w:p>
    <w:p w14:paraId="62B5B64D" w14:textId="19843F78" w:rsidR="0033752E" w:rsidRPr="00361568" w:rsidRDefault="00194E2A" w:rsidP="00FF74B4">
      <w:pPr>
        <w:pStyle w:val="Prrafodelista"/>
        <w:numPr>
          <w:ilvl w:val="0"/>
          <w:numId w:val="6"/>
        </w:numPr>
        <w:autoSpaceDE w:val="0"/>
        <w:autoSpaceDN w:val="0"/>
        <w:adjustRightInd w:val="0"/>
        <w:spacing w:before="120" w:after="120" w:line="240" w:lineRule="auto"/>
        <w:contextualSpacing w:val="0"/>
        <w:jc w:val="both"/>
        <w:rPr>
          <w:rFonts w:ascii="Verdana" w:hAnsi="Verdana" w:cs="Verdana"/>
          <w:sz w:val="19"/>
          <w:szCs w:val="19"/>
        </w:rPr>
      </w:pPr>
      <w:r w:rsidRPr="00361568">
        <w:rPr>
          <w:rFonts w:ascii="Verdana" w:hAnsi="Verdana"/>
          <w:sz w:val="19"/>
          <w:szCs w:val="19"/>
        </w:rPr>
        <w:t xml:space="preserve">Sobre la </w:t>
      </w:r>
      <w:r w:rsidR="004B6979" w:rsidRPr="00CC47B6">
        <w:rPr>
          <w:rFonts w:ascii="Verdana" w:hAnsi="Verdana"/>
          <w:i/>
          <w:sz w:val="19"/>
          <w:szCs w:val="19"/>
        </w:rPr>
        <w:t xml:space="preserve">extrema </w:t>
      </w:r>
      <w:r w:rsidRPr="00CC47B6">
        <w:rPr>
          <w:rFonts w:ascii="Verdana" w:hAnsi="Verdana"/>
          <w:i/>
          <w:sz w:val="19"/>
          <w:szCs w:val="19"/>
        </w:rPr>
        <w:t>gravedad</w:t>
      </w:r>
      <w:r w:rsidRPr="00361568">
        <w:rPr>
          <w:rFonts w:ascii="Verdana" w:hAnsi="Verdana"/>
          <w:sz w:val="19"/>
          <w:szCs w:val="19"/>
        </w:rPr>
        <w:t xml:space="preserve">, </w:t>
      </w:r>
      <w:r w:rsidR="00DF4DC2" w:rsidRPr="00361568">
        <w:rPr>
          <w:rFonts w:ascii="Verdana" w:hAnsi="Verdana"/>
          <w:sz w:val="19"/>
          <w:szCs w:val="19"/>
        </w:rPr>
        <w:t xml:space="preserve">sostuvieron que “la eventual aprobación de la [iniciativa de] L[ey de Reconciliación Nacional] tal como ha sido planteada por la Asamblea Legislativa, generaría una violación de extrema gravedad al derecho de acceso a la justicia” </w:t>
      </w:r>
      <w:r w:rsidR="002410F0" w:rsidRPr="00361568">
        <w:rPr>
          <w:rFonts w:ascii="Verdana" w:hAnsi="Verdana"/>
          <w:sz w:val="19"/>
          <w:szCs w:val="19"/>
        </w:rPr>
        <w:t>de</w:t>
      </w:r>
      <w:r w:rsidR="00DF4DC2" w:rsidRPr="00361568">
        <w:rPr>
          <w:rFonts w:ascii="Verdana" w:hAnsi="Verdana"/>
          <w:sz w:val="19"/>
          <w:szCs w:val="19"/>
        </w:rPr>
        <w:t xml:space="preserve"> las víctimas </w:t>
      </w:r>
      <w:r w:rsidR="00DF4DC2" w:rsidRPr="00ED305A">
        <w:rPr>
          <w:rFonts w:ascii="Verdana" w:hAnsi="Verdana"/>
          <w:sz w:val="19"/>
          <w:szCs w:val="19"/>
        </w:rPr>
        <w:t xml:space="preserve">del caso </w:t>
      </w:r>
      <w:r w:rsidR="00DF4DC2" w:rsidRPr="00ED305A">
        <w:rPr>
          <w:rFonts w:ascii="Verdana" w:hAnsi="Verdana"/>
          <w:i/>
          <w:sz w:val="19"/>
          <w:szCs w:val="19"/>
        </w:rPr>
        <w:t>Masacre</w:t>
      </w:r>
      <w:r w:rsidR="00CC47B6">
        <w:rPr>
          <w:rFonts w:ascii="Verdana" w:hAnsi="Verdana"/>
          <w:i/>
          <w:sz w:val="19"/>
          <w:szCs w:val="19"/>
        </w:rPr>
        <w:t>s</w:t>
      </w:r>
      <w:r w:rsidR="00DF4DC2" w:rsidRPr="00ED305A">
        <w:rPr>
          <w:rFonts w:ascii="Verdana" w:hAnsi="Verdana"/>
          <w:i/>
          <w:sz w:val="19"/>
          <w:szCs w:val="19"/>
        </w:rPr>
        <w:t xml:space="preserve"> de El Mozote</w:t>
      </w:r>
      <w:r w:rsidR="002410F0" w:rsidRPr="00ED305A">
        <w:rPr>
          <w:rFonts w:ascii="Verdana" w:hAnsi="Verdana"/>
          <w:i/>
          <w:sz w:val="19"/>
          <w:szCs w:val="19"/>
        </w:rPr>
        <w:t xml:space="preserve"> y lugares aledaños</w:t>
      </w:r>
      <w:r w:rsidR="00DF4DC2" w:rsidRPr="00ED305A">
        <w:rPr>
          <w:rFonts w:ascii="Verdana" w:hAnsi="Verdana"/>
          <w:sz w:val="19"/>
          <w:szCs w:val="19"/>
        </w:rPr>
        <w:t xml:space="preserve"> que “es el único </w:t>
      </w:r>
      <w:r w:rsidR="007859ED" w:rsidRPr="00ED305A">
        <w:rPr>
          <w:rFonts w:ascii="Verdana" w:hAnsi="Verdana"/>
          <w:sz w:val="19"/>
          <w:szCs w:val="19"/>
        </w:rPr>
        <w:t xml:space="preserve">[caso] </w:t>
      </w:r>
      <w:r w:rsidR="00DF4DC2" w:rsidRPr="00ED305A">
        <w:rPr>
          <w:rFonts w:ascii="Verdana" w:hAnsi="Verdana"/>
          <w:sz w:val="19"/>
          <w:szCs w:val="19"/>
        </w:rPr>
        <w:t>en El Salvador en el que se han observado avances en las investigaciones”</w:t>
      </w:r>
      <w:r w:rsidR="00807AEF" w:rsidRPr="00ED305A">
        <w:rPr>
          <w:rFonts w:ascii="Verdana" w:hAnsi="Verdana"/>
          <w:sz w:val="19"/>
          <w:szCs w:val="19"/>
        </w:rPr>
        <w:t xml:space="preserve"> gracias a la Sentencia de la Corte, a la decisión de la Sala de lo Constitucional de julio de 2016 (</w:t>
      </w:r>
      <w:r w:rsidR="00807AEF" w:rsidRPr="00ED305A">
        <w:rPr>
          <w:rFonts w:ascii="Verdana" w:hAnsi="Verdana"/>
          <w:i/>
          <w:sz w:val="19"/>
          <w:szCs w:val="19"/>
        </w:rPr>
        <w:t>supra</w:t>
      </w:r>
      <w:r w:rsidR="00807AEF" w:rsidRPr="00ED305A">
        <w:rPr>
          <w:rFonts w:ascii="Verdana" w:hAnsi="Verdana"/>
          <w:sz w:val="19"/>
          <w:szCs w:val="19"/>
        </w:rPr>
        <w:t xml:space="preserve"> Considerandos </w:t>
      </w:r>
      <w:r w:rsidR="00ED305A" w:rsidRPr="00ED305A">
        <w:rPr>
          <w:rFonts w:ascii="Verdana" w:hAnsi="Verdana"/>
          <w:sz w:val="19"/>
          <w:szCs w:val="19"/>
        </w:rPr>
        <w:t>3 a 5</w:t>
      </w:r>
      <w:r w:rsidR="00807AEF" w:rsidRPr="00ED305A">
        <w:rPr>
          <w:rFonts w:ascii="Verdana" w:hAnsi="Verdana"/>
          <w:sz w:val="19"/>
          <w:szCs w:val="19"/>
        </w:rPr>
        <w:t xml:space="preserve">) y a </w:t>
      </w:r>
      <w:r w:rsidR="002410F0" w:rsidRPr="00ED305A">
        <w:rPr>
          <w:rFonts w:ascii="Verdana" w:hAnsi="Verdana"/>
          <w:sz w:val="19"/>
          <w:szCs w:val="19"/>
        </w:rPr>
        <w:t>“</w:t>
      </w:r>
      <w:r w:rsidR="00807AEF" w:rsidRPr="00ED305A">
        <w:rPr>
          <w:rFonts w:ascii="Verdana" w:hAnsi="Verdana"/>
          <w:sz w:val="19"/>
          <w:szCs w:val="19"/>
        </w:rPr>
        <w:t xml:space="preserve">la </w:t>
      </w:r>
      <w:r w:rsidR="002410F0" w:rsidRPr="00ED305A">
        <w:rPr>
          <w:rFonts w:ascii="Verdana" w:hAnsi="Verdana"/>
          <w:sz w:val="19"/>
          <w:szCs w:val="19"/>
        </w:rPr>
        <w:t xml:space="preserve">valiente </w:t>
      </w:r>
      <w:r w:rsidR="00807AEF" w:rsidRPr="00ED305A">
        <w:rPr>
          <w:rFonts w:ascii="Verdana" w:hAnsi="Verdana"/>
          <w:sz w:val="19"/>
          <w:szCs w:val="19"/>
        </w:rPr>
        <w:t>actuación del juez a cargo del proceso penal</w:t>
      </w:r>
      <w:r w:rsidR="002410F0" w:rsidRPr="00ED305A">
        <w:rPr>
          <w:rFonts w:ascii="Verdana" w:hAnsi="Verdana"/>
          <w:sz w:val="19"/>
          <w:szCs w:val="19"/>
        </w:rPr>
        <w:t>”</w:t>
      </w:r>
      <w:r w:rsidR="00807AEF" w:rsidRPr="00ED305A">
        <w:rPr>
          <w:rFonts w:ascii="Verdana" w:hAnsi="Verdana"/>
          <w:sz w:val="19"/>
          <w:szCs w:val="19"/>
        </w:rPr>
        <w:t>. También, considera</w:t>
      </w:r>
      <w:r w:rsidR="00D46713" w:rsidRPr="00ED305A">
        <w:rPr>
          <w:rFonts w:ascii="Verdana" w:hAnsi="Verdana"/>
          <w:sz w:val="19"/>
          <w:szCs w:val="19"/>
        </w:rPr>
        <w:t xml:space="preserve">ron </w:t>
      </w:r>
      <w:r w:rsidR="00807AEF" w:rsidRPr="00ED305A">
        <w:rPr>
          <w:rFonts w:ascii="Verdana" w:hAnsi="Verdana"/>
          <w:sz w:val="19"/>
          <w:szCs w:val="19"/>
        </w:rPr>
        <w:t xml:space="preserve">que se </w:t>
      </w:r>
      <w:r w:rsidR="003217AA" w:rsidRPr="00ED305A">
        <w:rPr>
          <w:rFonts w:ascii="Verdana" w:hAnsi="Verdana"/>
          <w:sz w:val="19"/>
          <w:szCs w:val="19"/>
        </w:rPr>
        <w:t>“generaría una violación de extrema gravedad</w:t>
      </w:r>
      <w:r w:rsidR="00D46713" w:rsidRPr="00ED305A">
        <w:rPr>
          <w:rFonts w:ascii="Verdana" w:hAnsi="Verdana"/>
          <w:sz w:val="19"/>
          <w:szCs w:val="19"/>
        </w:rPr>
        <w:t xml:space="preserve"> </w:t>
      </w:r>
      <w:r w:rsidR="003217AA" w:rsidRPr="00ED305A">
        <w:rPr>
          <w:rFonts w:ascii="Verdana" w:hAnsi="Verdana"/>
          <w:sz w:val="19"/>
          <w:szCs w:val="19"/>
        </w:rPr>
        <w:t>al</w:t>
      </w:r>
      <w:r w:rsidR="00D46713" w:rsidRPr="00ED305A">
        <w:rPr>
          <w:rFonts w:ascii="Verdana" w:hAnsi="Verdana"/>
          <w:sz w:val="19"/>
          <w:szCs w:val="19"/>
        </w:rPr>
        <w:t xml:space="preserve"> derecho de acceso a la justicia</w:t>
      </w:r>
      <w:r w:rsidR="003217AA" w:rsidRPr="00ED305A">
        <w:rPr>
          <w:rFonts w:ascii="Verdana" w:hAnsi="Verdana"/>
          <w:sz w:val="19"/>
          <w:szCs w:val="19"/>
        </w:rPr>
        <w:t xml:space="preserve"> para </w:t>
      </w:r>
      <w:r w:rsidR="00DF4DC2" w:rsidRPr="00ED305A">
        <w:rPr>
          <w:rFonts w:ascii="Verdana" w:hAnsi="Verdana"/>
          <w:sz w:val="19"/>
          <w:szCs w:val="19"/>
        </w:rPr>
        <w:t>todas las víctimas del conflicto armado salvadoreño”</w:t>
      </w:r>
      <w:r w:rsidR="003217AA" w:rsidRPr="00ED305A">
        <w:rPr>
          <w:rFonts w:ascii="Verdana" w:hAnsi="Verdana"/>
          <w:sz w:val="19"/>
          <w:szCs w:val="19"/>
        </w:rPr>
        <w:t>,</w:t>
      </w:r>
      <w:r w:rsidR="00807AEF" w:rsidRPr="00ED305A">
        <w:rPr>
          <w:rFonts w:ascii="Verdana" w:hAnsi="Verdana"/>
          <w:sz w:val="19"/>
          <w:szCs w:val="19"/>
        </w:rPr>
        <w:t xml:space="preserve"> pues la aprobación de esta ley “perpetuaría la impunidad en que se mantienen a nivel interno […] otros casos de graves violaciones a derechos humanos cometidas durante el conflicto armado interno”</w:t>
      </w:r>
      <w:r w:rsidR="00DF4DC2" w:rsidRPr="00ED305A">
        <w:rPr>
          <w:rFonts w:ascii="Verdana" w:hAnsi="Verdana"/>
          <w:sz w:val="19"/>
          <w:szCs w:val="19"/>
        </w:rPr>
        <w:t xml:space="preserve">. </w:t>
      </w:r>
      <w:r w:rsidR="0033752E" w:rsidRPr="00ED305A">
        <w:rPr>
          <w:rFonts w:ascii="Verdana" w:hAnsi="Verdana"/>
          <w:sz w:val="19"/>
          <w:szCs w:val="19"/>
        </w:rPr>
        <w:t xml:space="preserve">Concretamente </w:t>
      </w:r>
      <w:r w:rsidR="003217AA" w:rsidRPr="00ED305A">
        <w:rPr>
          <w:rFonts w:ascii="Verdana" w:hAnsi="Verdana"/>
          <w:sz w:val="19"/>
          <w:szCs w:val="19"/>
        </w:rPr>
        <w:t xml:space="preserve">explicaron que </w:t>
      </w:r>
      <w:r w:rsidR="00731254" w:rsidRPr="00ED305A">
        <w:rPr>
          <w:rFonts w:ascii="Verdana" w:hAnsi="Verdana"/>
          <w:sz w:val="19"/>
          <w:szCs w:val="19"/>
        </w:rPr>
        <w:t xml:space="preserve">la extrema gravedad </w:t>
      </w:r>
      <w:r w:rsidR="0033752E" w:rsidRPr="00ED305A">
        <w:rPr>
          <w:rFonts w:ascii="Verdana" w:hAnsi="Verdana"/>
          <w:sz w:val="19"/>
          <w:szCs w:val="19"/>
        </w:rPr>
        <w:t>se centra en que:</w:t>
      </w:r>
      <w:r w:rsidR="0033752E" w:rsidRPr="00361568">
        <w:rPr>
          <w:rFonts w:ascii="Verdana" w:hAnsi="Verdana"/>
          <w:sz w:val="19"/>
          <w:szCs w:val="19"/>
        </w:rPr>
        <w:t xml:space="preserve"> </w:t>
      </w:r>
    </w:p>
    <w:p w14:paraId="29EEB95A" w14:textId="2D5BDA2A" w:rsidR="0033752E" w:rsidRPr="00361568" w:rsidRDefault="00E16D59" w:rsidP="004F64E0">
      <w:pPr>
        <w:pStyle w:val="Prrafodelista"/>
        <w:numPr>
          <w:ilvl w:val="0"/>
          <w:numId w:val="29"/>
        </w:numPr>
        <w:autoSpaceDE w:val="0"/>
        <w:autoSpaceDN w:val="0"/>
        <w:adjustRightInd w:val="0"/>
        <w:spacing w:before="120" w:after="120" w:line="240" w:lineRule="auto"/>
        <w:ind w:hanging="306"/>
        <w:contextualSpacing w:val="0"/>
        <w:jc w:val="both"/>
        <w:rPr>
          <w:rFonts w:ascii="Verdana" w:hAnsi="Verdana" w:cs="Verdana"/>
          <w:sz w:val="19"/>
          <w:szCs w:val="19"/>
        </w:rPr>
      </w:pPr>
      <w:r w:rsidRPr="00361568">
        <w:rPr>
          <w:rFonts w:ascii="Verdana" w:hAnsi="Verdana"/>
          <w:sz w:val="19"/>
          <w:szCs w:val="19"/>
        </w:rPr>
        <w:t>bajo la</w:t>
      </w:r>
      <w:r w:rsidR="0033752E" w:rsidRPr="00361568">
        <w:rPr>
          <w:rFonts w:ascii="Verdana" w:hAnsi="Verdana"/>
          <w:sz w:val="19"/>
          <w:szCs w:val="19"/>
        </w:rPr>
        <w:t xml:space="preserve"> referida iniciativa de Ley </w:t>
      </w:r>
      <w:r w:rsidRPr="00361568">
        <w:rPr>
          <w:rFonts w:ascii="Verdana" w:hAnsi="Verdana"/>
          <w:sz w:val="19"/>
          <w:szCs w:val="19"/>
        </w:rPr>
        <w:t xml:space="preserve">“únicamente determinados casos serían investigados” ya que </w:t>
      </w:r>
      <w:r w:rsidR="0057091E" w:rsidRPr="00361568">
        <w:rPr>
          <w:rFonts w:ascii="Verdana" w:hAnsi="Verdana"/>
          <w:sz w:val="19"/>
          <w:szCs w:val="19"/>
        </w:rPr>
        <w:t>“</w:t>
      </w:r>
      <w:r w:rsidR="004F64E0" w:rsidRPr="00361568">
        <w:rPr>
          <w:rFonts w:ascii="Verdana" w:hAnsi="Verdana"/>
          <w:sz w:val="19"/>
          <w:szCs w:val="19"/>
        </w:rPr>
        <w:t xml:space="preserve">establece una 'política especial y de selección' por la cual </w:t>
      </w:r>
      <w:r w:rsidR="00F941CC" w:rsidRPr="00361568">
        <w:rPr>
          <w:rFonts w:ascii="Verdana" w:hAnsi="Verdana"/>
          <w:sz w:val="19"/>
          <w:szCs w:val="19"/>
        </w:rPr>
        <w:t>el Fiscal General</w:t>
      </w:r>
      <w:r w:rsidR="009360BD" w:rsidRPr="00361568">
        <w:rPr>
          <w:rFonts w:ascii="Verdana" w:hAnsi="Verdana"/>
          <w:sz w:val="19"/>
          <w:szCs w:val="19"/>
        </w:rPr>
        <w:t xml:space="preserve"> de la República</w:t>
      </w:r>
      <w:r w:rsidR="004F64E0" w:rsidRPr="00361568">
        <w:rPr>
          <w:rFonts w:ascii="Verdana" w:hAnsi="Verdana"/>
          <w:sz w:val="19"/>
          <w:szCs w:val="19"/>
        </w:rPr>
        <w:t xml:space="preserve"> elaboraría un listado de casos a ser investigados y procesados judicialmente, estableciendo ciertos criterios para seleccionarlos, entre ellos, la gravedad de los hechos, la capacidad para demostrar patrones o la factibilidad o viabilidad de las investigaciones”. Además, señala que </w:t>
      </w:r>
      <w:r w:rsidR="00F941CC" w:rsidRPr="00361568">
        <w:rPr>
          <w:rFonts w:ascii="Verdana" w:hAnsi="Verdana"/>
          <w:sz w:val="19"/>
          <w:szCs w:val="19"/>
        </w:rPr>
        <w:t xml:space="preserve">aquellos </w:t>
      </w:r>
      <w:r w:rsidR="004F64E0" w:rsidRPr="00361568">
        <w:rPr>
          <w:rFonts w:ascii="Verdana" w:hAnsi="Verdana"/>
          <w:sz w:val="19"/>
          <w:szCs w:val="19"/>
        </w:rPr>
        <w:t xml:space="preserve">casos </w:t>
      </w:r>
      <w:r w:rsidR="00F941CC" w:rsidRPr="00361568">
        <w:rPr>
          <w:rFonts w:ascii="Verdana" w:hAnsi="Verdana"/>
          <w:sz w:val="19"/>
          <w:szCs w:val="19"/>
        </w:rPr>
        <w:t xml:space="preserve">que no queden comprendidos en la lista elaborada para este fin, </w:t>
      </w:r>
      <w:r w:rsidR="004F64E0" w:rsidRPr="00361568">
        <w:rPr>
          <w:rFonts w:ascii="Verdana" w:hAnsi="Verdana"/>
          <w:sz w:val="19"/>
          <w:szCs w:val="19"/>
        </w:rPr>
        <w:t>“</w:t>
      </w:r>
      <w:r w:rsidR="00F941CC" w:rsidRPr="00361568">
        <w:rPr>
          <w:rFonts w:ascii="Verdana" w:hAnsi="Verdana"/>
          <w:sz w:val="19"/>
          <w:szCs w:val="19"/>
        </w:rPr>
        <w:t>quedarían sujetos a lo dispuesto en el artículo 16, que establece los casos objeto de amnistía”. Es decir, a criterio de los representantes, aquellos casos que tengan carácter de crimen de lesa humanidad o crimen de guerra que no sean incluidos en el listado preparado por el Fiscal General, “formalmente no estaría[n] cubiertos por la amnistía” pero “quedarían en impunidad”</w:t>
      </w:r>
      <w:r w:rsidR="00D31728" w:rsidRPr="00361568">
        <w:rPr>
          <w:rFonts w:ascii="Verdana" w:hAnsi="Verdana"/>
          <w:sz w:val="19"/>
          <w:szCs w:val="19"/>
        </w:rPr>
        <w:t>.</w:t>
      </w:r>
    </w:p>
    <w:p w14:paraId="25C18C0C" w14:textId="139DD3E0" w:rsidR="0033752E" w:rsidRPr="00361568" w:rsidRDefault="00F941CC" w:rsidP="0033752E">
      <w:pPr>
        <w:pStyle w:val="Prrafodelista"/>
        <w:numPr>
          <w:ilvl w:val="0"/>
          <w:numId w:val="29"/>
        </w:numPr>
        <w:autoSpaceDE w:val="0"/>
        <w:autoSpaceDN w:val="0"/>
        <w:adjustRightInd w:val="0"/>
        <w:spacing w:before="120" w:after="120" w:line="240" w:lineRule="auto"/>
        <w:ind w:hanging="306"/>
        <w:contextualSpacing w:val="0"/>
        <w:jc w:val="both"/>
        <w:rPr>
          <w:rFonts w:ascii="Verdana" w:hAnsi="Verdana" w:cs="Verdana"/>
          <w:sz w:val="19"/>
          <w:szCs w:val="19"/>
        </w:rPr>
      </w:pPr>
      <w:r w:rsidRPr="00361568">
        <w:rPr>
          <w:rFonts w:ascii="Verdana" w:hAnsi="Verdana"/>
          <w:sz w:val="19"/>
          <w:szCs w:val="19"/>
        </w:rPr>
        <w:t>“</w:t>
      </w:r>
      <w:r w:rsidR="0033752E" w:rsidRPr="00361568">
        <w:rPr>
          <w:rFonts w:ascii="Verdana" w:hAnsi="Verdana"/>
          <w:sz w:val="19"/>
          <w:szCs w:val="19"/>
        </w:rPr>
        <w:t>[A]</w:t>
      </w:r>
      <w:r w:rsidRPr="00361568">
        <w:rPr>
          <w:rFonts w:ascii="Verdana" w:hAnsi="Verdana"/>
          <w:sz w:val="19"/>
          <w:szCs w:val="19"/>
        </w:rPr>
        <w:t>ún en los casos que sí sean investigados</w:t>
      </w:r>
      <w:r w:rsidR="0033752E" w:rsidRPr="00361568">
        <w:rPr>
          <w:rFonts w:ascii="Verdana" w:hAnsi="Verdana"/>
          <w:sz w:val="19"/>
          <w:szCs w:val="19"/>
        </w:rPr>
        <w:t xml:space="preserve"> los responsables de los hechos no recibirían una sanción proporcional a lo ocurrido, [ya que] en los casos en los que la pena impuesta sea inferior a los 10 años, esta quedará suspendida y en los casos de aquellos condenados a más de 10 años se establece la sustitución de la pena por 'trabajos de utilidad pública'”. </w:t>
      </w:r>
    </w:p>
    <w:p w14:paraId="255C05AD" w14:textId="2976437C" w:rsidR="00194E2A" w:rsidRPr="00361568" w:rsidRDefault="0033752E" w:rsidP="0033752E">
      <w:pPr>
        <w:pStyle w:val="Prrafodelista"/>
        <w:numPr>
          <w:ilvl w:val="0"/>
          <w:numId w:val="29"/>
        </w:numPr>
        <w:autoSpaceDE w:val="0"/>
        <w:autoSpaceDN w:val="0"/>
        <w:adjustRightInd w:val="0"/>
        <w:spacing w:before="120" w:after="120" w:line="240" w:lineRule="auto"/>
        <w:ind w:hanging="306"/>
        <w:contextualSpacing w:val="0"/>
        <w:jc w:val="both"/>
        <w:rPr>
          <w:rFonts w:ascii="Verdana" w:hAnsi="Verdana" w:cs="Verdana"/>
          <w:sz w:val="19"/>
          <w:szCs w:val="19"/>
        </w:rPr>
      </w:pPr>
      <w:r w:rsidRPr="00361568">
        <w:rPr>
          <w:rFonts w:ascii="Verdana" w:hAnsi="Verdana" w:cs="Verdana"/>
          <w:sz w:val="19"/>
          <w:szCs w:val="19"/>
        </w:rPr>
        <w:t>La iniciativa de ley “prohíbe el uso de la prisión preventiva”, por lo cual no sería posible utilizarla “en aquellos caso en los que se requiera […] para resguardar la integridad del proceso o evi</w:t>
      </w:r>
      <w:r w:rsidR="00D31728" w:rsidRPr="00361568">
        <w:rPr>
          <w:rFonts w:ascii="Verdana" w:hAnsi="Verdana" w:cs="Verdana"/>
          <w:sz w:val="19"/>
          <w:szCs w:val="19"/>
        </w:rPr>
        <w:t>tar la fuga de los procesados</w:t>
      </w:r>
      <w:r w:rsidR="00CC47B6">
        <w:rPr>
          <w:rFonts w:ascii="Verdana" w:hAnsi="Verdana" w:cs="Verdana"/>
          <w:sz w:val="19"/>
          <w:szCs w:val="19"/>
        </w:rPr>
        <w:t>”</w:t>
      </w:r>
      <w:r w:rsidR="00D31728" w:rsidRPr="00361568">
        <w:rPr>
          <w:rFonts w:ascii="Verdana" w:hAnsi="Verdana" w:cs="Verdana"/>
          <w:sz w:val="19"/>
          <w:szCs w:val="19"/>
        </w:rPr>
        <w:t>.</w:t>
      </w:r>
    </w:p>
    <w:p w14:paraId="0DFE6705" w14:textId="737B0925" w:rsidR="00D31728" w:rsidRPr="00361568" w:rsidRDefault="00D31728" w:rsidP="0033752E">
      <w:pPr>
        <w:pStyle w:val="Prrafodelista"/>
        <w:numPr>
          <w:ilvl w:val="0"/>
          <w:numId w:val="29"/>
        </w:numPr>
        <w:autoSpaceDE w:val="0"/>
        <w:autoSpaceDN w:val="0"/>
        <w:adjustRightInd w:val="0"/>
        <w:spacing w:before="120" w:after="120" w:line="240" w:lineRule="auto"/>
        <w:ind w:hanging="306"/>
        <w:contextualSpacing w:val="0"/>
        <w:jc w:val="both"/>
        <w:rPr>
          <w:rFonts w:ascii="Verdana" w:hAnsi="Verdana" w:cs="Verdana"/>
          <w:sz w:val="19"/>
          <w:szCs w:val="19"/>
        </w:rPr>
      </w:pPr>
      <w:r w:rsidRPr="00361568">
        <w:rPr>
          <w:rFonts w:ascii="Verdana" w:hAnsi="Verdana" w:cs="Verdana"/>
          <w:sz w:val="19"/>
          <w:szCs w:val="19"/>
        </w:rPr>
        <w:t>También</w:t>
      </w:r>
      <w:r w:rsidR="00137DBC" w:rsidRPr="00361568">
        <w:rPr>
          <w:rFonts w:ascii="Verdana" w:hAnsi="Verdana" w:cs="Verdana"/>
          <w:sz w:val="19"/>
          <w:szCs w:val="19"/>
        </w:rPr>
        <w:t xml:space="preserve"> “limita la competencia de los órganos jurisdiccionales a determinados tribunales para que sólo estos conozcan y resuelvan los casos en cuestión, afectando el principio del juez natural”. </w:t>
      </w:r>
      <w:r w:rsidRPr="00361568">
        <w:rPr>
          <w:rFonts w:ascii="Verdana" w:hAnsi="Verdana" w:cs="Verdana"/>
          <w:sz w:val="19"/>
          <w:szCs w:val="19"/>
        </w:rPr>
        <w:t xml:space="preserve"> </w:t>
      </w:r>
      <w:r w:rsidR="00137DBC" w:rsidRPr="00361568">
        <w:rPr>
          <w:rFonts w:ascii="Verdana" w:hAnsi="Verdana" w:cs="Verdana"/>
          <w:sz w:val="19"/>
          <w:szCs w:val="19"/>
        </w:rPr>
        <w:t>Ello</w:t>
      </w:r>
      <w:r w:rsidRPr="00361568">
        <w:rPr>
          <w:rFonts w:ascii="Verdana" w:hAnsi="Verdana" w:cs="Verdana"/>
          <w:sz w:val="19"/>
          <w:szCs w:val="19"/>
        </w:rPr>
        <w:t xml:space="preserve"> “implicaría riesgos particulares para el caso de la</w:t>
      </w:r>
      <w:r w:rsidR="00CC47B6">
        <w:rPr>
          <w:rFonts w:ascii="Verdana" w:hAnsi="Verdana" w:cs="Verdana"/>
          <w:sz w:val="19"/>
          <w:szCs w:val="19"/>
        </w:rPr>
        <w:t>[s]</w:t>
      </w:r>
      <w:r w:rsidRPr="00361568">
        <w:rPr>
          <w:rFonts w:ascii="Verdana" w:hAnsi="Verdana" w:cs="Verdana"/>
          <w:sz w:val="19"/>
          <w:szCs w:val="19"/>
        </w:rPr>
        <w:t xml:space="preserve"> Masacre</w:t>
      </w:r>
      <w:r w:rsidR="00CC47B6">
        <w:rPr>
          <w:rFonts w:ascii="Verdana" w:hAnsi="Verdana" w:cs="Verdana"/>
          <w:sz w:val="19"/>
          <w:szCs w:val="19"/>
        </w:rPr>
        <w:t xml:space="preserve">[s] </w:t>
      </w:r>
      <w:r w:rsidRPr="00361568">
        <w:rPr>
          <w:rFonts w:ascii="Verdana" w:hAnsi="Verdana" w:cs="Verdana"/>
          <w:sz w:val="19"/>
          <w:szCs w:val="19"/>
        </w:rPr>
        <w:t xml:space="preserve">de El Mozote y lugares aledaños, en la medida en que la misma establece que la competencia para el conocimiento de estos casos la tendrían tribunales específicos en San Salvador, violando el principio de juez natural”. </w:t>
      </w:r>
      <w:r w:rsidR="002410F0" w:rsidRPr="00361568">
        <w:rPr>
          <w:rFonts w:ascii="Verdana" w:hAnsi="Verdana" w:cs="Verdana"/>
          <w:sz w:val="19"/>
          <w:szCs w:val="19"/>
        </w:rPr>
        <w:t>Todo esto</w:t>
      </w:r>
      <w:r w:rsidRPr="00361568">
        <w:rPr>
          <w:rFonts w:ascii="Verdana" w:hAnsi="Verdana" w:cs="Verdana"/>
          <w:sz w:val="19"/>
          <w:szCs w:val="19"/>
        </w:rPr>
        <w:t xml:space="preserve"> “generaría incertidumbre sobre la continuidad del proceso, pues el juez que hasta el momento ha realizado la instrucción podría perder competencia </w:t>
      </w:r>
      <w:r w:rsidRPr="00361568">
        <w:rPr>
          <w:rFonts w:ascii="Verdana" w:hAnsi="Verdana" w:cs="Verdana"/>
          <w:sz w:val="19"/>
          <w:szCs w:val="19"/>
        </w:rPr>
        <w:lastRenderedPageBreak/>
        <w:t xml:space="preserve">y la investigación podría pasar a manos de la Fiscalía, en [la cual] quedaría la determinación de la utilización de la prueba que se ha producido hasta el momento”. </w:t>
      </w:r>
    </w:p>
    <w:p w14:paraId="042CC613" w14:textId="7C553562" w:rsidR="005D0CD2" w:rsidRPr="00361568" w:rsidRDefault="00194E2A" w:rsidP="005D0CD2">
      <w:pPr>
        <w:pStyle w:val="Prrafodelista"/>
        <w:numPr>
          <w:ilvl w:val="0"/>
          <w:numId w:val="6"/>
        </w:numPr>
        <w:autoSpaceDE w:val="0"/>
        <w:autoSpaceDN w:val="0"/>
        <w:adjustRightInd w:val="0"/>
        <w:spacing w:before="120" w:after="120" w:line="240" w:lineRule="auto"/>
        <w:contextualSpacing w:val="0"/>
        <w:jc w:val="both"/>
        <w:rPr>
          <w:rFonts w:ascii="Verdana" w:hAnsi="Verdana" w:cs="Verdana"/>
          <w:sz w:val="19"/>
          <w:szCs w:val="19"/>
        </w:rPr>
      </w:pPr>
      <w:r w:rsidRPr="00361568">
        <w:rPr>
          <w:rFonts w:ascii="Verdana" w:hAnsi="Verdana"/>
          <w:sz w:val="19"/>
          <w:szCs w:val="19"/>
        </w:rPr>
        <w:t xml:space="preserve">Respecto al </w:t>
      </w:r>
      <w:r w:rsidR="009814ED" w:rsidRPr="00361568">
        <w:rPr>
          <w:rFonts w:ascii="Verdana" w:hAnsi="Verdana"/>
          <w:sz w:val="19"/>
          <w:szCs w:val="19"/>
        </w:rPr>
        <w:t>requisito de</w:t>
      </w:r>
      <w:r w:rsidRPr="00361568">
        <w:rPr>
          <w:rFonts w:ascii="Verdana" w:hAnsi="Verdana"/>
          <w:sz w:val="19"/>
          <w:szCs w:val="19"/>
        </w:rPr>
        <w:t xml:space="preserve"> </w:t>
      </w:r>
      <w:r w:rsidR="009814ED" w:rsidRPr="00361568">
        <w:rPr>
          <w:rFonts w:ascii="Verdana" w:hAnsi="Verdana"/>
          <w:i/>
          <w:sz w:val="19"/>
          <w:szCs w:val="19"/>
        </w:rPr>
        <w:t>urgencia</w:t>
      </w:r>
      <w:r w:rsidRPr="00361568">
        <w:rPr>
          <w:rFonts w:ascii="Verdana" w:hAnsi="Verdana"/>
          <w:sz w:val="19"/>
          <w:szCs w:val="19"/>
        </w:rPr>
        <w:t xml:space="preserve">, </w:t>
      </w:r>
      <w:r w:rsidR="00263246" w:rsidRPr="00361568">
        <w:rPr>
          <w:rFonts w:ascii="Verdana" w:hAnsi="Verdana"/>
          <w:sz w:val="19"/>
          <w:szCs w:val="19"/>
        </w:rPr>
        <w:t xml:space="preserve">resaltaron la “inminencia y rapidez con la que avanza hacia su aprobación la iniciativa [de ley] en cuestión”, ya que “existe un interés manifiesto por parte de los legisladores </w:t>
      </w:r>
      <w:r w:rsidR="008212FD" w:rsidRPr="00361568">
        <w:rPr>
          <w:rFonts w:ascii="Verdana" w:hAnsi="Verdana"/>
          <w:sz w:val="19"/>
          <w:szCs w:val="19"/>
        </w:rPr>
        <w:t xml:space="preserve">de aprobar[la] a la mayor brevedad”. Explicaron que “la premura se debe al plazo otorgado por la Sala de lo Constitucional para legislar en la materia, [el cual] vence el 13 de julio del año en curso”, y por que “[a]demás existe un interés en que la ley sea sancionada por el gobierno actual, que concluye su mandato el próximo viernes 31 de mayo [de 2019]”. Agregaron que “la propia C[omisión] P[olítica de la Asamblea Legislativa] señaló que su pretensión era lograr la aprobación de su propuesta el 29 de mayo”, para lo cual, los representantes sostuvieron que es posible que “sea empleado el mecanismo de dispensa de </w:t>
      </w:r>
      <w:r w:rsidR="0016041B" w:rsidRPr="00361568">
        <w:rPr>
          <w:rFonts w:ascii="Verdana" w:hAnsi="Verdana"/>
          <w:sz w:val="19"/>
          <w:szCs w:val="19"/>
        </w:rPr>
        <w:t>trámite</w:t>
      </w:r>
      <w:r w:rsidR="008212FD" w:rsidRPr="00361568">
        <w:rPr>
          <w:rFonts w:ascii="Verdana" w:hAnsi="Verdana"/>
          <w:sz w:val="19"/>
          <w:szCs w:val="19"/>
        </w:rPr>
        <w:t xml:space="preserve"> legislativo”, </w:t>
      </w:r>
      <w:r w:rsidR="008E10EF" w:rsidRPr="00361568">
        <w:rPr>
          <w:rFonts w:ascii="Verdana" w:hAnsi="Verdana"/>
          <w:sz w:val="19"/>
          <w:szCs w:val="19"/>
        </w:rPr>
        <w:t>previsto en el Reglamento Interior de la Asamblea,</w:t>
      </w:r>
      <w:r w:rsidR="008212FD" w:rsidRPr="00361568">
        <w:rPr>
          <w:rFonts w:ascii="Verdana" w:hAnsi="Verdana"/>
          <w:sz w:val="19"/>
          <w:szCs w:val="19"/>
        </w:rPr>
        <w:t xml:space="preserve"> “para que en esta misma sesión la iniciativa de [Ley de Reconciliación Nacional] sea presentada, votada, aprobada y remitida al Ejecutivo para su sanción, sin mayor dilación”.</w:t>
      </w:r>
      <w:r w:rsidR="001B094D" w:rsidRPr="00361568">
        <w:rPr>
          <w:rFonts w:ascii="Verdana" w:hAnsi="Verdana"/>
          <w:sz w:val="19"/>
          <w:szCs w:val="19"/>
        </w:rPr>
        <w:t xml:space="preserve"> </w:t>
      </w:r>
    </w:p>
    <w:p w14:paraId="37DD2045" w14:textId="0A747BDA" w:rsidR="00194E2A" w:rsidRPr="00361568" w:rsidRDefault="00194E2A" w:rsidP="005D0CD2">
      <w:pPr>
        <w:pStyle w:val="Prrafodelista"/>
        <w:numPr>
          <w:ilvl w:val="0"/>
          <w:numId w:val="6"/>
        </w:numPr>
        <w:autoSpaceDE w:val="0"/>
        <w:autoSpaceDN w:val="0"/>
        <w:adjustRightInd w:val="0"/>
        <w:spacing w:before="120" w:after="120" w:line="240" w:lineRule="auto"/>
        <w:contextualSpacing w:val="0"/>
        <w:jc w:val="both"/>
        <w:rPr>
          <w:rFonts w:ascii="Verdana" w:hAnsi="Verdana" w:cs="Verdana"/>
          <w:sz w:val="19"/>
          <w:szCs w:val="19"/>
        </w:rPr>
      </w:pPr>
      <w:r w:rsidRPr="00361568">
        <w:rPr>
          <w:rFonts w:ascii="Verdana" w:hAnsi="Verdana"/>
          <w:sz w:val="19"/>
          <w:szCs w:val="19"/>
        </w:rPr>
        <w:t xml:space="preserve">En cuanto al </w:t>
      </w:r>
      <w:r w:rsidRPr="00361568">
        <w:rPr>
          <w:rFonts w:ascii="Verdana" w:hAnsi="Verdana"/>
          <w:i/>
          <w:sz w:val="19"/>
          <w:szCs w:val="19"/>
        </w:rPr>
        <w:t xml:space="preserve">daño irreparable </w:t>
      </w:r>
      <w:r w:rsidRPr="00361568">
        <w:rPr>
          <w:rFonts w:ascii="Verdana" w:hAnsi="Verdana"/>
          <w:sz w:val="19"/>
          <w:szCs w:val="19"/>
        </w:rPr>
        <w:t xml:space="preserve">a las personas, </w:t>
      </w:r>
      <w:r w:rsidR="00070E6F" w:rsidRPr="00361568">
        <w:rPr>
          <w:rFonts w:ascii="Verdana" w:hAnsi="Verdana"/>
          <w:sz w:val="19"/>
          <w:szCs w:val="19"/>
        </w:rPr>
        <w:t>sostuvieron que con la aprobación de esta iniciativa de ley “se materializaría” un “daño irreparable al derecho de acceso a la justicia”</w:t>
      </w:r>
      <w:r w:rsidR="009340CB" w:rsidRPr="00361568">
        <w:rPr>
          <w:rFonts w:ascii="Verdana" w:hAnsi="Verdana"/>
          <w:sz w:val="19"/>
          <w:szCs w:val="19"/>
        </w:rPr>
        <w:t xml:space="preserve"> de las víctimas</w:t>
      </w:r>
      <w:r w:rsidR="004F6D7E" w:rsidRPr="00361568">
        <w:rPr>
          <w:rFonts w:ascii="Verdana" w:hAnsi="Verdana"/>
          <w:sz w:val="19"/>
          <w:szCs w:val="19"/>
        </w:rPr>
        <w:t>,</w:t>
      </w:r>
      <w:r w:rsidR="009340CB" w:rsidRPr="00361568">
        <w:rPr>
          <w:rFonts w:ascii="Verdana" w:hAnsi="Verdana"/>
          <w:sz w:val="19"/>
          <w:szCs w:val="19"/>
        </w:rPr>
        <w:t xml:space="preserve"> pues “sus casos corren e[l]</w:t>
      </w:r>
      <w:r w:rsidR="009340CB" w:rsidRPr="00361568">
        <w:rPr>
          <w:rFonts w:ascii="Verdana" w:hAnsi="Verdana" w:cs="Verdana"/>
          <w:sz w:val="19"/>
          <w:szCs w:val="19"/>
        </w:rPr>
        <w:t xml:space="preserve"> riesgo de quedar en la más absoluta impunidad, y en el mejor de los casos, los responsables de los hechos no tendrán la sanción que les corresponde de acuerdo a la gravedad de lo ocurrido”</w:t>
      </w:r>
      <w:r w:rsidR="00042BD1" w:rsidRPr="00361568">
        <w:rPr>
          <w:rStyle w:val="Refdenotaalpie"/>
          <w:rFonts w:ascii="Verdana" w:hAnsi="Verdana" w:cs="Verdana"/>
          <w:sz w:val="19"/>
          <w:szCs w:val="19"/>
        </w:rPr>
        <w:t xml:space="preserve"> </w:t>
      </w:r>
      <w:r w:rsidR="00042BD1" w:rsidRPr="00361568">
        <w:rPr>
          <w:rStyle w:val="Refdenotaalpie"/>
          <w:rFonts w:ascii="Verdana" w:hAnsi="Verdana" w:cs="Verdana"/>
          <w:sz w:val="19"/>
          <w:szCs w:val="19"/>
        </w:rPr>
        <w:footnoteReference w:id="16"/>
      </w:r>
      <w:r w:rsidR="009340CB" w:rsidRPr="00361568">
        <w:rPr>
          <w:rFonts w:ascii="Verdana" w:hAnsi="Verdana" w:cs="Verdana"/>
          <w:sz w:val="19"/>
          <w:szCs w:val="19"/>
        </w:rPr>
        <w:t xml:space="preserve">. Además, señalaron que “[e]n el caso específico del traslado del proceso de El Mozote a un juzgado distinto al competente, también podría generarse un daño irreparable en la medida en que la forma en que la [iniciativa de] L[ey de Reconciliación Nacional] regula la competencia para la investigación y procesamiento de este tipo de hechos, genera incertidumbre acerca de lo que ocurrirá con este proceso, en el que hasta la fecha se han obtenido avances importantes”. </w:t>
      </w:r>
      <w:r w:rsidR="004F6D7E" w:rsidRPr="00361568">
        <w:rPr>
          <w:rFonts w:ascii="Verdana" w:hAnsi="Verdana" w:cs="Verdana"/>
          <w:sz w:val="19"/>
          <w:szCs w:val="19"/>
        </w:rPr>
        <w:t>R</w:t>
      </w:r>
      <w:r w:rsidR="009340CB" w:rsidRPr="00361568">
        <w:rPr>
          <w:rFonts w:ascii="Verdana" w:hAnsi="Verdana" w:cs="Verdana"/>
          <w:sz w:val="19"/>
          <w:szCs w:val="19"/>
        </w:rPr>
        <w:t>econocieron que</w:t>
      </w:r>
      <w:r w:rsidR="004F6D7E" w:rsidRPr="00361568">
        <w:rPr>
          <w:rFonts w:ascii="Verdana" w:hAnsi="Verdana" w:cs="Verdana"/>
          <w:sz w:val="19"/>
          <w:szCs w:val="19"/>
        </w:rPr>
        <w:t>,</w:t>
      </w:r>
      <w:r w:rsidR="009340CB" w:rsidRPr="00361568">
        <w:rPr>
          <w:rFonts w:ascii="Verdana" w:hAnsi="Verdana" w:cs="Verdana"/>
          <w:sz w:val="19"/>
          <w:szCs w:val="19"/>
        </w:rPr>
        <w:t xml:space="preserve"> “[s]i bien existe la posibilidad de interposición de recursos judiciales para impugnar la constitucionalidad de la Ley una vez aprobada, lo cierto es que no hay certeza de la forma en que estos recursos puedan ser resueltos o del tiempo que tomará la adopción de esta decisión”. </w:t>
      </w:r>
    </w:p>
    <w:p w14:paraId="7D0038D7" w14:textId="77777777" w:rsidR="00303995" w:rsidRPr="00D123FC" w:rsidRDefault="00303995" w:rsidP="00FF74B4">
      <w:pPr>
        <w:pStyle w:val="Prrafodelista"/>
        <w:autoSpaceDE w:val="0"/>
        <w:autoSpaceDN w:val="0"/>
        <w:adjustRightInd w:val="0"/>
        <w:spacing w:before="120" w:after="120" w:line="240" w:lineRule="auto"/>
        <w:contextualSpacing w:val="0"/>
        <w:jc w:val="both"/>
        <w:rPr>
          <w:rFonts w:ascii="Verdana" w:hAnsi="Verdana"/>
          <w:b/>
          <w:sz w:val="4"/>
          <w:szCs w:val="4"/>
        </w:rPr>
      </w:pPr>
    </w:p>
    <w:p w14:paraId="37BC69FA" w14:textId="77777777" w:rsidR="00071080" w:rsidRPr="00DF0207" w:rsidRDefault="00071080" w:rsidP="00071080">
      <w:pPr>
        <w:pStyle w:val="Prrafodelista"/>
        <w:numPr>
          <w:ilvl w:val="0"/>
          <w:numId w:val="3"/>
        </w:numPr>
        <w:autoSpaceDE w:val="0"/>
        <w:autoSpaceDN w:val="0"/>
        <w:adjustRightInd w:val="0"/>
        <w:spacing w:before="120" w:after="120" w:line="240" w:lineRule="auto"/>
        <w:contextualSpacing w:val="0"/>
        <w:jc w:val="both"/>
        <w:rPr>
          <w:rFonts w:ascii="Verdana" w:hAnsi="Verdana"/>
          <w:b/>
          <w:sz w:val="20"/>
          <w:szCs w:val="20"/>
        </w:rPr>
      </w:pPr>
      <w:r w:rsidRPr="00DF0207">
        <w:rPr>
          <w:rFonts w:ascii="Verdana" w:hAnsi="Verdana"/>
          <w:b/>
          <w:sz w:val="20"/>
          <w:szCs w:val="20"/>
        </w:rPr>
        <w:t xml:space="preserve">Observaciones presentadas por el Estado </w:t>
      </w:r>
    </w:p>
    <w:p w14:paraId="51C72A39" w14:textId="77777777" w:rsidR="00AF1DD0" w:rsidRPr="003B429A" w:rsidRDefault="00071080" w:rsidP="00982369">
      <w:pPr>
        <w:pStyle w:val="Prrafodelista"/>
        <w:numPr>
          <w:ilvl w:val="0"/>
          <w:numId w:val="35"/>
        </w:numPr>
        <w:tabs>
          <w:tab w:val="left" w:pos="0"/>
        </w:tabs>
        <w:autoSpaceDE w:val="0"/>
        <w:autoSpaceDN w:val="0"/>
        <w:adjustRightInd w:val="0"/>
        <w:spacing w:before="120" w:after="120" w:line="240" w:lineRule="auto"/>
        <w:ind w:left="0" w:right="99" w:firstLine="0"/>
        <w:contextualSpacing w:val="0"/>
        <w:jc w:val="both"/>
        <w:rPr>
          <w:rFonts w:ascii="Verdana" w:hAnsi="Verdana"/>
          <w:b/>
          <w:sz w:val="18"/>
          <w:szCs w:val="18"/>
        </w:rPr>
      </w:pPr>
      <w:bookmarkStart w:id="8" w:name="_Ref3290806"/>
      <w:r w:rsidRPr="00DF0207">
        <w:rPr>
          <w:rFonts w:ascii="Verdana" w:hAnsi="Verdana"/>
          <w:sz w:val="20"/>
          <w:szCs w:val="20"/>
        </w:rPr>
        <w:t>En su escrito de</w:t>
      </w:r>
      <w:r w:rsidR="005D1B6E">
        <w:rPr>
          <w:rFonts w:ascii="Verdana" w:hAnsi="Verdana"/>
          <w:sz w:val="20"/>
          <w:szCs w:val="20"/>
        </w:rPr>
        <w:t xml:space="preserve"> observaciones de</w:t>
      </w:r>
      <w:r w:rsidRPr="00DF0207">
        <w:rPr>
          <w:rFonts w:ascii="Verdana" w:hAnsi="Verdana"/>
          <w:sz w:val="20"/>
          <w:szCs w:val="20"/>
        </w:rPr>
        <w:t xml:space="preserve"> 27 de mayo de 2019 (</w:t>
      </w:r>
      <w:r w:rsidRPr="00DF0207">
        <w:rPr>
          <w:rFonts w:ascii="Verdana" w:hAnsi="Verdana"/>
          <w:i/>
          <w:sz w:val="20"/>
          <w:szCs w:val="20"/>
        </w:rPr>
        <w:t>supra</w:t>
      </w:r>
      <w:r w:rsidRPr="00DF0207">
        <w:rPr>
          <w:rFonts w:ascii="Verdana" w:hAnsi="Verdana"/>
          <w:sz w:val="20"/>
          <w:szCs w:val="20"/>
        </w:rPr>
        <w:t xml:space="preserve"> Visto 10), </w:t>
      </w:r>
      <w:bookmarkEnd w:id="8"/>
      <w:r w:rsidR="005D1B6E">
        <w:rPr>
          <w:rFonts w:ascii="Verdana" w:hAnsi="Verdana"/>
          <w:sz w:val="20"/>
          <w:szCs w:val="20"/>
        </w:rPr>
        <w:t xml:space="preserve">El Salvador </w:t>
      </w:r>
      <w:r w:rsidR="00AF1DD0">
        <w:rPr>
          <w:rFonts w:ascii="Verdana" w:hAnsi="Verdana"/>
          <w:sz w:val="20"/>
          <w:szCs w:val="20"/>
        </w:rPr>
        <w:t xml:space="preserve">únicamente </w:t>
      </w:r>
      <w:r w:rsidRPr="00DF0207">
        <w:rPr>
          <w:rFonts w:ascii="Verdana" w:hAnsi="Verdana"/>
          <w:sz w:val="20"/>
          <w:szCs w:val="20"/>
        </w:rPr>
        <w:t>comunicó que</w:t>
      </w:r>
      <w:r w:rsidR="00AF1DD0">
        <w:rPr>
          <w:rFonts w:ascii="Verdana" w:hAnsi="Verdana"/>
          <w:sz w:val="20"/>
          <w:szCs w:val="20"/>
        </w:rPr>
        <w:t>:</w:t>
      </w:r>
    </w:p>
    <w:p w14:paraId="3C0BDB15" w14:textId="77777777" w:rsidR="003B429A" w:rsidRPr="003B429A" w:rsidRDefault="00071080" w:rsidP="003B429A">
      <w:pPr>
        <w:pStyle w:val="Prrafodelista"/>
        <w:numPr>
          <w:ilvl w:val="0"/>
          <w:numId w:val="43"/>
        </w:numPr>
        <w:tabs>
          <w:tab w:val="left" w:pos="0"/>
        </w:tabs>
        <w:autoSpaceDE w:val="0"/>
        <w:autoSpaceDN w:val="0"/>
        <w:adjustRightInd w:val="0"/>
        <w:spacing w:before="120" w:after="120" w:line="240" w:lineRule="auto"/>
        <w:ind w:right="99"/>
        <w:contextualSpacing w:val="0"/>
        <w:jc w:val="both"/>
        <w:rPr>
          <w:rFonts w:ascii="Verdana" w:hAnsi="Verdana"/>
          <w:b/>
          <w:sz w:val="18"/>
          <w:szCs w:val="18"/>
        </w:rPr>
      </w:pPr>
      <w:r w:rsidRPr="003B429A">
        <w:rPr>
          <w:rFonts w:ascii="Verdana" w:hAnsi="Verdana"/>
          <w:sz w:val="20"/>
          <w:szCs w:val="20"/>
        </w:rPr>
        <w:t>la “Secretaría para Asuntos Jurídicos de la Presidencia” indicó que “cualquier [d]ecreto [l]egislativo en materia de justicia transicional que sea remitido por la Asamblea Legislativa al señor Presidente de la República en el marco del procedimiento de formación de ley que establece la Constitución de la República, será revisado teniendo como eje central el respeto de los derechos humanos de las víctimas de violaciones graves a los derechos humanos cometidas en el contexto del conflicto armado interno d</w:t>
      </w:r>
      <w:r w:rsidR="003B429A">
        <w:rPr>
          <w:rFonts w:ascii="Verdana" w:hAnsi="Verdana"/>
          <w:sz w:val="20"/>
          <w:szCs w:val="20"/>
        </w:rPr>
        <w:t xml:space="preserve">e El Salvador y sus familiares”, y </w:t>
      </w:r>
      <w:r w:rsidRPr="003B429A">
        <w:rPr>
          <w:rFonts w:ascii="Verdana" w:hAnsi="Verdana"/>
          <w:sz w:val="20"/>
          <w:szCs w:val="20"/>
        </w:rPr>
        <w:t xml:space="preserve">que </w:t>
      </w:r>
    </w:p>
    <w:p w14:paraId="523A5EE1" w14:textId="2DE08F4B" w:rsidR="00071080" w:rsidRPr="003B429A" w:rsidRDefault="00071080" w:rsidP="003B429A">
      <w:pPr>
        <w:pStyle w:val="Prrafodelista"/>
        <w:numPr>
          <w:ilvl w:val="0"/>
          <w:numId w:val="43"/>
        </w:numPr>
        <w:tabs>
          <w:tab w:val="left" w:pos="0"/>
        </w:tabs>
        <w:autoSpaceDE w:val="0"/>
        <w:autoSpaceDN w:val="0"/>
        <w:adjustRightInd w:val="0"/>
        <w:spacing w:before="120" w:after="120" w:line="240" w:lineRule="auto"/>
        <w:ind w:right="99"/>
        <w:contextualSpacing w:val="0"/>
        <w:jc w:val="both"/>
        <w:rPr>
          <w:rFonts w:ascii="Verdana" w:hAnsi="Verdana"/>
          <w:b/>
          <w:sz w:val="18"/>
          <w:szCs w:val="18"/>
        </w:rPr>
      </w:pPr>
      <w:r w:rsidRPr="003B429A">
        <w:rPr>
          <w:rFonts w:ascii="Verdana" w:hAnsi="Verdana"/>
          <w:sz w:val="20"/>
          <w:szCs w:val="20"/>
        </w:rPr>
        <w:t>“la Asamblea Legislativa</w:t>
      </w:r>
      <w:r w:rsidR="00CE7852" w:rsidRPr="003B429A">
        <w:rPr>
          <w:rFonts w:ascii="Verdana" w:hAnsi="Verdana"/>
          <w:sz w:val="20"/>
          <w:szCs w:val="20"/>
        </w:rPr>
        <w:t>, a través de la Comisión Política inició este día la fase consultiva sobre la propuesta de legislación complementaria que ha sido ordenada por la Sala de lo Constitucional</w:t>
      </w:r>
      <w:r w:rsidR="0067711C" w:rsidRPr="003B429A">
        <w:rPr>
          <w:rFonts w:ascii="Verdana" w:hAnsi="Verdana"/>
          <w:sz w:val="20"/>
          <w:szCs w:val="20"/>
        </w:rPr>
        <w:t xml:space="preserve"> de la Corte Suprema de Justicia, en la sentencia de inconstitucionalidad de la Ley de Amnistía General para la Consolidación de la Paz”. Agregó que “[c]omo parte de esa consulta, se recibieron los aportes de diferentes </w:t>
      </w:r>
      <w:r w:rsidR="0067711C" w:rsidRPr="003B429A">
        <w:rPr>
          <w:rFonts w:ascii="Verdana" w:hAnsi="Verdana"/>
          <w:sz w:val="20"/>
          <w:szCs w:val="20"/>
        </w:rPr>
        <w:lastRenderedPageBreak/>
        <w:t>asociaciones y entidades ligadas al tema y se tiene prevista</w:t>
      </w:r>
      <w:r w:rsidR="00DF0207" w:rsidRPr="003B429A">
        <w:rPr>
          <w:rFonts w:ascii="Verdana" w:hAnsi="Verdana"/>
          <w:sz w:val="20"/>
          <w:szCs w:val="20"/>
        </w:rPr>
        <w:t xml:space="preserve"> la continuidad del trabajo de </w:t>
      </w:r>
      <w:r w:rsidR="0067711C" w:rsidRPr="003B429A">
        <w:rPr>
          <w:rFonts w:ascii="Verdana" w:hAnsi="Verdana"/>
          <w:sz w:val="20"/>
          <w:szCs w:val="20"/>
        </w:rPr>
        <w:t>la Comisión sobre esta temática para el d</w:t>
      </w:r>
      <w:r w:rsidR="00DF0207" w:rsidRPr="003B429A">
        <w:rPr>
          <w:rFonts w:ascii="Verdana" w:hAnsi="Verdana"/>
          <w:sz w:val="20"/>
          <w:szCs w:val="20"/>
        </w:rPr>
        <w:t>ía de mañana”.</w:t>
      </w:r>
    </w:p>
    <w:p w14:paraId="76AFA8B9" w14:textId="77777777" w:rsidR="003B429A" w:rsidRDefault="003B429A" w:rsidP="00AF1DD0">
      <w:pPr>
        <w:pStyle w:val="Prrafodelista"/>
        <w:tabs>
          <w:tab w:val="left" w:pos="0"/>
        </w:tabs>
        <w:autoSpaceDE w:val="0"/>
        <w:autoSpaceDN w:val="0"/>
        <w:adjustRightInd w:val="0"/>
        <w:spacing w:before="120" w:after="120" w:line="240" w:lineRule="auto"/>
        <w:ind w:left="0" w:right="99"/>
        <w:contextualSpacing w:val="0"/>
        <w:jc w:val="both"/>
        <w:rPr>
          <w:rFonts w:ascii="Verdana" w:hAnsi="Verdana"/>
          <w:sz w:val="20"/>
          <w:szCs w:val="20"/>
        </w:rPr>
      </w:pPr>
    </w:p>
    <w:p w14:paraId="4BE8B678" w14:textId="77777777" w:rsidR="003B429A" w:rsidRPr="00982369" w:rsidRDefault="003B429A" w:rsidP="00AF1DD0">
      <w:pPr>
        <w:pStyle w:val="Prrafodelista"/>
        <w:tabs>
          <w:tab w:val="left" w:pos="0"/>
        </w:tabs>
        <w:autoSpaceDE w:val="0"/>
        <w:autoSpaceDN w:val="0"/>
        <w:adjustRightInd w:val="0"/>
        <w:spacing w:before="120" w:after="120" w:line="240" w:lineRule="auto"/>
        <w:ind w:left="0" w:right="99"/>
        <w:contextualSpacing w:val="0"/>
        <w:jc w:val="both"/>
        <w:rPr>
          <w:rFonts w:ascii="Verdana" w:hAnsi="Verdana"/>
          <w:b/>
          <w:sz w:val="18"/>
          <w:szCs w:val="18"/>
        </w:rPr>
      </w:pPr>
    </w:p>
    <w:p w14:paraId="7BEFC097" w14:textId="77777777" w:rsidR="00071080" w:rsidRPr="000A108E" w:rsidRDefault="00071080" w:rsidP="00FF74B4">
      <w:pPr>
        <w:pStyle w:val="Prrafodelista"/>
        <w:autoSpaceDE w:val="0"/>
        <w:autoSpaceDN w:val="0"/>
        <w:adjustRightInd w:val="0"/>
        <w:spacing w:before="120" w:after="120" w:line="240" w:lineRule="auto"/>
        <w:contextualSpacing w:val="0"/>
        <w:jc w:val="both"/>
        <w:rPr>
          <w:rFonts w:ascii="Verdana" w:hAnsi="Verdana"/>
          <w:b/>
          <w:sz w:val="4"/>
          <w:szCs w:val="4"/>
        </w:rPr>
      </w:pPr>
    </w:p>
    <w:p w14:paraId="5296A04E" w14:textId="77777777" w:rsidR="00B721C3" w:rsidRPr="00F9061A" w:rsidRDefault="00B721C3" w:rsidP="00FF74B4">
      <w:pPr>
        <w:pStyle w:val="Prrafodelista"/>
        <w:numPr>
          <w:ilvl w:val="0"/>
          <w:numId w:val="3"/>
        </w:numPr>
        <w:autoSpaceDE w:val="0"/>
        <w:autoSpaceDN w:val="0"/>
        <w:adjustRightInd w:val="0"/>
        <w:spacing w:before="120" w:after="120" w:line="240" w:lineRule="auto"/>
        <w:contextualSpacing w:val="0"/>
        <w:jc w:val="both"/>
        <w:rPr>
          <w:rFonts w:ascii="Verdana" w:hAnsi="Verdana"/>
          <w:b/>
          <w:sz w:val="20"/>
          <w:szCs w:val="20"/>
        </w:rPr>
      </w:pPr>
      <w:r w:rsidRPr="00F9061A">
        <w:rPr>
          <w:rFonts w:ascii="Verdana" w:hAnsi="Verdana"/>
          <w:b/>
          <w:sz w:val="20"/>
          <w:szCs w:val="20"/>
        </w:rPr>
        <w:t xml:space="preserve">Observaciones de la Comisión Interamericana </w:t>
      </w:r>
    </w:p>
    <w:p w14:paraId="0C917D5B" w14:textId="7A5FBE90" w:rsidR="00303995" w:rsidRPr="00F9061A" w:rsidRDefault="00B205A8" w:rsidP="0014641E">
      <w:pPr>
        <w:pStyle w:val="Prrafodelista"/>
        <w:numPr>
          <w:ilvl w:val="0"/>
          <w:numId w:val="35"/>
        </w:numPr>
        <w:tabs>
          <w:tab w:val="left" w:pos="0"/>
        </w:tabs>
        <w:autoSpaceDE w:val="0"/>
        <w:autoSpaceDN w:val="0"/>
        <w:adjustRightInd w:val="0"/>
        <w:spacing w:before="120" w:after="120" w:line="240" w:lineRule="auto"/>
        <w:ind w:left="0" w:right="99" w:firstLine="0"/>
        <w:contextualSpacing w:val="0"/>
        <w:jc w:val="both"/>
        <w:rPr>
          <w:rFonts w:ascii="Verdana" w:hAnsi="Verdana"/>
          <w:sz w:val="20"/>
          <w:szCs w:val="20"/>
        </w:rPr>
      </w:pPr>
      <w:bookmarkStart w:id="9" w:name="_Ref3290749"/>
      <w:r w:rsidRPr="00F9061A">
        <w:rPr>
          <w:rFonts w:ascii="Verdana" w:hAnsi="Verdana"/>
          <w:sz w:val="20"/>
          <w:szCs w:val="20"/>
        </w:rPr>
        <w:t xml:space="preserve">En sus </w:t>
      </w:r>
      <w:r w:rsidR="00BD656E" w:rsidRPr="00F9061A">
        <w:rPr>
          <w:rFonts w:ascii="Verdana" w:hAnsi="Verdana"/>
          <w:sz w:val="20"/>
          <w:szCs w:val="20"/>
        </w:rPr>
        <w:t xml:space="preserve">observaciones de </w:t>
      </w:r>
      <w:r w:rsidR="00071080" w:rsidRPr="00F9061A">
        <w:rPr>
          <w:rFonts w:ascii="Verdana" w:hAnsi="Verdana"/>
          <w:sz w:val="20"/>
          <w:szCs w:val="20"/>
        </w:rPr>
        <w:t>27</w:t>
      </w:r>
      <w:r w:rsidR="00BD656E" w:rsidRPr="00F9061A">
        <w:rPr>
          <w:rFonts w:ascii="Verdana" w:hAnsi="Verdana"/>
          <w:sz w:val="20"/>
          <w:szCs w:val="20"/>
        </w:rPr>
        <w:t xml:space="preserve"> de </w:t>
      </w:r>
      <w:r w:rsidR="00FF74B4" w:rsidRPr="00F9061A">
        <w:rPr>
          <w:rFonts w:ascii="Verdana" w:hAnsi="Verdana"/>
          <w:sz w:val="20"/>
          <w:szCs w:val="20"/>
        </w:rPr>
        <w:t>mayo</w:t>
      </w:r>
      <w:r w:rsidR="00BD656E" w:rsidRPr="00F9061A">
        <w:rPr>
          <w:rFonts w:ascii="Verdana" w:hAnsi="Verdana"/>
          <w:sz w:val="20"/>
          <w:szCs w:val="20"/>
        </w:rPr>
        <w:t xml:space="preserve"> de 2019</w:t>
      </w:r>
      <w:r w:rsidR="00FF74B4" w:rsidRPr="00F9061A">
        <w:rPr>
          <w:rFonts w:ascii="Verdana" w:hAnsi="Verdana"/>
          <w:sz w:val="20"/>
          <w:szCs w:val="20"/>
        </w:rPr>
        <w:t xml:space="preserve"> (</w:t>
      </w:r>
      <w:r w:rsidR="00FF74B4" w:rsidRPr="00F9061A">
        <w:rPr>
          <w:rFonts w:ascii="Verdana" w:hAnsi="Verdana"/>
          <w:i/>
          <w:sz w:val="20"/>
          <w:szCs w:val="20"/>
        </w:rPr>
        <w:t>supra</w:t>
      </w:r>
      <w:r w:rsidR="00FF74B4" w:rsidRPr="00F9061A">
        <w:rPr>
          <w:rFonts w:ascii="Verdana" w:hAnsi="Verdana"/>
          <w:sz w:val="20"/>
          <w:szCs w:val="20"/>
        </w:rPr>
        <w:t xml:space="preserve"> Visto </w:t>
      </w:r>
      <w:r w:rsidR="00071080" w:rsidRPr="00F9061A">
        <w:rPr>
          <w:rFonts w:ascii="Verdana" w:hAnsi="Verdana"/>
          <w:sz w:val="20"/>
          <w:szCs w:val="20"/>
        </w:rPr>
        <w:t>11</w:t>
      </w:r>
      <w:r w:rsidR="00FF74B4" w:rsidRPr="00F9061A">
        <w:rPr>
          <w:rFonts w:ascii="Verdana" w:hAnsi="Verdana"/>
          <w:sz w:val="20"/>
          <w:szCs w:val="20"/>
        </w:rPr>
        <w:t>)</w:t>
      </w:r>
      <w:r w:rsidR="00BD656E" w:rsidRPr="00F9061A">
        <w:rPr>
          <w:rFonts w:ascii="Verdana" w:hAnsi="Verdana"/>
          <w:sz w:val="20"/>
          <w:szCs w:val="20"/>
        </w:rPr>
        <w:t>, la Comisión</w:t>
      </w:r>
      <w:r w:rsidR="000A108E" w:rsidRPr="00F9061A">
        <w:rPr>
          <w:rFonts w:ascii="Verdana" w:hAnsi="Verdana"/>
          <w:sz w:val="20"/>
          <w:szCs w:val="20"/>
        </w:rPr>
        <w:t xml:space="preserve"> observó:</w:t>
      </w:r>
      <w:bookmarkEnd w:id="9"/>
    </w:p>
    <w:p w14:paraId="3FE1E573" w14:textId="613804AE" w:rsidR="000A108E" w:rsidRPr="00F9061A" w:rsidRDefault="000A108E" w:rsidP="000A108E">
      <w:pPr>
        <w:pStyle w:val="Prrafodelista"/>
        <w:numPr>
          <w:ilvl w:val="0"/>
          <w:numId w:val="40"/>
        </w:numPr>
        <w:tabs>
          <w:tab w:val="left" w:pos="0"/>
        </w:tabs>
        <w:autoSpaceDE w:val="0"/>
        <w:autoSpaceDN w:val="0"/>
        <w:adjustRightInd w:val="0"/>
        <w:spacing w:before="120" w:after="120" w:line="240" w:lineRule="auto"/>
        <w:ind w:right="99"/>
        <w:contextualSpacing w:val="0"/>
        <w:jc w:val="both"/>
        <w:rPr>
          <w:rFonts w:ascii="Verdana" w:hAnsi="Verdana"/>
          <w:sz w:val="19"/>
          <w:szCs w:val="19"/>
        </w:rPr>
      </w:pPr>
      <w:r w:rsidRPr="00F9061A">
        <w:rPr>
          <w:rFonts w:ascii="Verdana" w:hAnsi="Verdana"/>
          <w:sz w:val="19"/>
          <w:szCs w:val="19"/>
        </w:rPr>
        <w:t xml:space="preserve">“que la solicitud [de medidas provisionales] se fundamenta en el trámite legislativo </w:t>
      </w:r>
      <w:r w:rsidRPr="00F9061A">
        <w:rPr>
          <w:rFonts w:ascii="Verdana" w:hAnsi="Verdana" w:cs="Cambria"/>
          <w:sz w:val="19"/>
          <w:szCs w:val="19"/>
        </w:rPr>
        <w:t>del proyecto denominado ‘Ley de Reconciliación Nacional’, redactada en supuesto cumplimiento de lo requerido por la Sala Constitucional de la Corte Suprema de Justicia en su decisión de 2016 mediante la cual declaró la inconstitucionalidad de la Ley de Amnistía General para la Consolidación de la Paz”;</w:t>
      </w:r>
    </w:p>
    <w:p w14:paraId="631F3C6B" w14:textId="1255BF1D" w:rsidR="000A108E" w:rsidRPr="00F9061A" w:rsidRDefault="000A108E" w:rsidP="000A108E">
      <w:pPr>
        <w:pStyle w:val="Prrafodelista"/>
        <w:numPr>
          <w:ilvl w:val="0"/>
          <w:numId w:val="40"/>
        </w:numPr>
        <w:tabs>
          <w:tab w:val="left" w:pos="0"/>
        </w:tabs>
        <w:autoSpaceDE w:val="0"/>
        <w:autoSpaceDN w:val="0"/>
        <w:adjustRightInd w:val="0"/>
        <w:spacing w:before="120" w:after="120" w:line="240" w:lineRule="auto"/>
        <w:ind w:right="99"/>
        <w:contextualSpacing w:val="0"/>
        <w:jc w:val="both"/>
        <w:rPr>
          <w:rFonts w:ascii="Verdana" w:hAnsi="Verdana"/>
          <w:sz w:val="19"/>
          <w:szCs w:val="19"/>
        </w:rPr>
      </w:pPr>
      <w:r w:rsidRPr="00F9061A">
        <w:rPr>
          <w:rFonts w:ascii="Verdana" w:hAnsi="Verdana"/>
          <w:sz w:val="19"/>
          <w:szCs w:val="19"/>
        </w:rPr>
        <w:t>que en virtud de la obligación de investigar ordenada en la Sentencia del presente caso (</w:t>
      </w:r>
      <w:r w:rsidRPr="00F9061A">
        <w:rPr>
          <w:rFonts w:ascii="Verdana" w:hAnsi="Verdana"/>
          <w:i/>
          <w:sz w:val="19"/>
          <w:szCs w:val="19"/>
        </w:rPr>
        <w:t xml:space="preserve">supra </w:t>
      </w:r>
      <w:r w:rsidRPr="00F9061A">
        <w:rPr>
          <w:rFonts w:ascii="Verdana" w:hAnsi="Verdana"/>
          <w:sz w:val="19"/>
          <w:szCs w:val="19"/>
        </w:rPr>
        <w:t xml:space="preserve">Considerandos 1 y 2) “los representantes </w:t>
      </w:r>
      <w:r w:rsidRPr="00F9061A">
        <w:rPr>
          <w:rFonts w:ascii="Verdana" w:hAnsi="Verdana" w:cs="Cambria"/>
          <w:sz w:val="19"/>
          <w:szCs w:val="19"/>
        </w:rPr>
        <w:t xml:space="preserve">de las víctimas se encuentran legitimados procesalmente para presentar la solicitud de medidas provisionales materia del presente escrito, en la medida en que el trámite legislativo de la “Ley de Reconciliación Nacional” podría impactar el cumplimiento de este extremo de la </w:t>
      </w:r>
      <w:r w:rsidR="00605A99">
        <w:rPr>
          <w:rFonts w:ascii="Verdana" w:hAnsi="Verdana" w:cs="Cambria"/>
          <w:sz w:val="19"/>
          <w:szCs w:val="19"/>
        </w:rPr>
        <w:t>S</w:t>
      </w:r>
      <w:r w:rsidRPr="00F9061A">
        <w:rPr>
          <w:rFonts w:ascii="Verdana" w:hAnsi="Verdana" w:cs="Cambria"/>
          <w:sz w:val="19"/>
          <w:szCs w:val="19"/>
        </w:rPr>
        <w:t>entencia, tanto en lo relativo a la continuidad de la investigación, como en lo relativo a la posible pena a imponer, ambos componentes de la orden emitida por la […] Corte”;</w:t>
      </w:r>
    </w:p>
    <w:p w14:paraId="2789B5FE" w14:textId="58D944AA" w:rsidR="00F9061A" w:rsidRPr="00F9061A" w:rsidRDefault="00F9061A" w:rsidP="00F9061A">
      <w:pPr>
        <w:pStyle w:val="Prrafodelista"/>
        <w:numPr>
          <w:ilvl w:val="0"/>
          <w:numId w:val="40"/>
        </w:numPr>
        <w:tabs>
          <w:tab w:val="left" w:pos="0"/>
        </w:tabs>
        <w:autoSpaceDE w:val="0"/>
        <w:autoSpaceDN w:val="0"/>
        <w:adjustRightInd w:val="0"/>
        <w:spacing w:before="120" w:after="120" w:line="240" w:lineRule="auto"/>
        <w:ind w:right="99"/>
        <w:contextualSpacing w:val="0"/>
        <w:jc w:val="both"/>
        <w:rPr>
          <w:rFonts w:ascii="Verdana" w:hAnsi="Verdana"/>
          <w:sz w:val="19"/>
          <w:szCs w:val="19"/>
        </w:rPr>
      </w:pPr>
      <w:r w:rsidRPr="00F9061A">
        <w:rPr>
          <w:rFonts w:ascii="Verdana" w:hAnsi="Verdana"/>
          <w:sz w:val="19"/>
          <w:szCs w:val="19"/>
        </w:rPr>
        <w:t xml:space="preserve">“que en [la] Resolución de 12 de marzo de 2019 </w:t>
      </w:r>
      <w:r w:rsidRPr="00F9061A">
        <w:rPr>
          <w:rFonts w:ascii="Verdana" w:hAnsi="Verdana" w:cs="Cambria"/>
          <w:sz w:val="19"/>
          <w:szCs w:val="19"/>
        </w:rPr>
        <w:t xml:space="preserve">en los casos Miembros de la Aldea Chichupac y Comunidades Vecinas del Municipio de Rabinal, Molina Theissen y otros 12 casos contra Guatemala, la Corte Interamericana conoció un proyecto de ley de similares características al proyecto de ‘Ley de Reconciliación Nacional’” y que “[t]ras determinar </w:t>
      </w:r>
      <w:r w:rsidRPr="00F9061A">
        <w:rPr>
          <w:rFonts w:ascii="Verdana" w:hAnsi="Verdana" w:cs="Cambria-Italic"/>
          <w:i/>
          <w:iCs/>
          <w:sz w:val="19"/>
          <w:szCs w:val="19"/>
        </w:rPr>
        <w:t xml:space="preserve">prima facie </w:t>
      </w:r>
      <w:r w:rsidRPr="00F9061A">
        <w:rPr>
          <w:rFonts w:ascii="Verdana" w:hAnsi="Verdana" w:cs="Cambria"/>
          <w:sz w:val="19"/>
          <w:szCs w:val="19"/>
        </w:rPr>
        <w:t>que la misma no cumplía con los estándares interamericanos en materia de prohibición de amnistía para graves violaciones de derechos humanos, así como el riesgo que podía implicar para el cumplimiento de la reparación consistente en investigación y sanción de los responsables, consideró procedente utilizar el mecanismo de medidas provisionales y, en consecuencia, ordenó al Estado</w:t>
      </w:r>
      <w:r w:rsidRPr="00F9061A">
        <w:rPr>
          <w:rFonts w:ascii="Verdana" w:hAnsi="Verdana"/>
          <w:sz w:val="19"/>
          <w:szCs w:val="19"/>
        </w:rPr>
        <w:t xml:space="preserve"> </w:t>
      </w:r>
      <w:r w:rsidRPr="00F9061A">
        <w:rPr>
          <w:rFonts w:ascii="Verdana" w:hAnsi="Verdana" w:cs="Cambria"/>
          <w:sz w:val="19"/>
          <w:szCs w:val="19"/>
        </w:rPr>
        <w:t xml:space="preserve">guatemalteco interrumpir el trámite legislativo respectivo”; y </w:t>
      </w:r>
    </w:p>
    <w:p w14:paraId="49A46846" w14:textId="643598DD" w:rsidR="00F9061A" w:rsidRPr="00F9061A" w:rsidRDefault="00F9061A" w:rsidP="00F9061A">
      <w:pPr>
        <w:pStyle w:val="Prrafodelista"/>
        <w:numPr>
          <w:ilvl w:val="0"/>
          <w:numId w:val="40"/>
        </w:numPr>
        <w:tabs>
          <w:tab w:val="left" w:pos="0"/>
        </w:tabs>
        <w:autoSpaceDE w:val="0"/>
        <w:autoSpaceDN w:val="0"/>
        <w:adjustRightInd w:val="0"/>
        <w:spacing w:before="120" w:after="120" w:line="240" w:lineRule="auto"/>
        <w:ind w:right="99"/>
        <w:contextualSpacing w:val="0"/>
        <w:jc w:val="both"/>
        <w:rPr>
          <w:rFonts w:ascii="Verdana" w:hAnsi="Verdana"/>
          <w:sz w:val="19"/>
          <w:szCs w:val="19"/>
        </w:rPr>
      </w:pPr>
      <w:r w:rsidRPr="00F9061A">
        <w:rPr>
          <w:rFonts w:ascii="Verdana" w:hAnsi="Verdana"/>
          <w:sz w:val="19"/>
          <w:szCs w:val="19"/>
        </w:rPr>
        <w:t>“consider[ó] pertinente que en el marco de la</w:t>
      </w:r>
      <w:r w:rsidRPr="00F9061A">
        <w:rPr>
          <w:rFonts w:ascii="Verdana" w:hAnsi="Verdana" w:cs="Cambria"/>
          <w:sz w:val="19"/>
          <w:szCs w:val="19"/>
        </w:rPr>
        <w:t xml:space="preserve"> presente solicitud de medidas provisionales, la Corte Interamericana efectúe un análisis similar y determine si el proyecto de ‘Ley de Reconciliación Nacional’ [de El Salvador], en caso de aprobarse, implicaría un riesgo grave y urgente de daño irreparable al derecho a la justicia de las víctimas del presente caso, a fin de disponer, tal como respecto de Guatemala, la interrupción del trámite legislativo como medida de protección a dicho derecho”.</w:t>
      </w:r>
    </w:p>
    <w:p w14:paraId="768B1FF2" w14:textId="1C522C94" w:rsidR="00F9061A" w:rsidRDefault="00F9061A" w:rsidP="00B30617">
      <w:pPr>
        <w:pStyle w:val="Prrafodelista"/>
        <w:numPr>
          <w:ilvl w:val="0"/>
          <w:numId w:val="35"/>
        </w:numPr>
        <w:tabs>
          <w:tab w:val="left" w:pos="0"/>
        </w:tabs>
        <w:autoSpaceDE w:val="0"/>
        <w:autoSpaceDN w:val="0"/>
        <w:adjustRightInd w:val="0"/>
        <w:spacing w:before="120" w:after="120" w:line="240" w:lineRule="auto"/>
        <w:ind w:left="0" w:right="99" w:firstLine="0"/>
        <w:contextualSpacing w:val="0"/>
        <w:jc w:val="both"/>
        <w:rPr>
          <w:rFonts w:ascii="Verdana" w:hAnsi="Verdana" w:cs="Cambria"/>
          <w:sz w:val="20"/>
          <w:szCs w:val="20"/>
        </w:rPr>
      </w:pPr>
      <w:r w:rsidRPr="007F0724">
        <w:rPr>
          <w:rFonts w:ascii="Verdana" w:hAnsi="Verdana" w:cs="Verdana"/>
          <w:sz w:val="20"/>
          <w:szCs w:val="20"/>
        </w:rPr>
        <w:t xml:space="preserve">Adicionalmente, la Comisión consideró que “en los términos </w:t>
      </w:r>
      <w:r w:rsidRPr="007F0724">
        <w:rPr>
          <w:rFonts w:ascii="Verdana" w:hAnsi="Verdana" w:cs="Cambria"/>
          <w:sz w:val="20"/>
          <w:szCs w:val="20"/>
        </w:rPr>
        <w:t>en los que está redactado el proyecto de ley [en cuestión], resulta evidente que no cumple con salvaguardas mínimas para el derecho a la justicia de las víctimas, en la medida en que permitiría que el Estado renuncie al ejercicio del poder punitivo respecto de aquellos hechos que no sean seleccionados por la Fiscalía General”. Asimismo, afirmó que “de aprobarse, la norma permitiría que condenas menores a 10 años no sean efectivamente cumplidas, y que las mayores a 10 años sean reemplazadas por penas que resultan a todas luces desproporcionadas”. Al respecto, “ent</w:t>
      </w:r>
      <w:r w:rsidR="00B30617" w:rsidRPr="007F0724">
        <w:rPr>
          <w:rFonts w:ascii="Verdana" w:hAnsi="Verdana" w:cs="Cambria"/>
          <w:sz w:val="20"/>
          <w:szCs w:val="20"/>
        </w:rPr>
        <w:t>[</w:t>
      </w:r>
      <w:r w:rsidRPr="007F0724">
        <w:rPr>
          <w:rFonts w:ascii="Verdana" w:hAnsi="Verdana" w:cs="Cambria"/>
          <w:sz w:val="20"/>
          <w:szCs w:val="20"/>
        </w:rPr>
        <w:t>endió] que lo anterior podría ocurrir respecto de graves violaciones de derechos humanos, en contravención con la jurisprudencia consolidada de los órganos del sistema interamericano”. También la Comisión compartió dos comunicados de prensa que emitió el 25 de abril y el 21 de mayo, en los cuales “ha expresado su posición respecto del trámite legislativo materia de la solicitud de medidas provisionales”</w:t>
      </w:r>
      <w:r w:rsidR="00B30617" w:rsidRPr="007F0724">
        <w:rPr>
          <w:rFonts w:ascii="Verdana" w:hAnsi="Verdana" w:cs="Cambria"/>
          <w:sz w:val="20"/>
          <w:szCs w:val="20"/>
        </w:rPr>
        <w:t xml:space="preserve">, considerando que “presenta un serio riesgo a los derechos a la verdad y justicia de las víctimas de graves violaciones de derechos humanos”. </w:t>
      </w:r>
    </w:p>
    <w:p w14:paraId="28D4DA12" w14:textId="77777777" w:rsidR="000C01E4" w:rsidRPr="007F0724" w:rsidRDefault="000C01E4" w:rsidP="000C01E4">
      <w:pPr>
        <w:pStyle w:val="Prrafodelista"/>
        <w:tabs>
          <w:tab w:val="left" w:pos="0"/>
        </w:tabs>
        <w:autoSpaceDE w:val="0"/>
        <w:autoSpaceDN w:val="0"/>
        <w:adjustRightInd w:val="0"/>
        <w:spacing w:before="120" w:after="120" w:line="240" w:lineRule="auto"/>
        <w:ind w:left="0" w:right="99"/>
        <w:contextualSpacing w:val="0"/>
        <w:jc w:val="both"/>
        <w:rPr>
          <w:rFonts w:ascii="Verdana" w:hAnsi="Verdana" w:cs="Cambria"/>
          <w:sz w:val="20"/>
          <w:szCs w:val="20"/>
        </w:rPr>
      </w:pPr>
    </w:p>
    <w:p w14:paraId="7D2BA197" w14:textId="1ECC3D23" w:rsidR="00F9061A" w:rsidRDefault="00F9061A" w:rsidP="00F9061A">
      <w:pPr>
        <w:pStyle w:val="Prrafodelista"/>
        <w:numPr>
          <w:ilvl w:val="0"/>
          <w:numId w:val="3"/>
        </w:numPr>
        <w:autoSpaceDE w:val="0"/>
        <w:autoSpaceDN w:val="0"/>
        <w:adjustRightInd w:val="0"/>
        <w:spacing w:before="120" w:after="120" w:line="240" w:lineRule="auto"/>
        <w:contextualSpacing w:val="0"/>
        <w:jc w:val="both"/>
        <w:rPr>
          <w:rFonts w:ascii="Verdana" w:hAnsi="Verdana"/>
          <w:b/>
          <w:sz w:val="20"/>
          <w:szCs w:val="20"/>
        </w:rPr>
      </w:pPr>
      <w:r>
        <w:rPr>
          <w:rFonts w:ascii="Verdana" w:hAnsi="Verdana"/>
          <w:b/>
          <w:sz w:val="20"/>
          <w:szCs w:val="20"/>
        </w:rPr>
        <w:lastRenderedPageBreak/>
        <w:t xml:space="preserve">Consideraciones de la </w:t>
      </w:r>
      <w:r w:rsidR="00490353">
        <w:rPr>
          <w:rFonts w:ascii="Verdana" w:hAnsi="Verdana"/>
          <w:b/>
          <w:sz w:val="20"/>
          <w:szCs w:val="20"/>
        </w:rPr>
        <w:t xml:space="preserve">Presidencia de la </w:t>
      </w:r>
      <w:r>
        <w:rPr>
          <w:rFonts w:ascii="Verdana" w:hAnsi="Verdana"/>
          <w:b/>
          <w:sz w:val="20"/>
          <w:szCs w:val="20"/>
        </w:rPr>
        <w:t xml:space="preserve">Corte </w:t>
      </w:r>
    </w:p>
    <w:p w14:paraId="0676C1FC" w14:textId="5987C396" w:rsidR="0014641E" w:rsidRPr="00A15C78" w:rsidRDefault="00311B82" w:rsidP="0014641E">
      <w:pPr>
        <w:pStyle w:val="Prrafodelista"/>
        <w:numPr>
          <w:ilvl w:val="0"/>
          <w:numId w:val="35"/>
        </w:numPr>
        <w:tabs>
          <w:tab w:val="left" w:pos="0"/>
        </w:tabs>
        <w:autoSpaceDE w:val="0"/>
        <w:autoSpaceDN w:val="0"/>
        <w:adjustRightInd w:val="0"/>
        <w:spacing w:before="120" w:after="120" w:line="240" w:lineRule="auto"/>
        <w:ind w:left="0" w:right="99" w:firstLine="0"/>
        <w:contextualSpacing w:val="0"/>
        <w:jc w:val="both"/>
        <w:rPr>
          <w:rFonts w:ascii="Verdana" w:hAnsi="Verdana" w:cs="Verdana"/>
          <w:color w:val="00B050"/>
          <w:sz w:val="20"/>
          <w:szCs w:val="20"/>
        </w:rPr>
      </w:pPr>
      <w:r w:rsidRPr="00A15C78">
        <w:rPr>
          <w:rFonts w:ascii="Verdana" w:hAnsi="Verdana"/>
          <w:sz w:val="20"/>
          <w:szCs w:val="20"/>
        </w:rPr>
        <w:t xml:space="preserve">En </w:t>
      </w:r>
      <w:r w:rsidR="00AB60B5" w:rsidRPr="00A15C78">
        <w:rPr>
          <w:rFonts w:ascii="Verdana" w:hAnsi="Verdana"/>
          <w:sz w:val="20"/>
          <w:szCs w:val="20"/>
        </w:rPr>
        <w:t xml:space="preserve">primer lugar, </w:t>
      </w:r>
      <w:r w:rsidR="007505DE" w:rsidRPr="00A15C78">
        <w:rPr>
          <w:rFonts w:ascii="Verdana" w:hAnsi="Verdana"/>
          <w:sz w:val="20"/>
          <w:szCs w:val="20"/>
        </w:rPr>
        <w:t>esta Presidencia c</w:t>
      </w:r>
      <w:r w:rsidR="00E40B79" w:rsidRPr="00A15C78">
        <w:rPr>
          <w:rFonts w:ascii="Verdana" w:hAnsi="Verdana"/>
          <w:sz w:val="20"/>
          <w:szCs w:val="20"/>
        </w:rPr>
        <w:t xml:space="preserve">onsidera </w:t>
      </w:r>
      <w:r w:rsidR="00E40B79" w:rsidRPr="00A15C78">
        <w:rPr>
          <w:rFonts w:ascii="Verdana" w:hAnsi="Verdana" w:cs="Verdana"/>
          <w:sz w:val="20"/>
          <w:szCs w:val="20"/>
        </w:rPr>
        <w:t>que se configura el requisito relativo a que la solicitud de las medidas provisionales tenga “relación con el objeto del caso” (</w:t>
      </w:r>
      <w:r w:rsidR="00E40B79" w:rsidRPr="00A15C78">
        <w:rPr>
          <w:rFonts w:ascii="Verdana" w:hAnsi="Verdana" w:cs="Verdana"/>
          <w:i/>
          <w:sz w:val="20"/>
          <w:szCs w:val="20"/>
        </w:rPr>
        <w:t>supra</w:t>
      </w:r>
      <w:r w:rsidR="00E40B79" w:rsidRPr="00A15C78">
        <w:rPr>
          <w:rFonts w:ascii="Verdana" w:hAnsi="Verdana" w:cs="Verdana"/>
          <w:sz w:val="20"/>
          <w:szCs w:val="20"/>
        </w:rPr>
        <w:t xml:space="preserve"> Considerando </w:t>
      </w:r>
      <w:r w:rsidR="00473671">
        <w:rPr>
          <w:rFonts w:ascii="Verdana" w:hAnsi="Verdana" w:cs="Verdana"/>
          <w:sz w:val="20"/>
          <w:szCs w:val="20"/>
        </w:rPr>
        <w:t>9</w:t>
      </w:r>
      <w:r w:rsidR="00E40B79" w:rsidRPr="00A15C78">
        <w:rPr>
          <w:rFonts w:ascii="Verdana" w:hAnsi="Verdana" w:cs="Verdana"/>
          <w:sz w:val="20"/>
          <w:szCs w:val="20"/>
        </w:rPr>
        <w:t>), en tanto la solicitud en cuestión se refiere</w:t>
      </w:r>
      <w:r w:rsidR="002633AB" w:rsidRPr="00A15C78">
        <w:rPr>
          <w:rFonts w:ascii="Verdana" w:hAnsi="Verdana" w:cs="Verdana"/>
          <w:sz w:val="20"/>
          <w:szCs w:val="20"/>
        </w:rPr>
        <w:t xml:space="preserve"> al alegado riesgo al derecho de acceso a la justicia de las víctimas del caso </w:t>
      </w:r>
      <w:r w:rsidR="002633AB" w:rsidRPr="00A15C78">
        <w:rPr>
          <w:rFonts w:ascii="Verdana" w:hAnsi="Verdana" w:cs="Verdana"/>
          <w:i/>
          <w:sz w:val="20"/>
          <w:szCs w:val="20"/>
        </w:rPr>
        <w:t>Masacres de El Mozote y lugares aledaños</w:t>
      </w:r>
      <w:r w:rsidR="00EA09C3" w:rsidRPr="00A15C78">
        <w:rPr>
          <w:rFonts w:ascii="Verdana" w:hAnsi="Verdana" w:cs="Verdana"/>
          <w:sz w:val="20"/>
          <w:szCs w:val="20"/>
        </w:rPr>
        <w:t>,</w:t>
      </w:r>
      <w:r w:rsidR="002633AB" w:rsidRPr="00A15C78">
        <w:rPr>
          <w:rFonts w:ascii="Verdana" w:hAnsi="Verdana" w:cs="Verdana"/>
          <w:sz w:val="20"/>
          <w:szCs w:val="20"/>
        </w:rPr>
        <w:t xml:space="preserve"> </w:t>
      </w:r>
      <w:r w:rsidR="00EA09C3" w:rsidRPr="00A15C78">
        <w:rPr>
          <w:rFonts w:ascii="Verdana" w:hAnsi="Verdana" w:cs="Verdana"/>
          <w:sz w:val="20"/>
          <w:szCs w:val="20"/>
        </w:rPr>
        <w:t xml:space="preserve">debido al avance legislativo del </w:t>
      </w:r>
      <w:r w:rsidR="002633AB" w:rsidRPr="00A15C78">
        <w:rPr>
          <w:rFonts w:ascii="Verdana" w:hAnsi="Verdana" w:cs="Verdana"/>
          <w:sz w:val="20"/>
          <w:szCs w:val="20"/>
        </w:rPr>
        <w:t xml:space="preserve">proyecto de </w:t>
      </w:r>
      <w:r w:rsidR="00EA09C3" w:rsidRPr="00A15C78">
        <w:rPr>
          <w:rFonts w:ascii="Verdana" w:hAnsi="Verdana" w:cs="Verdana"/>
          <w:sz w:val="20"/>
          <w:szCs w:val="20"/>
        </w:rPr>
        <w:t>“</w:t>
      </w:r>
      <w:r w:rsidR="002633AB" w:rsidRPr="00A15C78">
        <w:rPr>
          <w:rFonts w:ascii="Verdana" w:hAnsi="Verdana" w:cs="Verdana"/>
          <w:sz w:val="20"/>
          <w:szCs w:val="20"/>
        </w:rPr>
        <w:t xml:space="preserve">Ley Especial </w:t>
      </w:r>
      <w:r w:rsidR="00EA09C3" w:rsidRPr="00A15C78">
        <w:rPr>
          <w:rFonts w:ascii="Verdana" w:hAnsi="Verdana" w:cs="Verdana"/>
          <w:sz w:val="20"/>
          <w:szCs w:val="20"/>
        </w:rPr>
        <w:t>de Justicia Transicional y Restaurativa para la Reconciliación Nacional”</w:t>
      </w:r>
      <w:r w:rsidR="004A5962" w:rsidRPr="00A15C78">
        <w:rPr>
          <w:rFonts w:ascii="Verdana" w:hAnsi="Verdana" w:cs="Verdana"/>
          <w:sz w:val="20"/>
          <w:szCs w:val="20"/>
        </w:rPr>
        <w:t xml:space="preserve"> elaborado por la Subcomisión de la Comisión Política de la Asamblea Legislativa </w:t>
      </w:r>
      <w:r w:rsidR="005C6D5F" w:rsidRPr="00A15C78">
        <w:rPr>
          <w:rFonts w:ascii="Verdana" w:hAnsi="Verdana" w:cs="Verdana"/>
          <w:sz w:val="20"/>
          <w:szCs w:val="20"/>
        </w:rPr>
        <w:t>(en adelante también “el proyecto de ley”)</w:t>
      </w:r>
      <w:r w:rsidR="007F0724" w:rsidRPr="00A15C78">
        <w:rPr>
          <w:rFonts w:ascii="Verdana" w:hAnsi="Verdana" w:cs="Verdana"/>
          <w:sz w:val="20"/>
          <w:szCs w:val="20"/>
        </w:rPr>
        <w:t>,</w:t>
      </w:r>
      <w:r w:rsidR="00EA09C3" w:rsidRPr="00A15C78">
        <w:rPr>
          <w:rFonts w:ascii="Verdana" w:hAnsi="Verdana" w:cs="Verdana"/>
          <w:sz w:val="20"/>
          <w:szCs w:val="20"/>
        </w:rPr>
        <w:t xml:space="preserve"> que alegadamente contiene disposiciones que contravienen las obligaciones internacionales en materia de investigación, juzgamiento y sanción. </w:t>
      </w:r>
      <w:r w:rsidR="00907E8E" w:rsidRPr="00A15C78">
        <w:rPr>
          <w:rFonts w:ascii="Verdana" w:hAnsi="Verdana" w:cs="Verdana"/>
          <w:sz w:val="20"/>
          <w:szCs w:val="20"/>
        </w:rPr>
        <w:t xml:space="preserve">Esta Presidencia </w:t>
      </w:r>
      <w:r w:rsidR="00094031" w:rsidRPr="00A15C78">
        <w:rPr>
          <w:rFonts w:ascii="Verdana" w:hAnsi="Verdana" w:cs="Verdana"/>
          <w:color w:val="000000"/>
          <w:sz w:val="20"/>
          <w:szCs w:val="20"/>
        </w:rPr>
        <w:t xml:space="preserve">efectuará un pronunciamiento adicional al respecto en los Considerandos </w:t>
      </w:r>
      <w:r w:rsidR="00473671">
        <w:rPr>
          <w:rFonts w:ascii="Verdana" w:hAnsi="Verdana" w:cs="Verdana"/>
          <w:color w:val="000000"/>
          <w:sz w:val="20"/>
          <w:szCs w:val="20"/>
        </w:rPr>
        <w:t>20</w:t>
      </w:r>
      <w:r w:rsidR="00094031" w:rsidRPr="00A15C78">
        <w:rPr>
          <w:rFonts w:ascii="Verdana" w:hAnsi="Verdana" w:cs="Verdana"/>
          <w:color w:val="000000"/>
          <w:sz w:val="20"/>
          <w:szCs w:val="20"/>
        </w:rPr>
        <w:t xml:space="preserve"> a </w:t>
      </w:r>
      <w:r w:rsidR="00473671">
        <w:rPr>
          <w:rFonts w:ascii="Verdana" w:hAnsi="Verdana" w:cs="Verdana"/>
          <w:color w:val="000000"/>
          <w:sz w:val="20"/>
          <w:szCs w:val="20"/>
        </w:rPr>
        <w:t>35</w:t>
      </w:r>
      <w:r w:rsidR="00094031" w:rsidRPr="00A15C78">
        <w:rPr>
          <w:rFonts w:ascii="Verdana" w:hAnsi="Verdana" w:cs="Verdana"/>
          <w:color w:val="000000"/>
          <w:sz w:val="20"/>
          <w:szCs w:val="20"/>
        </w:rPr>
        <w:t>.</w:t>
      </w:r>
    </w:p>
    <w:p w14:paraId="7D14F1B1" w14:textId="77777777" w:rsidR="00A16365" w:rsidRDefault="00E40B79" w:rsidP="00A16365">
      <w:pPr>
        <w:pStyle w:val="Prrafodelista"/>
        <w:numPr>
          <w:ilvl w:val="0"/>
          <w:numId w:val="35"/>
        </w:numPr>
        <w:tabs>
          <w:tab w:val="left" w:pos="0"/>
        </w:tabs>
        <w:autoSpaceDE w:val="0"/>
        <w:autoSpaceDN w:val="0"/>
        <w:adjustRightInd w:val="0"/>
        <w:spacing w:before="120" w:after="120" w:line="240" w:lineRule="auto"/>
        <w:ind w:left="0" w:right="99" w:firstLine="0"/>
        <w:contextualSpacing w:val="0"/>
        <w:jc w:val="both"/>
        <w:rPr>
          <w:rFonts w:ascii="Verdana" w:hAnsi="Verdana" w:cs="Verdana"/>
          <w:color w:val="00B050"/>
          <w:sz w:val="20"/>
          <w:szCs w:val="20"/>
        </w:rPr>
      </w:pPr>
      <w:r w:rsidRPr="0014641E">
        <w:rPr>
          <w:rFonts w:ascii="Verdana" w:hAnsi="Verdana"/>
          <w:sz w:val="20"/>
          <w:szCs w:val="20"/>
        </w:rPr>
        <w:t>La Corte ha señalado que las tres condiciones exigidas por el artículo 63.2 de la Convención para que pueda disponer de medidas provisionales deben concurrir en toda situación en la que se soliciten</w:t>
      </w:r>
      <w:r>
        <w:rPr>
          <w:rStyle w:val="Refdenotaalpie"/>
          <w:rFonts w:ascii="Verdana" w:hAnsi="Verdana"/>
          <w:sz w:val="20"/>
          <w:szCs w:val="20"/>
        </w:rPr>
        <w:footnoteReference w:id="17"/>
      </w:r>
      <w:r w:rsidRPr="0014641E">
        <w:rPr>
          <w:rFonts w:ascii="Verdana" w:hAnsi="Verdana"/>
          <w:sz w:val="20"/>
          <w:szCs w:val="20"/>
        </w:rPr>
        <w:t>.</w:t>
      </w:r>
      <w:r w:rsidRPr="0014641E">
        <w:rPr>
          <w:sz w:val="20"/>
          <w:szCs w:val="20"/>
        </w:rPr>
        <w:t xml:space="preserve"> </w:t>
      </w:r>
      <w:r w:rsidRPr="0014641E">
        <w:rPr>
          <w:rFonts w:ascii="Verdana" w:hAnsi="Verdana"/>
          <w:bCs/>
          <w:sz w:val="20"/>
          <w:szCs w:val="20"/>
        </w:rPr>
        <w:t>De conformidad con</w:t>
      </w:r>
      <w:r w:rsidRPr="0014641E">
        <w:rPr>
          <w:rFonts w:ascii="Verdana" w:hAnsi="Verdana"/>
          <w:sz w:val="20"/>
          <w:szCs w:val="20"/>
        </w:rPr>
        <w:t xml:space="preserve"> la Convención y el Reglamento del Tribunal, la carga procesal de demostrar </w:t>
      </w:r>
      <w:r w:rsidRPr="0014641E">
        <w:rPr>
          <w:rFonts w:ascii="Verdana" w:hAnsi="Verdana"/>
          <w:i/>
          <w:sz w:val="20"/>
          <w:szCs w:val="20"/>
        </w:rPr>
        <w:t>prima facie</w:t>
      </w:r>
      <w:r w:rsidRPr="0014641E">
        <w:rPr>
          <w:rFonts w:ascii="Verdana" w:hAnsi="Verdana"/>
          <w:sz w:val="20"/>
          <w:szCs w:val="20"/>
        </w:rPr>
        <w:t xml:space="preserve"> dichos requisitos recae en el solicitante</w:t>
      </w:r>
      <w:r w:rsidRPr="009A6273">
        <w:rPr>
          <w:vertAlign w:val="superscript"/>
        </w:rPr>
        <w:footnoteReference w:id="18"/>
      </w:r>
      <w:r w:rsidRPr="0014641E">
        <w:rPr>
          <w:rFonts w:ascii="Verdana" w:hAnsi="Verdana"/>
          <w:sz w:val="20"/>
          <w:szCs w:val="20"/>
        </w:rPr>
        <w:t>. En cuanto a la gravedad, para efectos de la adopción de medidas provisionales, la Convención requiere que aquélla sea “extrema”, es decir, que se encuentre en su grado más intenso o elevado. El carácter urgente implica que el riesgo o amenaza involucrados sean inminentes, lo cual requiere que la respuesta para remediarlos sea inmediata. Finalmente, en cuanto al daño, debe existir una probabilidad razonable de que se materialice y no debe recaer en bienes o intereses jurídicos que puedan ser reparables</w:t>
      </w:r>
      <w:r w:rsidRPr="009A6273">
        <w:rPr>
          <w:vertAlign w:val="superscript"/>
        </w:rPr>
        <w:footnoteReference w:id="19"/>
      </w:r>
      <w:r w:rsidRPr="0014641E">
        <w:rPr>
          <w:rFonts w:ascii="Verdana" w:hAnsi="Verdana"/>
          <w:sz w:val="20"/>
          <w:szCs w:val="20"/>
        </w:rPr>
        <w:t xml:space="preserve">. </w:t>
      </w:r>
    </w:p>
    <w:p w14:paraId="24F0230D" w14:textId="2A29162E" w:rsidR="00E13231" w:rsidRPr="00A16365" w:rsidRDefault="00EA09C3" w:rsidP="00A16365">
      <w:pPr>
        <w:pStyle w:val="Prrafodelista"/>
        <w:numPr>
          <w:ilvl w:val="0"/>
          <w:numId w:val="35"/>
        </w:numPr>
        <w:tabs>
          <w:tab w:val="left" w:pos="0"/>
        </w:tabs>
        <w:autoSpaceDE w:val="0"/>
        <w:autoSpaceDN w:val="0"/>
        <w:adjustRightInd w:val="0"/>
        <w:spacing w:before="120" w:after="120" w:line="240" w:lineRule="auto"/>
        <w:ind w:left="0" w:right="99" w:firstLine="0"/>
        <w:contextualSpacing w:val="0"/>
        <w:jc w:val="both"/>
        <w:rPr>
          <w:rFonts w:ascii="Verdana" w:hAnsi="Verdana" w:cs="Verdana"/>
          <w:color w:val="00B050"/>
          <w:sz w:val="20"/>
          <w:szCs w:val="20"/>
        </w:rPr>
      </w:pPr>
      <w:r w:rsidRPr="00A16365">
        <w:rPr>
          <w:rFonts w:ascii="Verdana" w:hAnsi="Verdana"/>
          <w:sz w:val="20"/>
          <w:szCs w:val="20"/>
        </w:rPr>
        <w:t xml:space="preserve">Después de haber examinado los hechos y circunstancias que fundamentaron la presente solicitud, esta Presidencia estima que los requisitos de extrema gravedad, urgencia e irreparabilidad del daño, se configuran por los motivos que se indican a continuación. Para </w:t>
      </w:r>
      <w:r w:rsidR="00740FCE" w:rsidRPr="00A16365">
        <w:rPr>
          <w:rFonts w:ascii="Verdana" w:hAnsi="Verdana"/>
          <w:sz w:val="20"/>
          <w:szCs w:val="20"/>
        </w:rPr>
        <w:t>dicho</w:t>
      </w:r>
      <w:r w:rsidRPr="00A16365">
        <w:rPr>
          <w:rFonts w:ascii="Verdana" w:hAnsi="Verdana"/>
          <w:sz w:val="20"/>
          <w:szCs w:val="20"/>
        </w:rPr>
        <w:t xml:space="preserve"> análisis, </w:t>
      </w:r>
      <w:r w:rsidR="007722F6" w:rsidRPr="00A16365">
        <w:rPr>
          <w:rFonts w:ascii="Verdana" w:hAnsi="Verdana"/>
          <w:sz w:val="20"/>
          <w:szCs w:val="20"/>
        </w:rPr>
        <w:t>esta Presidencia únicamente hará referencia a aspectos del proyecto de ley que son cuestionados por los representantes en su solicitud de medidas provisionales (</w:t>
      </w:r>
      <w:r w:rsidR="007722F6" w:rsidRPr="00A16365">
        <w:rPr>
          <w:rFonts w:ascii="Verdana" w:hAnsi="Verdana"/>
          <w:i/>
          <w:sz w:val="20"/>
          <w:szCs w:val="20"/>
        </w:rPr>
        <w:t xml:space="preserve">supra </w:t>
      </w:r>
      <w:r w:rsidR="007722F6" w:rsidRPr="00A16365">
        <w:rPr>
          <w:rFonts w:ascii="Verdana" w:hAnsi="Verdana"/>
          <w:sz w:val="20"/>
          <w:szCs w:val="20"/>
        </w:rPr>
        <w:t xml:space="preserve">Considerando </w:t>
      </w:r>
      <w:r w:rsidR="004A511A" w:rsidRPr="00A16365">
        <w:rPr>
          <w:rFonts w:ascii="Verdana" w:hAnsi="Verdana"/>
          <w:sz w:val="20"/>
          <w:szCs w:val="20"/>
        </w:rPr>
        <w:t>1</w:t>
      </w:r>
      <w:r w:rsidR="00473671">
        <w:rPr>
          <w:rFonts w:ascii="Verdana" w:hAnsi="Verdana"/>
          <w:sz w:val="20"/>
          <w:szCs w:val="20"/>
        </w:rPr>
        <w:t>3</w:t>
      </w:r>
      <w:r w:rsidR="007722F6" w:rsidRPr="00A16365">
        <w:rPr>
          <w:rFonts w:ascii="Verdana" w:hAnsi="Verdana"/>
          <w:sz w:val="20"/>
          <w:szCs w:val="20"/>
        </w:rPr>
        <w:t>)</w:t>
      </w:r>
      <w:r w:rsidR="007722F6" w:rsidRPr="00A16365">
        <w:rPr>
          <w:rFonts w:ascii="Verdana" w:hAnsi="Verdana" w:cs="Verdana"/>
          <w:sz w:val="20"/>
          <w:szCs w:val="20"/>
        </w:rPr>
        <w:t xml:space="preserve">. </w:t>
      </w:r>
      <w:r w:rsidR="00E7709F" w:rsidRPr="00A16365">
        <w:rPr>
          <w:rFonts w:ascii="Verdana" w:hAnsi="Verdana" w:cs="Verdana"/>
          <w:sz w:val="20"/>
          <w:szCs w:val="20"/>
        </w:rPr>
        <w:t xml:space="preserve">Para ello, </w:t>
      </w:r>
      <w:r w:rsidR="00CF4D92" w:rsidRPr="00A16365">
        <w:rPr>
          <w:rFonts w:ascii="Verdana" w:hAnsi="Verdana" w:cs="Verdana"/>
          <w:sz w:val="20"/>
          <w:szCs w:val="20"/>
        </w:rPr>
        <w:t>utilizará el proyecto de ley que fue aportado por los representantes de las víctimas junto con su escrito de 24 de mayo de 2019 (</w:t>
      </w:r>
      <w:r w:rsidR="00CF4D92" w:rsidRPr="00A16365">
        <w:rPr>
          <w:rFonts w:ascii="Verdana" w:hAnsi="Verdana" w:cs="Verdana"/>
          <w:i/>
          <w:sz w:val="20"/>
          <w:szCs w:val="20"/>
        </w:rPr>
        <w:t xml:space="preserve">supra </w:t>
      </w:r>
      <w:r w:rsidR="00CF4D92" w:rsidRPr="00A16365">
        <w:rPr>
          <w:rFonts w:ascii="Verdana" w:hAnsi="Verdana" w:cs="Verdana"/>
          <w:sz w:val="20"/>
          <w:szCs w:val="20"/>
        </w:rPr>
        <w:t xml:space="preserve">Considerando </w:t>
      </w:r>
      <w:r w:rsidR="00473671">
        <w:rPr>
          <w:rFonts w:ascii="Verdana" w:hAnsi="Verdana" w:cs="Verdana"/>
          <w:sz w:val="20"/>
          <w:szCs w:val="20"/>
        </w:rPr>
        <w:t>12</w:t>
      </w:r>
      <w:r w:rsidR="004A511A" w:rsidRPr="00A16365">
        <w:rPr>
          <w:rFonts w:ascii="Verdana" w:hAnsi="Verdana" w:cs="Verdana"/>
          <w:sz w:val="20"/>
          <w:szCs w:val="20"/>
        </w:rPr>
        <w:t>.k</w:t>
      </w:r>
      <w:r w:rsidR="00CF4D92" w:rsidRPr="00A16365">
        <w:rPr>
          <w:rFonts w:ascii="Verdana" w:hAnsi="Verdana" w:cs="Verdana"/>
          <w:sz w:val="20"/>
          <w:szCs w:val="20"/>
        </w:rPr>
        <w:t xml:space="preserve">), ya que el Estado no lo aportó ni objetó que éste no fuera el que está en conocimiento de la Comisión Política de la Asamblea Legislativa. </w:t>
      </w:r>
      <w:r w:rsidR="00CF4D92" w:rsidRPr="00A16365">
        <w:rPr>
          <w:rFonts w:ascii="Verdana" w:hAnsi="Verdana"/>
          <w:sz w:val="20"/>
          <w:szCs w:val="20"/>
        </w:rPr>
        <w:t>Adicionalmente</w:t>
      </w:r>
      <w:r w:rsidR="007722F6" w:rsidRPr="00A16365">
        <w:rPr>
          <w:rFonts w:ascii="Verdana" w:hAnsi="Verdana"/>
          <w:sz w:val="20"/>
          <w:szCs w:val="20"/>
        </w:rPr>
        <w:t xml:space="preserve">, </w:t>
      </w:r>
      <w:r w:rsidR="00CF4D92" w:rsidRPr="00A16365">
        <w:rPr>
          <w:rFonts w:ascii="Verdana" w:hAnsi="Verdana"/>
          <w:sz w:val="20"/>
          <w:szCs w:val="20"/>
        </w:rPr>
        <w:t xml:space="preserve">esta Presidencia </w:t>
      </w:r>
      <w:r w:rsidR="00740FCE" w:rsidRPr="00A16365">
        <w:rPr>
          <w:rFonts w:ascii="Verdana" w:hAnsi="Verdana"/>
          <w:sz w:val="20"/>
          <w:szCs w:val="20"/>
        </w:rPr>
        <w:t xml:space="preserve">incorporará </w:t>
      </w:r>
      <w:r w:rsidR="00CF4D92" w:rsidRPr="00A16365">
        <w:rPr>
          <w:rFonts w:ascii="Verdana" w:hAnsi="Verdana"/>
          <w:sz w:val="20"/>
          <w:szCs w:val="20"/>
        </w:rPr>
        <w:t>en el</w:t>
      </w:r>
      <w:r w:rsidR="007722F6" w:rsidRPr="00A16365">
        <w:rPr>
          <w:rFonts w:ascii="Verdana" w:hAnsi="Verdana"/>
          <w:sz w:val="20"/>
          <w:szCs w:val="20"/>
        </w:rPr>
        <w:t xml:space="preserve"> análisis la </w:t>
      </w:r>
      <w:r w:rsidR="00740FCE" w:rsidRPr="00A16365">
        <w:rPr>
          <w:rFonts w:ascii="Verdana" w:hAnsi="Verdana"/>
          <w:sz w:val="20"/>
          <w:szCs w:val="20"/>
        </w:rPr>
        <w:t>información relevante que ha sido recibida en la supervisión de cumplimiento de Sentencia del caso</w:t>
      </w:r>
      <w:r w:rsidR="000B2B74" w:rsidRPr="00A16365">
        <w:rPr>
          <w:rFonts w:ascii="Verdana" w:hAnsi="Verdana"/>
          <w:sz w:val="20"/>
          <w:szCs w:val="20"/>
        </w:rPr>
        <w:t xml:space="preserve"> </w:t>
      </w:r>
      <w:r w:rsidR="000B2B74" w:rsidRPr="00A16365">
        <w:rPr>
          <w:rFonts w:ascii="Verdana" w:hAnsi="Verdana"/>
          <w:i/>
          <w:sz w:val="20"/>
          <w:szCs w:val="20"/>
        </w:rPr>
        <w:t>Masacres de El Mozote y lugares aledaños</w:t>
      </w:r>
      <w:r w:rsidR="00740FCE" w:rsidRPr="00A16365">
        <w:rPr>
          <w:rFonts w:ascii="Verdana" w:hAnsi="Verdana"/>
          <w:sz w:val="20"/>
          <w:szCs w:val="20"/>
        </w:rPr>
        <w:t>, fundamentalmente, a partir de febrero de 2019</w:t>
      </w:r>
      <w:r w:rsidR="00CF4D92" w:rsidRPr="00A16365">
        <w:rPr>
          <w:rFonts w:ascii="Verdana" w:hAnsi="Verdana"/>
          <w:sz w:val="20"/>
          <w:szCs w:val="20"/>
        </w:rPr>
        <w:t xml:space="preserve"> (</w:t>
      </w:r>
      <w:r w:rsidR="00CF4D92" w:rsidRPr="00A16365">
        <w:rPr>
          <w:rFonts w:ascii="Verdana" w:hAnsi="Verdana"/>
          <w:i/>
          <w:sz w:val="20"/>
          <w:szCs w:val="20"/>
        </w:rPr>
        <w:t>supra</w:t>
      </w:r>
      <w:r w:rsidR="00CF4D92" w:rsidRPr="00A16365">
        <w:rPr>
          <w:rFonts w:ascii="Verdana" w:hAnsi="Verdana"/>
          <w:sz w:val="20"/>
          <w:szCs w:val="20"/>
        </w:rPr>
        <w:t xml:space="preserve"> Vistos </w:t>
      </w:r>
      <w:r w:rsidR="000D32F9" w:rsidRPr="00A16365">
        <w:rPr>
          <w:rFonts w:ascii="Verdana" w:hAnsi="Verdana"/>
          <w:sz w:val="20"/>
          <w:szCs w:val="20"/>
        </w:rPr>
        <w:t xml:space="preserve">3, </w:t>
      </w:r>
      <w:r w:rsidR="00E7709F" w:rsidRPr="00A16365">
        <w:rPr>
          <w:rFonts w:ascii="Verdana" w:hAnsi="Verdana"/>
          <w:sz w:val="20"/>
          <w:szCs w:val="20"/>
        </w:rPr>
        <w:t>4 y 6</w:t>
      </w:r>
      <w:r w:rsidR="00CF4D92" w:rsidRPr="00A16365">
        <w:rPr>
          <w:rFonts w:ascii="Verdana" w:hAnsi="Verdana"/>
          <w:sz w:val="20"/>
          <w:szCs w:val="20"/>
        </w:rPr>
        <w:t>)</w:t>
      </w:r>
      <w:r w:rsidR="00740FCE" w:rsidRPr="00A16365">
        <w:rPr>
          <w:rFonts w:ascii="Verdana" w:hAnsi="Verdana"/>
          <w:sz w:val="20"/>
          <w:szCs w:val="20"/>
        </w:rPr>
        <w:t>.</w:t>
      </w:r>
    </w:p>
    <w:p w14:paraId="40C230BD" w14:textId="23085318" w:rsidR="003A1BCA" w:rsidRPr="00FF4357" w:rsidRDefault="00EA00AB" w:rsidP="003A1BCA">
      <w:pPr>
        <w:pStyle w:val="Prrafodelista"/>
        <w:numPr>
          <w:ilvl w:val="0"/>
          <w:numId w:val="35"/>
        </w:numPr>
        <w:tabs>
          <w:tab w:val="left" w:pos="0"/>
        </w:tabs>
        <w:autoSpaceDE w:val="0"/>
        <w:autoSpaceDN w:val="0"/>
        <w:adjustRightInd w:val="0"/>
        <w:spacing w:before="120" w:after="120" w:line="240" w:lineRule="auto"/>
        <w:ind w:left="0" w:right="99" w:firstLine="0"/>
        <w:contextualSpacing w:val="0"/>
        <w:jc w:val="both"/>
        <w:rPr>
          <w:rFonts w:ascii="Verdana" w:hAnsi="Verdana" w:cs="Verdana"/>
          <w:color w:val="00B050"/>
          <w:sz w:val="20"/>
          <w:szCs w:val="20"/>
        </w:rPr>
      </w:pPr>
      <w:r w:rsidRPr="00FF4357">
        <w:rPr>
          <w:rFonts w:ascii="Verdana" w:hAnsi="Verdana" w:cs="Verdana"/>
          <w:color w:val="000000"/>
          <w:sz w:val="20"/>
          <w:szCs w:val="20"/>
        </w:rPr>
        <w:t>El requisito de extrema gravedad se manifiesta en que con la aprobación de es</w:t>
      </w:r>
      <w:r w:rsidR="00CC5AEA" w:rsidRPr="00FF4357">
        <w:rPr>
          <w:rFonts w:ascii="Verdana" w:hAnsi="Verdana" w:cs="Verdana"/>
          <w:color w:val="000000"/>
          <w:sz w:val="20"/>
          <w:szCs w:val="20"/>
        </w:rPr>
        <w:t>e proyecto de</w:t>
      </w:r>
      <w:r w:rsidRPr="00FF4357">
        <w:rPr>
          <w:rFonts w:ascii="Verdana" w:hAnsi="Verdana" w:cs="Verdana"/>
          <w:color w:val="000000"/>
          <w:sz w:val="20"/>
          <w:szCs w:val="20"/>
        </w:rPr>
        <w:t xml:space="preserve"> ley </w:t>
      </w:r>
      <w:r w:rsidR="00467612" w:rsidRPr="00FF4357">
        <w:rPr>
          <w:rFonts w:ascii="Verdana" w:hAnsi="Verdana" w:cs="Verdana"/>
          <w:color w:val="000000"/>
          <w:sz w:val="20"/>
          <w:szCs w:val="20"/>
        </w:rPr>
        <w:t xml:space="preserve">podría no </w:t>
      </w:r>
      <w:r w:rsidRPr="00FF4357">
        <w:rPr>
          <w:rFonts w:ascii="Verdana" w:hAnsi="Verdana" w:cs="Verdana"/>
          <w:color w:val="000000"/>
          <w:sz w:val="20"/>
          <w:szCs w:val="20"/>
        </w:rPr>
        <w:t>garantiza</w:t>
      </w:r>
      <w:r w:rsidR="00467612" w:rsidRPr="00FF4357">
        <w:rPr>
          <w:rFonts w:ascii="Verdana" w:hAnsi="Verdana" w:cs="Verdana"/>
          <w:color w:val="000000"/>
          <w:sz w:val="20"/>
          <w:szCs w:val="20"/>
        </w:rPr>
        <w:t>rse</w:t>
      </w:r>
      <w:r w:rsidRPr="00FF4357">
        <w:rPr>
          <w:rFonts w:ascii="Verdana" w:hAnsi="Verdana" w:cs="Verdana"/>
          <w:color w:val="000000"/>
          <w:sz w:val="20"/>
          <w:szCs w:val="20"/>
        </w:rPr>
        <w:t xml:space="preserve"> adecuadamente el derecho de acceso a la justicia de las víctimas </w:t>
      </w:r>
      <w:r w:rsidR="00907E8E" w:rsidRPr="00FF4357">
        <w:rPr>
          <w:rFonts w:ascii="Verdana" w:hAnsi="Verdana" w:cs="Verdana"/>
          <w:color w:val="000000"/>
          <w:sz w:val="20"/>
          <w:szCs w:val="20"/>
        </w:rPr>
        <w:t>del presente caso</w:t>
      </w:r>
      <w:r w:rsidRPr="00FF4357">
        <w:rPr>
          <w:rFonts w:ascii="Verdana" w:hAnsi="Verdana" w:cs="Verdana"/>
          <w:color w:val="000000"/>
          <w:sz w:val="20"/>
          <w:szCs w:val="20"/>
        </w:rPr>
        <w:t>.</w:t>
      </w:r>
      <w:r w:rsidRPr="00FF4357">
        <w:rPr>
          <w:rFonts w:ascii="Verdana" w:hAnsi="Verdana" w:cs="Verdana"/>
          <w:i/>
          <w:color w:val="000000"/>
          <w:sz w:val="20"/>
          <w:szCs w:val="20"/>
        </w:rPr>
        <w:t xml:space="preserve"> </w:t>
      </w:r>
      <w:r w:rsidR="00B130FA" w:rsidRPr="00FF4357">
        <w:rPr>
          <w:rFonts w:ascii="Verdana" w:hAnsi="Verdana" w:cs="Verdana"/>
          <w:color w:val="000000"/>
          <w:sz w:val="20"/>
          <w:szCs w:val="20"/>
        </w:rPr>
        <w:t xml:space="preserve">Si bien </w:t>
      </w:r>
      <w:r w:rsidR="007B26EF" w:rsidRPr="00FF4357">
        <w:rPr>
          <w:rFonts w:ascii="Verdana" w:hAnsi="Verdana" w:cs="Verdana"/>
          <w:color w:val="000000"/>
          <w:sz w:val="20"/>
          <w:szCs w:val="20"/>
        </w:rPr>
        <w:t>es positivo que</w:t>
      </w:r>
      <w:r w:rsidR="00D26B91" w:rsidRPr="00FF4357">
        <w:rPr>
          <w:rFonts w:ascii="Verdana" w:hAnsi="Verdana" w:cs="Verdana"/>
          <w:color w:val="000000"/>
          <w:sz w:val="20"/>
          <w:szCs w:val="20"/>
        </w:rPr>
        <w:t xml:space="preserve"> </w:t>
      </w:r>
      <w:r w:rsidR="004A0B78" w:rsidRPr="00FF4357">
        <w:rPr>
          <w:rFonts w:ascii="Verdana" w:hAnsi="Verdana" w:cs="Verdana"/>
          <w:color w:val="000000"/>
          <w:sz w:val="20"/>
          <w:szCs w:val="20"/>
        </w:rPr>
        <w:t>el</w:t>
      </w:r>
      <w:r w:rsidR="00CC5AEA" w:rsidRPr="00FF4357">
        <w:rPr>
          <w:rFonts w:ascii="Verdana" w:hAnsi="Verdana" w:cs="Verdana"/>
          <w:color w:val="000000"/>
          <w:sz w:val="20"/>
          <w:szCs w:val="20"/>
        </w:rPr>
        <w:t xml:space="preserve"> proyecto de ley </w:t>
      </w:r>
      <w:r w:rsidR="007B26EF" w:rsidRPr="00FF4357">
        <w:rPr>
          <w:rFonts w:ascii="Verdana" w:hAnsi="Verdana" w:cs="Verdana"/>
          <w:color w:val="000000"/>
          <w:sz w:val="20"/>
          <w:szCs w:val="20"/>
        </w:rPr>
        <w:t xml:space="preserve">prevea expresamente la imprescriptibilidad y la imposibilidad de amnistiar “crímenes de lesa humanidad y crímenes de guerra, constitutivos de graves violaciones para el derecho </w:t>
      </w:r>
      <w:r w:rsidR="007B26EF" w:rsidRPr="00FF4357">
        <w:rPr>
          <w:rFonts w:ascii="Verdana" w:hAnsi="Verdana" w:cs="Verdana"/>
          <w:color w:val="000000"/>
          <w:sz w:val="20"/>
          <w:szCs w:val="20"/>
        </w:rPr>
        <w:lastRenderedPageBreak/>
        <w:t>humanitario” y defina qué conductas están comprendidas en tales crímenes</w:t>
      </w:r>
      <w:r w:rsidR="00B419A7" w:rsidRPr="00FF4357">
        <w:rPr>
          <w:rStyle w:val="Refdenotaalpie"/>
          <w:rFonts w:ascii="Verdana" w:hAnsi="Verdana" w:cs="Verdana"/>
          <w:color w:val="000000"/>
          <w:sz w:val="20"/>
          <w:szCs w:val="20"/>
        </w:rPr>
        <w:footnoteReference w:id="20"/>
      </w:r>
      <w:r w:rsidR="007B26EF" w:rsidRPr="00FF4357">
        <w:rPr>
          <w:rFonts w:ascii="Verdana" w:hAnsi="Verdana" w:cs="Verdana"/>
          <w:color w:val="000000"/>
          <w:sz w:val="20"/>
          <w:szCs w:val="20"/>
        </w:rPr>
        <w:t xml:space="preserve">, también es cierto que el proyecto de ley </w:t>
      </w:r>
      <w:r w:rsidR="00907E8E" w:rsidRPr="00FF4357">
        <w:rPr>
          <w:rFonts w:ascii="Verdana" w:hAnsi="Verdana" w:cs="Verdana"/>
          <w:i/>
          <w:color w:val="000000"/>
          <w:sz w:val="20"/>
          <w:szCs w:val="20"/>
        </w:rPr>
        <w:t>prima facie</w:t>
      </w:r>
      <w:r w:rsidR="00907E8E" w:rsidRPr="00FF4357">
        <w:rPr>
          <w:rFonts w:ascii="Verdana" w:hAnsi="Verdana" w:cs="Verdana"/>
          <w:color w:val="000000"/>
          <w:sz w:val="20"/>
          <w:szCs w:val="20"/>
        </w:rPr>
        <w:t xml:space="preserve"> </w:t>
      </w:r>
      <w:r w:rsidR="007B26EF" w:rsidRPr="00FF4357">
        <w:rPr>
          <w:rFonts w:ascii="Verdana" w:hAnsi="Verdana" w:cs="Verdana"/>
          <w:color w:val="000000"/>
          <w:sz w:val="20"/>
          <w:szCs w:val="20"/>
        </w:rPr>
        <w:t>cont</w:t>
      </w:r>
      <w:r w:rsidR="00907E8E" w:rsidRPr="00FF4357">
        <w:rPr>
          <w:rFonts w:ascii="Verdana" w:hAnsi="Verdana" w:cs="Verdana"/>
          <w:color w:val="000000"/>
          <w:sz w:val="20"/>
          <w:szCs w:val="20"/>
        </w:rPr>
        <w:t>endría</w:t>
      </w:r>
      <w:r w:rsidR="007B26EF" w:rsidRPr="00FF4357">
        <w:rPr>
          <w:rFonts w:ascii="Verdana" w:hAnsi="Verdana" w:cs="Verdana"/>
          <w:color w:val="000000"/>
          <w:sz w:val="20"/>
          <w:szCs w:val="20"/>
        </w:rPr>
        <w:t xml:space="preserve"> disposiciones </w:t>
      </w:r>
      <w:r w:rsidR="00CC5AEA" w:rsidRPr="00FF4357">
        <w:rPr>
          <w:rFonts w:ascii="Verdana" w:hAnsi="Verdana" w:cs="Verdana"/>
          <w:color w:val="000000"/>
          <w:sz w:val="20"/>
          <w:szCs w:val="20"/>
        </w:rPr>
        <w:t>que no son acordes a la</w:t>
      </w:r>
      <w:r w:rsidR="000D32F9">
        <w:rPr>
          <w:rFonts w:ascii="Verdana" w:hAnsi="Verdana" w:cs="Verdana"/>
          <w:color w:val="000000"/>
          <w:sz w:val="20"/>
          <w:szCs w:val="20"/>
        </w:rPr>
        <w:t>s obligaciones internacionales asumidas por El Salvador y la</w:t>
      </w:r>
      <w:r w:rsidR="00CC5AEA" w:rsidRPr="00FF4357">
        <w:rPr>
          <w:rFonts w:ascii="Verdana" w:hAnsi="Verdana" w:cs="Verdana"/>
          <w:color w:val="000000"/>
          <w:sz w:val="20"/>
          <w:szCs w:val="20"/>
        </w:rPr>
        <w:t xml:space="preserve"> jurisprudencia reiterada de este </w:t>
      </w:r>
      <w:r w:rsidR="007B26EF" w:rsidRPr="00FF4357">
        <w:rPr>
          <w:rFonts w:ascii="Verdana" w:hAnsi="Verdana" w:cs="Verdana"/>
          <w:color w:val="000000"/>
          <w:sz w:val="20"/>
          <w:szCs w:val="20"/>
        </w:rPr>
        <w:t>T</w:t>
      </w:r>
      <w:r w:rsidR="00CC5AEA" w:rsidRPr="00FF4357">
        <w:rPr>
          <w:rFonts w:ascii="Verdana" w:hAnsi="Verdana" w:cs="Verdana"/>
          <w:color w:val="000000"/>
          <w:sz w:val="20"/>
          <w:szCs w:val="20"/>
        </w:rPr>
        <w:t xml:space="preserve">ribunal sobre </w:t>
      </w:r>
      <w:r w:rsidR="00B130FA" w:rsidRPr="00FF4357">
        <w:rPr>
          <w:rFonts w:ascii="Verdana" w:hAnsi="Verdana" w:cs="Verdana"/>
          <w:color w:val="000000"/>
          <w:sz w:val="20"/>
          <w:szCs w:val="20"/>
        </w:rPr>
        <w:t xml:space="preserve">la obligación de investigar, juzgar y, eventualmente, sancionar a los responsables de </w:t>
      </w:r>
      <w:r w:rsidR="000D32F9">
        <w:rPr>
          <w:rFonts w:ascii="Verdana" w:hAnsi="Verdana" w:cs="Verdana"/>
          <w:color w:val="000000"/>
          <w:sz w:val="20"/>
          <w:szCs w:val="20"/>
        </w:rPr>
        <w:t xml:space="preserve">tales </w:t>
      </w:r>
      <w:r w:rsidR="007B26EF" w:rsidRPr="00FF4357">
        <w:rPr>
          <w:rFonts w:ascii="Verdana" w:hAnsi="Verdana" w:cs="Verdana"/>
          <w:color w:val="000000"/>
          <w:sz w:val="20"/>
          <w:szCs w:val="20"/>
        </w:rPr>
        <w:t xml:space="preserve">graves </w:t>
      </w:r>
      <w:r w:rsidR="00B130FA" w:rsidRPr="00FF4357">
        <w:rPr>
          <w:rFonts w:ascii="Verdana" w:hAnsi="Verdana" w:cs="Verdana"/>
          <w:color w:val="000000"/>
          <w:sz w:val="20"/>
          <w:szCs w:val="20"/>
        </w:rPr>
        <w:t>violaciones a derechos humanos</w:t>
      </w:r>
      <w:r w:rsidR="00255EB6" w:rsidRPr="00FF4357">
        <w:rPr>
          <w:rFonts w:ascii="Verdana" w:hAnsi="Verdana" w:cs="Verdana"/>
          <w:color w:val="000000"/>
          <w:sz w:val="20"/>
          <w:szCs w:val="20"/>
        </w:rPr>
        <w:t xml:space="preserve"> (</w:t>
      </w:r>
      <w:r w:rsidR="00255EB6" w:rsidRPr="00FF4357">
        <w:rPr>
          <w:rFonts w:ascii="Verdana" w:hAnsi="Verdana" w:cs="Verdana"/>
          <w:i/>
          <w:color w:val="000000"/>
          <w:sz w:val="20"/>
          <w:szCs w:val="20"/>
        </w:rPr>
        <w:t xml:space="preserve">infra </w:t>
      </w:r>
      <w:r w:rsidR="00255EB6" w:rsidRPr="00FF4357">
        <w:rPr>
          <w:rFonts w:ascii="Verdana" w:hAnsi="Verdana" w:cs="Verdana"/>
          <w:color w:val="000000"/>
          <w:sz w:val="20"/>
          <w:szCs w:val="20"/>
        </w:rPr>
        <w:t xml:space="preserve">Considerandos </w:t>
      </w:r>
      <w:r w:rsidR="00473671">
        <w:rPr>
          <w:rFonts w:ascii="Verdana" w:hAnsi="Verdana" w:cs="Verdana"/>
          <w:color w:val="000000"/>
          <w:sz w:val="20"/>
          <w:szCs w:val="20"/>
        </w:rPr>
        <w:t>21 a 35</w:t>
      </w:r>
      <w:r w:rsidR="00255EB6" w:rsidRPr="00FF4357">
        <w:rPr>
          <w:rFonts w:ascii="Verdana" w:hAnsi="Verdana" w:cs="Verdana"/>
          <w:color w:val="000000"/>
          <w:sz w:val="20"/>
          <w:szCs w:val="20"/>
        </w:rPr>
        <w:t>)</w:t>
      </w:r>
      <w:r w:rsidR="00B130FA" w:rsidRPr="00FF4357">
        <w:rPr>
          <w:rFonts w:ascii="Verdana" w:hAnsi="Verdana" w:cs="Verdana"/>
          <w:color w:val="000000"/>
          <w:sz w:val="20"/>
          <w:szCs w:val="20"/>
        </w:rPr>
        <w:t xml:space="preserve">. </w:t>
      </w:r>
    </w:p>
    <w:p w14:paraId="65289D10" w14:textId="04DDB890" w:rsidR="0072515A" w:rsidRPr="00953771" w:rsidRDefault="00B130FA" w:rsidP="00972211">
      <w:pPr>
        <w:pStyle w:val="Prrafodelista"/>
        <w:numPr>
          <w:ilvl w:val="0"/>
          <w:numId w:val="35"/>
        </w:numPr>
        <w:tabs>
          <w:tab w:val="left" w:pos="0"/>
        </w:tabs>
        <w:autoSpaceDE w:val="0"/>
        <w:autoSpaceDN w:val="0"/>
        <w:adjustRightInd w:val="0"/>
        <w:spacing w:before="120" w:after="120" w:line="240" w:lineRule="auto"/>
        <w:ind w:left="0" w:right="99" w:firstLine="0"/>
        <w:contextualSpacing w:val="0"/>
        <w:jc w:val="both"/>
        <w:rPr>
          <w:rFonts w:ascii="Verdana" w:hAnsi="Verdana" w:cs="Verdana"/>
          <w:sz w:val="20"/>
          <w:szCs w:val="20"/>
        </w:rPr>
      </w:pPr>
      <w:r w:rsidRPr="00953771">
        <w:rPr>
          <w:rFonts w:ascii="Verdana" w:hAnsi="Verdana" w:cs="Verdana"/>
          <w:sz w:val="20"/>
          <w:szCs w:val="20"/>
        </w:rPr>
        <w:t xml:space="preserve">En primer término, esta Presidencia observa que el </w:t>
      </w:r>
      <w:r w:rsidR="001F00F7" w:rsidRPr="00953771">
        <w:rPr>
          <w:rFonts w:ascii="Verdana" w:hAnsi="Verdana" w:cs="Verdana"/>
          <w:sz w:val="20"/>
          <w:szCs w:val="20"/>
        </w:rPr>
        <w:t xml:space="preserve">artículo 5 del proyecto de ley </w:t>
      </w:r>
      <w:r w:rsidR="00467612" w:rsidRPr="00953771">
        <w:rPr>
          <w:rFonts w:ascii="Verdana" w:hAnsi="Verdana" w:cs="Verdana"/>
          <w:sz w:val="20"/>
          <w:szCs w:val="20"/>
        </w:rPr>
        <w:t>podría llegar a restringir indebidamente</w:t>
      </w:r>
      <w:r w:rsidR="00C2641B" w:rsidRPr="00953771">
        <w:rPr>
          <w:rFonts w:ascii="Verdana" w:hAnsi="Verdana" w:cs="Verdana"/>
          <w:sz w:val="20"/>
          <w:szCs w:val="20"/>
        </w:rPr>
        <w:t xml:space="preserve"> la investigación y juzgamiento </w:t>
      </w:r>
      <w:r w:rsidR="00094FA6" w:rsidRPr="00953771">
        <w:rPr>
          <w:rFonts w:ascii="Verdana" w:hAnsi="Verdana" w:cs="Verdana"/>
          <w:i/>
          <w:sz w:val="20"/>
          <w:szCs w:val="20"/>
        </w:rPr>
        <w:t>ex officio</w:t>
      </w:r>
      <w:r w:rsidR="00094FA6" w:rsidRPr="00953771">
        <w:rPr>
          <w:rFonts w:ascii="Verdana" w:hAnsi="Verdana" w:cs="Verdana"/>
          <w:sz w:val="20"/>
          <w:szCs w:val="20"/>
        </w:rPr>
        <w:t xml:space="preserve"> </w:t>
      </w:r>
      <w:r w:rsidR="00C2641B" w:rsidRPr="00953771">
        <w:rPr>
          <w:rFonts w:ascii="Verdana" w:hAnsi="Verdana" w:cs="Verdana"/>
          <w:sz w:val="20"/>
          <w:szCs w:val="20"/>
        </w:rPr>
        <w:t xml:space="preserve">de </w:t>
      </w:r>
      <w:r w:rsidR="00FF4357">
        <w:rPr>
          <w:rFonts w:ascii="Verdana" w:hAnsi="Verdana" w:cs="Verdana"/>
          <w:sz w:val="20"/>
          <w:szCs w:val="20"/>
        </w:rPr>
        <w:t>los hechos del caso Masacres de El Mozote y lugares aledaños</w:t>
      </w:r>
      <w:r w:rsidR="00467612" w:rsidRPr="00953771">
        <w:rPr>
          <w:rFonts w:ascii="Verdana" w:hAnsi="Verdana" w:cs="Verdana"/>
          <w:sz w:val="20"/>
          <w:szCs w:val="20"/>
        </w:rPr>
        <w:t xml:space="preserve">, según fue dispuesto en la </w:t>
      </w:r>
      <w:r w:rsidR="00FF4357">
        <w:rPr>
          <w:rFonts w:ascii="Verdana" w:hAnsi="Verdana" w:cs="Verdana"/>
          <w:sz w:val="20"/>
          <w:szCs w:val="20"/>
        </w:rPr>
        <w:t>S</w:t>
      </w:r>
      <w:r w:rsidR="00A31BF9">
        <w:rPr>
          <w:rFonts w:ascii="Verdana" w:hAnsi="Verdana" w:cs="Verdana"/>
          <w:sz w:val="20"/>
          <w:szCs w:val="20"/>
        </w:rPr>
        <w:t>entencia emitida</w:t>
      </w:r>
      <w:r w:rsidR="00467612" w:rsidRPr="00953771">
        <w:rPr>
          <w:rFonts w:ascii="Verdana" w:hAnsi="Verdana" w:cs="Verdana"/>
          <w:sz w:val="20"/>
          <w:szCs w:val="20"/>
        </w:rPr>
        <w:t xml:space="preserve"> por la Corte Interamericana</w:t>
      </w:r>
      <w:r w:rsidR="00FF4357">
        <w:rPr>
          <w:rFonts w:ascii="Verdana" w:hAnsi="Verdana" w:cs="Verdana"/>
          <w:sz w:val="20"/>
          <w:szCs w:val="20"/>
        </w:rPr>
        <w:t xml:space="preserve"> (</w:t>
      </w:r>
      <w:r w:rsidR="00FF4357" w:rsidRPr="00FF4357">
        <w:rPr>
          <w:rFonts w:ascii="Verdana" w:hAnsi="Verdana" w:cs="Verdana"/>
          <w:i/>
          <w:sz w:val="20"/>
          <w:szCs w:val="20"/>
        </w:rPr>
        <w:t>supra</w:t>
      </w:r>
      <w:r w:rsidR="00FF4357">
        <w:rPr>
          <w:rFonts w:ascii="Verdana" w:hAnsi="Verdana" w:cs="Verdana"/>
          <w:sz w:val="20"/>
          <w:szCs w:val="20"/>
        </w:rPr>
        <w:t xml:space="preserve"> Considerando 1)</w:t>
      </w:r>
      <w:r w:rsidR="00C2641B" w:rsidRPr="00953771">
        <w:rPr>
          <w:rFonts w:ascii="Verdana" w:hAnsi="Verdana" w:cs="Verdana"/>
          <w:sz w:val="20"/>
          <w:szCs w:val="20"/>
        </w:rPr>
        <w:t>, mediante el establecimiento, por parte del Fiscal General de la República</w:t>
      </w:r>
      <w:r w:rsidR="00094FA6" w:rsidRPr="00953771">
        <w:rPr>
          <w:rFonts w:ascii="Verdana" w:hAnsi="Verdana" w:cs="Verdana"/>
          <w:sz w:val="20"/>
          <w:szCs w:val="20"/>
        </w:rPr>
        <w:t>,</w:t>
      </w:r>
      <w:r w:rsidR="00C2641B" w:rsidRPr="00953771">
        <w:rPr>
          <w:rFonts w:ascii="Verdana" w:hAnsi="Verdana" w:cs="Verdana"/>
          <w:sz w:val="20"/>
          <w:szCs w:val="20"/>
        </w:rPr>
        <w:t xml:space="preserve"> de un </w:t>
      </w:r>
      <w:r w:rsidR="00094FA6" w:rsidRPr="00953771">
        <w:rPr>
          <w:rFonts w:ascii="Verdana" w:hAnsi="Verdana" w:cs="Verdana"/>
          <w:sz w:val="20"/>
          <w:szCs w:val="20"/>
        </w:rPr>
        <w:t xml:space="preserve">“listado […] cerrado” </w:t>
      </w:r>
      <w:r w:rsidR="00553960" w:rsidRPr="00953771">
        <w:rPr>
          <w:rFonts w:ascii="Verdana" w:hAnsi="Verdana" w:cs="Verdana"/>
          <w:sz w:val="20"/>
          <w:szCs w:val="20"/>
        </w:rPr>
        <w:t xml:space="preserve">de los casos </w:t>
      </w:r>
      <w:r w:rsidR="00094FA6" w:rsidRPr="00953771">
        <w:rPr>
          <w:rFonts w:ascii="Verdana" w:hAnsi="Verdana" w:cs="Verdana"/>
          <w:sz w:val="20"/>
          <w:szCs w:val="20"/>
        </w:rPr>
        <w:t xml:space="preserve">que serán “investigados y procesados judicialmente”, los cuales </w:t>
      </w:r>
      <w:r w:rsidR="00B3253A" w:rsidRPr="00953771">
        <w:rPr>
          <w:rFonts w:ascii="Verdana" w:hAnsi="Verdana" w:cs="Verdana"/>
          <w:sz w:val="20"/>
          <w:szCs w:val="20"/>
        </w:rPr>
        <w:t>serán determinados con base en ciertos</w:t>
      </w:r>
      <w:r w:rsidR="00094FA6" w:rsidRPr="00953771">
        <w:rPr>
          <w:rFonts w:ascii="Verdana" w:hAnsi="Verdana" w:cs="Verdana"/>
          <w:sz w:val="20"/>
          <w:szCs w:val="20"/>
        </w:rPr>
        <w:t xml:space="preserve"> criterios, en un plazo perentorio de cinco meses, contados a partir de la entrada en vigencia de la ley. Además, dispone </w:t>
      </w:r>
      <w:r w:rsidR="0024176E" w:rsidRPr="00953771">
        <w:rPr>
          <w:rFonts w:ascii="Verdana" w:hAnsi="Verdana" w:cs="Verdana"/>
          <w:sz w:val="20"/>
          <w:szCs w:val="20"/>
        </w:rPr>
        <w:t xml:space="preserve">que </w:t>
      </w:r>
      <w:r w:rsidR="00094FA6" w:rsidRPr="00953771">
        <w:rPr>
          <w:rFonts w:ascii="Verdana" w:hAnsi="Verdana" w:cs="Verdana"/>
          <w:sz w:val="20"/>
          <w:szCs w:val="20"/>
        </w:rPr>
        <w:t xml:space="preserve">aquellos “casos previstos en la ley que no queden comprendidos en </w:t>
      </w:r>
      <w:r w:rsidR="00A31BF9">
        <w:rPr>
          <w:rFonts w:ascii="Verdana" w:hAnsi="Verdana" w:cs="Verdana"/>
          <w:sz w:val="20"/>
          <w:szCs w:val="20"/>
        </w:rPr>
        <w:t>la [referida] lista […], quedará</w:t>
      </w:r>
      <w:r w:rsidR="00094FA6" w:rsidRPr="00953771">
        <w:rPr>
          <w:rFonts w:ascii="Verdana" w:hAnsi="Verdana" w:cs="Verdana"/>
          <w:sz w:val="20"/>
          <w:szCs w:val="20"/>
        </w:rPr>
        <w:t>n sujetos a lo estipulado en el artículo 16 de [esa] ley</w:t>
      </w:r>
      <w:r w:rsidR="001A1C2E" w:rsidRPr="00953771">
        <w:rPr>
          <w:rFonts w:ascii="Verdana" w:hAnsi="Verdana" w:cs="Verdana"/>
          <w:sz w:val="20"/>
          <w:szCs w:val="20"/>
        </w:rPr>
        <w:t xml:space="preserve">”, el cual hace referencia a “casos objeto de amnistía conforme a la Sentencia” de la Sala de lo Constitucional de 13 de julio de 2016. </w:t>
      </w:r>
      <w:r w:rsidR="00094FA6" w:rsidRPr="00953771">
        <w:rPr>
          <w:rFonts w:ascii="Verdana" w:hAnsi="Verdana" w:cs="Verdana"/>
          <w:sz w:val="20"/>
          <w:szCs w:val="20"/>
        </w:rPr>
        <w:t>Dicho</w:t>
      </w:r>
      <w:r w:rsidR="001A1C2E" w:rsidRPr="00953771">
        <w:rPr>
          <w:rFonts w:ascii="Verdana" w:hAnsi="Verdana" w:cs="Verdana"/>
          <w:sz w:val="20"/>
          <w:szCs w:val="20"/>
        </w:rPr>
        <w:t>s</w:t>
      </w:r>
      <w:r w:rsidR="00094FA6" w:rsidRPr="00953771">
        <w:rPr>
          <w:rFonts w:ascii="Verdana" w:hAnsi="Verdana" w:cs="Verdana"/>
          <w:sz w:val="20"/>
          <w:szCs w:val="20"/>
        </w:rPr>
        <w:t xml:space="preserve"> artículo</w:t>
      </w:r>
      <w:r w:rsidR="001A1C2E" w:rsidRPr="00953771">
        <w:rPr>
          <w:rFonts w:ascii="Verdana" w:hAnsi="Verdana" w:cs="Verdana"/>
          <w:sz w:val="20"/>
          <w:szCs w:val="20"/>
        </w:rPr>
        <w:t>s</w:t>
      </w:r>
      <w:r w:rsidR="00094FA6" w:rsidRPr="00953771">
        <w:rPr>
          <w:rFonts w:ascii="Verdana" w:hAnsi="Verdana" w:cs="Verdana"/>
          <w:sz w:val="20"/>
          <w:szCs w:val="20"/>
        </w:rPr>
        <w:t xml:space="preserve"> </w:t>
      </w:r>
      <w:r w:rsidR="00553960" w:rsidRPr="00953771">
        <w:rPr>
          <w:rFonts w:ascii="Verdana" w:hAnsi="Verdana" w:cs="Verdana"/>
          <w:sz w:val="20"/>
          <w:szCs w:val="20"/>
        </w:rPr>
        <w:t xml:space="preserve">del proyecto de ley </w:t>
      </w:r>
      <w:r w:rsidR="00094FA6" w:rsidRPr="00953771">
        <w:rPr>
          <w:rFonts w:ascii="Verdana" w:hAnsi="Verdana" w:cs="Verdana"/>
          <w:sz w:val="20"/>
          <w:szCs w:val="20"/>
        </w:rPr>
        <w:t>dispone</w:t>
      </w:r>
      <w:r w:rsidR="001A1C2E" w:rsidRPr="00953771">
        <w:rPr>
          <w:rFonts w:ascii="Verdana" w:hAnsi="Verdana" w:cs="Verdana"/>
          <w:sz w:val="20"/>
          <w:szCs w:val="20"/>
        </w:rPr>
        <w:t>n</w:t>
      </w:r>
      <w:r w:rsidR="00094FA6" w:rsidRPr="00953771">
        <w:rPr>
          <w:rFonts w:ascii="Verdana" w:hAnsi="Verdana" w:cs="Verdana"/>
          <w:sz w:val="20"/>
          <w:szCs w:val="20"/>
        </w:rPr>
        <w:t xml:space="preserve"> </w:t>
      </w:r>
      <w:r w:rsidR="001A1C2E" w:rsidRPr="00953771">
        <w:rPr>
          <w:rFonts w:ascii="Verdana" w:hAnsi="Verdana" w:cs="Verdana"/>
          <w:sz w:val="20"/>
          <w:szCs w:val="20"/>
        </w:rPr>
        <w:t>lo siguiente</w:t>
      </w:r>
      <w:r w:rsidR="00094FA6" w:rsidRPr="00953771">
        <w:rPr>
          <w:rFonts w:ascii="Verdana" w:hAnsi="Verdana" w:cs="Verdana"/>
          <w:sz w:val="20"/>
          <w:szCs w:val="20"/>
        </w:rPr>
        <w:t xml:space="preserve">: </w:t>
      </w:r>
    </w:p>
    <w:p w14:paraId="45A93584" w14:textId="281D61AE" w:rsidR="00B8586C" w:rsidRDefault="00B8586C" w:rsidP="008F206C">
      <w:pPr>
        <w:pStyle w:val="Prrafodelista"/>
        <w:tabs>
          <w:tab w:val="left" w:pos="720"/>
        </w:tabs>
        <w:autoSpaceDE w:val="0"/>
        <w:autoSpaceDN w:val="0"/>
        <w:adjustRightInd w:val="0"/>
        <w:spacing w:before="120" w:after="120" w:line="240" w:lineRule="auto"/>
        <w:ind w:left="709" w:right="713"/>
        <w:contextualSpacing w:val="0"/>
        <w:jc w:val="both"/>
        <w:rPr>
          <w:rFonts w:ascii="Verdana" w:hAnsi="Verdana"/>
          <w:sz w:val="16"/>
          <w:szCs w:val="16"/>
        </w:rPr>
      </w:pPr>
      <w:r>
        <w:rPr>
          <w:rFonts w:ascii="Verdana" w:hAnsi="Verdana"/>
          <w:sz w:val="16"/>
          <w:szCs w:val="16"/>
        </w:rPr>
        <w:t>Política especial y selección de casos.</w:t>
      </w:r>
    </w:p>
    <w:p w14:paraId="0A3909D6" w14:textId="393A8CE3" w:rsidR="00B8586C" w:rsidRDefault="00B8586C" w:rsidP="008F206C">
      <w:pPr>
        <w:pStyle w:val="Prrafodelista"/>
        <w:tabs>
          <w:tab w:val="left" w:pos="720"/>
        </w:tabs>
        <w:autoSpaceDE w:val="0"/>
        <w:autoSpaceDN w:val="0"/>
        <w:adjustRightInd w:val="0"/>
        <w:spacing w:before="120" w:after="120" w:line="240" w:lineRule="auto"/>
        <w:ind w:left="709" w:right="713"/>
        <w:contextualSpacing w:val="0"/>
        <w:jc w:val="both"/>
        <w:rPr>
          <w:rFonts w:ascii="Verdana" w:hAnsi="Verdana"/>
          <w:b/>
          <w:sz w:val="16"/>
          <w:szCs w:val="16"/>
        </w:rPr>
      </w:pPr>
      <w:r>
        <w:rPr>
          <w:rFonts w:ascii="Verdana" w:hAnsi="Verdana"/>
          <w:sz w:val="16"/>
          <w:szCs w:val="16"/>
        </w:rPr>
        <w:t xml:space="preserve">Art. 5.- </w:t>
      </w:r>
      <w:r w:rsidR="00F37D93">
        <w:rPr>
          <w:rFonts w:ascii="Verdana" w:hAnsi="Verdana"/>
          <w:sz w:val="16"/>
          <w:szCs w:val="16"/>
        </w:rPr>
        <w:t xml:space="preserve">El Fiscal General de la República, </w:t>
      </w:r>
      <w:r w:rsidR="00F37D93" w:rsidRPr="00F37D93">
        <w:rPr>
          <w:rFonts w:ascii="Verdana" w:hAnsi="Verdana"/>
          <w:b/>
          <w:sz w:val="16"/>
          <w:szCs w:val="16"/>
        </w:rPr>
        <w:t>dentro de los cinco meses siguientes a la vigencia de las presentes regulaciones,</w:t>
      </w:r>
      <w:r w:rsidR="00F37D93">
        <w:rPr>
          <w:rFonts w:ascii="Verdana" w:hAnsi="Verdana"/>
          <w:sz w:val="16"/>
          <w:szCs w:val="16"/>
        </w:rPr>
        <w:t xml:space="preserve"> aprobará una política institucional especial para la investigación y juzgamiento de los crímenes objeto de la presente ley, </w:t>
      </w:r>
      <w:r w:rsidR="00F37D93" w:rsidRPr="00F37D93">
        <w:rPr>
          <w:rFonts w:ascii="Verdana" w:hAnsi="Verdana"/>
          <w:b/>
          <w:sz w:val="16"/>
          <w:szCs w:val="16"/>
        </w:rPr>
        <w:t>elaborando</w:t>
      </w:r>
      <w:r w:rsidR="00F37D93">
        <w:rPr>
          <w:rFonts w:ascii="Verdana" w:hAnsi="Verdana"/>
          <w:sz w:val="16"/>
          <w:szCs w:val="16"/>
        </w:rPr>
        <w:t xml:space="preserve"> dentro de dicha política y plazo, </w:t>
      </w:r>
      <w:r w:rsidR="00F37D93" w:rsidRPr="00F37D93">
        <w:rPr>
          <w:rFonts w:ascii="Verdana" w:hAnsi="Verdana"/>
          <w:b/>
          <w:sz w:val="16"/>
          <w:szCs w:val="16"/>
        </w:rPr>
        <w:t>en una sola ocasión, un listado de casos a ser investigados y procesados judicialmente, utilizando criterios como la extrema gravedad de los hechos p</w:t>
      </w:r>
      <w:r w:rsidR="00F37D93">
        <w:rPr>
          <w:rFonts w:ascii="Verdana" w:hAnsi="Verdana"/>
          <w:b/>
          <w:sz w:val="16"/>
          <w:szCs w:val="16"/>
        </w:rPr>
        <w:t>unibles</w:t>
      </w:r>
      <w:r w:rsidR="00680984">
        <w:rPr>
          <w:rFonts w:ascii="Verdana" w:hAnsi="Verdana"/>
          <w:b/>
          <w:sz w:val="16"/>
          <w:szCs w:val="16"/>
        </w:rPr>
        <w:t xml:space="preserve"> a que se refiere esta ley; la representatividad de los mismos; la capacidad para demostrar los patrones</w:t>
      </w:r>
      <w:r w:rsidR="006632F6">
        <w:rPr>
          <w:rFonts w:ascii="Verdana" w:hAnsi="Verdana"/>
          <w:b/>
          <w:sz w:val="16"/>
          <w:szCs w:val="16"/>
        </w:rPr>
        <w:t>, los comportamientos o prácticas de violencia más ofensivas y repudiables para el género humano; el impacto sobre las víctimas, la sociedad e incluso, la comunidad internacional; y la factibilidad o viabilidad de las investigaciones.</w:t>
      </w:r>
    </w:p>
    <w:p w14:paraId="163BB403" w14:textId="05A385BA" w:rsidR="006632F6" w:rsidRDefault="006632F6" w:rsidP="008F206C">
      <w:pPr>
        <w:pStyle w:val="Prrafodelista"/>
        <w:tabs>
          <w:tab w:val="left" w:pos="720"/>
        </w:tabs>
        <w:autoSpaceDE w:val="0"/>
        <w:autoSpaceDN w:val="0"/>
        <w:adjustRightInd w:val="0"/>
        <w:spacing w:before="120" w:after="120" w:line="240" w:lineRule="auto"/>
        <w:ind w:left="709" w:right="713"/>
        <w:contextualSpacing w:val="0"/>
        <w:jc w:val="both"/>
        <w:rPr>
          <w:rFonts w:ascii="Verdana" w:hAnsi="Verdana"/>
          <w:sz w:val="16"/>
          <w:szCs w:val="16"/>
        </w:rPr>
      </w:pPr>
      <w:r w:rsidRPr="006632F6">
        <w:rPr>
          <w:rFonts w:ascii="Verdana" w:hAnsi="Verdana"/>
          <w:sz w:val="16"/>
          <w:szCs w:val="16"/>
        </w:rPr>
        <w:t xml:space="preserve">Cualquier persona o grupo de personas u organización de la sociedad civil con personalidad jurídica, dentro del segundo y tercer </w:t>
      </w:r>
      <w:r>
        <w:rPr>
          <w:rFonts w:ascii="Verdana" w:hAnsi="Verdana"/>
          <w:sz w:val="16"/>
          <w:szCs w:val="16"/>
        </w:rPr>
        <w:t>mes de la entrada en vigencia de la presente ley, con base en los criterios anteriores</w:t>
      </w:r>
      <w:r w:rsidR="00683A1B">
        <w:rPr>
          <w:rFonts w:ascii="Verdana" w:hAnsi="Verdana"/>
          <w:sz w:val="16"/>
          <w:szCs w:val="16"/>
        </w:rPr>
        <w:t>, podrá hacer propuestas al Fiscal General de la República, sobre los casos que podrían incluirse en la lista mencionada.</w:t>
      </w:r>
    </w:p>
    <w:p w14:paraId="431B69A1" w14:textId="5BA81508" w:rsidR="00683A1B" w:rsidRDefault="00683A1B" w:rsidP="008F206C">
      <w:pPr>
        <w:pStyle w:val="Prrafodelista"/>
        <w:tabs>
          <w:tab w:val="left" w:pos="720"/>
        </w:tabs>
        <w:autoSpaceDE w:val="0"/>
        <w:autoSpaceDN w:val="0"/>
        <w:adjustRightInd w:val="0"/>
        <w:spacing w:before="120" w:after="120" w:line="240" w:lineRule="auto"/>
        <w:ind w:left="709" w:right="713"/>
        <w:contextualSpacing w:val="0"/>
        <w:jc w:val="both"/>
        <w:rPr>
          <w:rFonts w:ascii="Verdana" w:hAnsi="Verdana"/>
          <w:sz w:val="16"/>
          <w:szCs w:val="16"/>
        </w:rPr>
      </w:pPr>
      <w:r>
        <w:rPr>
          <w:rFonts w:ascii="Verdana" w:hAnsi="Verdana"/>
          <w:sz w:val="16"/>
          <w:szCs w:val="16"/>
        </w:rPr>
        <w:t>El Fiscal General de la República, deberá resolver sobre dichas propuestas, dentro de diez días hábiles luego de transcurrido el plazo indicado en el inciso anterior, decisión que deberá ser debidamente notificada a las personas u organizaciones de la sociedad civil peticionarias, exponiendo las razones de hecho y de derecho que motivaron  la resolución. Contra dicha decisión, dentro de un plazo perentorio de diez días hábiles, las personas u organizaciones peticionarias podrán presentar demanda de Amparo ante la Sala de lo Constitucional de la Corte Suprema de Justicia, la cual deberá resolverse por el referido tribunal dentro del plazo de quince días hábiles. Con lo resuelto se tendrán por agotadas todas las instancias.</w:t>
      </w:r>
    </w:p>
    <w:p w14:paraId="5A3BC7F8" w14:textId="5CC680D4" w:rsidR="00683A1B" w:rsidRDefault="00683A1B" w:rsidP="008F206C">
      <w:pPr>
        <w:pStyle w:val="Prrafodelista"/>
        <w:tabs>
          <w:tab w:val="left" w:pos="720"/>
        </w:tabs>
        <w:autoSpaceDE w:val="0"/>
        <w:autoSpaceDN w:val="0"/>
        <w:adjustRightInd w:val="0"/>
        <w:spacing w:before="120" w:after="120" w:line="240" w:lineRule="auto"/>
        <w:ind w:left="709" w:right="713"/>
        <w:contextualSpacing w:val="0"/>
        <w:jc w:val="both"/>
        <w:rPr>
          <w:rFonts w:ascii="Verdana" w:hAnsi="Verdana"/>
          <w:sz w:val="16"/>
          <w:szCs w:val="16"/>
        </w:rPr>
      </w:pPr>
      <w:r>
        <w:rPr>
          <w:rFonts w:ascii="Verdana" w:hAnsi="Verdana"/>
          <w:sz w:val="16"/>
          <w:szCs w:val="16"/>
        </w:rPr>
        <w:t xml:space="preserve">Al no existir demandas de amparo pendientes de resolver por la Sala de lo Constitucional, </w:t>
      </w:r>
      <w:r w:rsidRPr="00683A1B">
        <w:rPr>
          <w:rFonts w:ascii="Verdana" w:hAnsi="Verdana"/>
          <w:b/>
          <w:sz w:val="16"/>
          <w:szCs w:val="16"/>
        </w:rPr>
        <w:t>el listado de casos será cerrado y ofici</w:t>
      </w:r>
      <w:r>
        <w:rPr>
          <w:rFonts w:ascii="Verdana" w:hAnsi="Verdana"/>
          <w:b/>
          <w:sz w:val="16"/>
          <w:szCs w:val="16"/>
        </w:rPr>
        <w:t>alizado</w:t>
      </w:r>
      <w:r>
        <w:rPr>
          <w:rFonts w:ascii="Verdana" w:hAnsi="Verdana"/>
          <w:sz w:val="16"/>
          <w:szCs w:val="16"/>
        </w:rPr>
        <w:t xml:space="preserve"> por el Fiscal General de la República, por medio de un Acuerdo Administrativo, que hará publicar en el Diario Oficial. </w:t>
      </w:r>
      <w:r w:rsidR="002620F0">
        <w:rPr>
          <w:rFonts w:ascii="Verdana" w:hAnsi="Verdana"/>
          <w:sz w:val="16"/>
          <w:szCs w:val="16"/>
        </w:rPr>
        <w:t>A partir de esta publicación cualquier persona que se considere inculpada podrá ejercer su defensa material y técnica.</w:t>
      </w:r>
    </w:p>
    <w:p w14:paraId="464936AF" w14:textId="63FA0C74" w:rsidR="002620F0" w:rsidRPr="002620F0" w:rsidRDefault="002620F0" w:rsidP="008F206C">
      <w:pPr>
        <w:pStyle w:val="Prrafodelista"/>
        <w:tabs>
          <w:tab w:val="left" w:pos="720"/>
        </w:tabs>
        <w:autoSpaceDE w:val="0"/>
        <w:autoSpaceDN w:val="0"/>
        <w:adjustRightInd w:val="0"/>
        <w:spacing w:before="120" w:after="120" w:line="240" w:lineRule="auto"/>
        <w:ind w:left="709" w:right="713"/>
        <w:contextualSpacing w:val="0"/>
        <w:jc w:val="both"/>
        <w:rPr>
          <w:rFonts w:ascii="Verdana" w:hAnsi="Verdana"/>
          <w:b/>
          <w:sz w:val="16"/>
          <w:szCs w:val="16"/>
        </w:rPr>
      </w:pPr>
      <w:r w:rsidRPr="002620F0">
        <w:rPr>
          <w:rFonts w:ascii="Verdana" w:hAnsi="Verdana"/>
          <w:b/>
          <w:sz w:val="16"/>
          <w:szCs w:val="16"/>
        </w:rPr>
        <w:t xml:space="preserve">Los casos previstos en la presente ley y que no queden comprendidos en la lista a que se refiere esta disposición, quedarán sujetos a lo estipulado en el artículo 16 de esta ley. </w:t>
      </w:r>
    </w:p>
    <w:p w14:paraId="1260991C" w14:textId="77D38E38" w:rsidR="008F206C" w:rsidRPr="008F206C" w:rsidRDefault="008F206C" w:rsidP="008F206C">
      <w:pPr>
        <w:pStyle w:val="Prrafodelista"/>
        <w:tabs>
          <w:tab w:val="left" w:pos="720"/>
        </w:tabs>
        <w:autoSpaceDE w:val="0"/>
        <w:autoSpaceDN w:val="0"/>
        <w:adjustRightInd w:val="0"/>
        <w:spacing w:before="120" w:after="120" w:line="240" w:lineRule="auto"/>
        <w:ind w:left="709" w:right="713"/>
        <w:contextualSpacing w:val="0"/>
        <w:jc w:val="both"/>
        <w:rPr>
          <w:rFonts w:ascii="Verdana" w:hAnsi="Verdana"/>
          <w:sz w:val="16"/>
          <w:szCs w:val="16"/>
        </w:rPr>
      </w:pPr>
      <w:r w:rsidRPr="008F206C">
        <w:rPr>
          <w:rFonts w:ascii="Verdana" w:hAnsi="Verdana"/>
          <w:sz w:val="16"/>
          <w:szCs w:val="16"/>
        </w:rPr>
        <w:t>[…]</w:t>
      </w:r>
    </w:p>
    <w:p w14:paraId="782DCA7D" w14:textId="6906FCCD" w:rsidR="0072515A" w:rsidRDefault="008F206C" w:rsidP="008F206C">
      <w:pPr>
        <w:pStyle w:val="Prrafodelista"/>
        <w:tabs>
          <w:tab w:val="left" w:pos="720"/>
        </w:tabs>
        <w:autoSpaceDE w:val="0"/>
        <w:autoSpaceDN w:val="0"/>
        <w:adjustRightInd w:val="0"/>
        <w:spacing w:before="120" w:after="120" w:line="240" w:lineRule="auto"/>
        <w:ind w:left="709" w:right="713"/>
        <w:contextualSpacing w:val="0"/>
        <w:jc w:val="both"/>
        <w:rPr>
          <w:rFonts w:ascii="Verdana" w:hAnsi="Verdana"/>
          <w:sz w:val="16"/>
          <w:szCs w:val="16"/>
        </w:rPr>
      </w:pPr>
      <w:r w:rsidRPr="008F206C">
        <w:rPr>
          <w:rFonts w:ascii="Verdana" w:hAnsi="Verdana"/>
          <w:sz w:val="16"/>
          <w:szCs w:val="16"/>
        </w:rPr>
        <w:t>Casos objeto de amnistía conforme a Sentencia</w:t>
      </w:r>
    </w:p>
    <w:p w14:paraId="2B2B1816" w14:textId="60EB533C" w:rsidR="008F206C" w:rsidRDefault="008F206C" w:rsidP="008F206C">
      <w:pPr>
        <w:pStyle w:val="Prrafodelista"/>
        <w:tabs>
          <w:tab w:val="left" w:pos="720"/>
        </w:tabs>
        <w:autoSpaceDE w:val="0"/>
        <w:autoSpaceDN w:val="0"/>
        <w:adjustRightInd w:val="0"/>
        <w:spacing w:before="120" w:after="120" w:line="240" w:lineRule="auto"/>
        <w:ind w:left="709" w:right="713"/>
        <w:contextualSpacing w:val="0"/>
        <w:jc w:val="both"/>
        <w:rPr>
          <w:rFonts w:ascii="Verdana" w:hAnsi="Verdana"/>
          <w:i/>
          <w:sz w:val="16"/>
          <w:szCs w:val="16"/>
        </w:rPr>
      </w:pPr>
      <w:r>
        <w:rPr>
          <w:rFonts w:ascii="Verdana" w:hAnsi="Verdana"/>
          <w:sz w:val="16"/>
          <w:szCs w:val="16"/>
        </w:rPr>
        <w:t xml:space="preserve">Art. 16.- Acorde a la sentencia de la Sala de lo Constitucional de la Corte Suprema de Justicia, de fecha 13 de julio de 2016, en el proceso de inconstitucionalidad 44-2013/145-2013 Ac., </w:t>
      </w:r>
      <w:r w:rsidRPr="002620F0">
        <w:rPr>
          <w:rFonts w:ascii="Verdana" w:hAnsi="Verdana"/>
          <w:b/>
          <w:sz w:val="16"/>
          <w:szCs w:val="16"/>
        </w:rPr>
        <w:t xml:space="preserve">la amnistía sigue siendo aplicable y debe continuar favoreciendo a quienes no hayan cometido hechos </w:t>
      </w:r>
      <w:r w:rsidR="00B8586C" w:rsidRPr="002620F0">
        <w:rPr>
          <w:rFonts w:ascii="Verdana" w:hAnsi="Verdana"/>
          <w:b/>
          <w:sz w:val="16"/>
          <w:szCs w:val="16"/>
        </w:rPr>
        <w:t xml:space="preserve">que constituyan crímenes de lesa humanidad y crímenes de guerra </w:t>
      </w:r>
      <w:r w:rsidR="00B8586C" w:rsidRPr="002620F0">
        <w:rPr>
          <w:rFonts w:ascii="Verdana" w:hAnsi="Verdana"/>
          <w:b/>
          <w:sz w:val="16"/>
          <w:szCs w:val="16"/>
        </w:rPr>
        <w:lastRenderedPageBreak/>
        <w:t>constitutivos de graves violaciones al Derecho Internacional Humanitario, independientemente del sector al que hubieren pertenecido.</w:t>
      </w:r>
      <w:r w:rsidR="00B8586C">
        <w:rPr>
          <w:rFonts w:ascii="Verdana" w:hAnsi="Verdana"/>
          <w:sz w:val="16"/>
          <w:szCs w:val="16"/>
        </w:rPr>
        <w:t xml:space="preserve"> </w:t>
      </w:r>
      <w:r w:rsidR="002620F0" w:rsidRPr="002620F0">
        <w:rPr>
          <w:rFonts w:ascii="Verdana" w:hAnsi="Verdana"/>
          <w:i/>
          <w:sz w:val="16"/>
          <w:szCs w:val="16"/>
        </w:rPr>
        <w:t>(Énfasis añadido)</w:t>
      </w:r>
    </w:p>
    <w:p w14:paraId="06BF193F" w14:textId="77777777" w:rsidR="00032D30" w:rsidRPr="00032D30" w:rsidRDefault="00032D30" w:rsidP="008F206C">
      <w:pPr>
        <w:pStyle w:val="Prrafodelista"/>
        <w:tabs>
          <w:tab w:val="left" w:pos="720"/>
        </w:tabs>
        <w:autoSpaceDE w:val="0"/>
        <w:autoSpaceDN w:val="0"/>
        <w:adjustRightInd w:val="0"/>
        <w:spacing w:before="120" w:after="120" w:line="240" w:lineRule="auto"/>
        <w:ind w:left="709" w:right="713"/>
        <w:contextualSpacing w:val="0"/>
        <w:jc w:val="both"/>
        <w:rPr>
          <w:rFonts w:ascii="Verdana" w:hAnsi="Verdana"/>
          <w:sz w:val="4"/>
          <w:szCs w:val="4"/>
        </w:rPr>
      </w:pPr>
    </w:p>
    <w:p w14:paraId="1404D6C1" w14:textId="682C4E27" w:rsidR="00032D30" w:rsidRPr="00032D30" w:rsidRDefault="00032D30" w:rsidP="00032D30">
      <w:pPr>
        <w:pStyle w:val="Prrafodelista"/>
        <w:numPr>
          <w:ilvl w:val="0"/>
          <w:numId w:val="35"/>
        </w:numPr>
        <w:tabs>
          <w:tab w:val="left" w:pos="0"/>
        </w:tabs>
        <w:autoSpaceDE w:val="0"/>
        <w:autoSpaceDN w:val="0"/>
        <w:adjustRightInd w:val="0"/>
        <w:spacing w:before="120" w:after="120" w:line="240" w:lineRule="auto"/>
        <w:ind w:left="0" w:right="99" w:firstLine="0"/>
        <w:contextualSpacing w:val="0"/>
        <w:jc w:val="both"/>
        <w:rPr>
          <w:rFonts w:ascii="Verdana" w:hAnsi="Verdana" w:cs="Verdana"/>
          <w:color w:val="000000"/>
          <w:sz w:val="20"/>
          <w:szCs w:val="20"/>
        </w:rPr>
      </w:pPr>
      <w:r w:rsidRPr="00032D30">
        <w:rPr>
          <w:rFonts w:ascii="Verdana" w:hAnsi="Verdana"/>
          <w:sz w:val="20"/>
          <w:szCs w:val="20"/>
        </w:rPr>
        <w:t>En la Sentencia del presente caso, la Corte indicó que “[h]a sido probado y reconocido por el Estado que los hechos del presente caso se refieren, entre otros, a ejecuciones extrajudiciales masivas, a actos de tortura y de violencia contra la mujer, así como a desplazamientos forzados, cometidos en el contexto del conflicto armado interno en El Salvador y como parte de una política planificada por el Estado contra la población civil perteneciente a zonas asociadas con la guerrilla”</w:t>
      </w:r>
      <w:r w:rsidRPr="00032D30">
        <w:rPr>
          <w:rStyle w:val="Refdenotaalpie"/>
          <w:rFonts w:ascii="Verdana" w:hAnsi="Verdana"/>
          <w:sz w:val="20"/>
          <w:szCs w:val="20"/>
        </w:rPr>
        <w:footnoteReference w:id="21"/>
      </w:r>
      <w:r w:rsidRPr="00032D30">
        <w:rPr>
          <w:rFonts w:ascii="Verdana" w:hAnsi="Verdana"/>
          <w:sz w:val="20"/>
          <w:szCs w:val="20"/>
        </w:rPr>
        <w:t xml:space="preserve">. Al referirse a la obligación de investigar los hechos del presente caso, indicó, </w:t>
      </w:r>
      <w:r w:rsidRPr="00032D30">
        <w:rPr>
          <w:rFonts w:ascii="Verdana" w:hAnsi="Verdana"/>
          <w:i/>
          <w:sz w:val="20"/>
          <w:szCs w:val="20"/>
        </w:rPr>
        <w:t>inter alia</w:t>
      </w:r>
      <w:r w:rsidRPr="00032D30">
        <w:rPr>
          <w:rFonts w:ascii="Verdana" w:hAnsi="Verdana"/>
          <w:sz w:val="20"/>
          <w:szCs w:val="20"/>
        </w:rPr>
        <w:t>, lo siguiente:</w:t>
      </w:r>
    </w:p>
    <w:p w14:paraId="18AF6576" w14:textId="77777777" w:rsidR="00032D30" w:rsidRPr="00032D30" w:rsidRDefault="00032D30" w:rsidP="00032D30">
      <w:pPr>
        <w:pStyle w:val="Default"/>
        <w:jc w:val="both"/>
        <w:rPr>
          <w:sz w:val="4"/>
          <w:szCs w:val="4"/>
        </w:rPr>
      </w:pPr>
    </w:p>
    <w:p w14:paraId="1BD40DF3" w14:textId="77777777" w:rsidR="00032D30" w:rsidRPr="00032D30" w:rsidRDefault="00032D30" w:rsidP="00032D30">
      <w:pPr>
        <w:autoSpaceDE w:val="0"/>
        <w:autoSpaceDN w:val="0"/>
        <w:adjustRightInd w:val="0"/>
        <w:spacing w:after="0" w:line="240" w:lineRule="auto"/>
        <w:ind w:left="567" w:right="474"/>
        <w:jc w:val="both"/>
        <w:rPr>
          <w:rFonts w:ascii="Verdana" w:hAnsi="Verdana" w:cs="Times New Roman"/>
          <w:sz w:val="16"/>
          <w:szCs w:val="16"/>
          <w:lang w:val="es-MX"/>
        </w:rPr>
      </w:pPr>
      <w:r w:rsidRPr="00032D30">
        <w:rPr>
          <w:rFonts w:ascii="Verdana" w:hAnsi="Verdana"/>
          <w:sz w:val="16"/>
          <w:szCs w:val="16"/>
        </w:rPr>
        <w:t>243.</w:t>
      </w:r>
      <w:r w:rsidRPr="00032D30">
        <w:rPr>
          <w:rFonts w:ascii="Verdana" w:hAnsi="Verdana"/>
          <w:sz w:val="16"/>
          <w:szCs w:val="16"/>
        </w:rPr>
        <w:tab/>
        <w:t xml:space="preserve">La </w:t>
      </w:r>
      <w:r w:rsidRPr="00032D30">
        <w:rPr>
          <w:rFonts w:ascii="Verdana" w:eastAsia="Times New Roman" w:hAnsi="Verdana" w:cs="Times New Roman"/>
          <w:sz w:val="16"/>
          <w:szCs w:val="16"/>
        </w:rPr>
        <w:t>obligación</w:t>
      </w:r>
      <w:r w:rsidRPr="00032D30">
        <w:rPr>
          <w:rFonts w:ascii="Verdana" w:hAnsi="Verdana"/>
          <w:sz w:val="16"/>
          <w:szCs w:val="16"/>
        </w:rPr>
        <w:t xml:space="preserve"> de investigar violaciones de derechos humanos</w:t>
      </w:r>
      <w:r w:rsidRPr="00032D30">
        <w:rPr>
          <w:rFonts w:ascii="Verdana" w:hAnsi="Verdana"/>
          <w:sz w:val="16"/>
          <w:szCs w:val="16"/>
          <w:lang w:val="es-EC"/>
        </w:rPr>
        <w:t xml:space="preserve"> es una</w:t>
      </w:r>
      <w:r w:rsidRPr="00032D30">
        <w:rPr>
          <w:rFonts w:ascii="Verdana" w:hAnsi="Verdana"/>
          <w:sz w:val="16"/>
          <w:szCs w:val="16"/>
        </w:rPr>
        <w:t xml:space="preserve"> de las medidas positivas que deben adoptar los Estados para garantizar los derechos reconocidos en la Convención</w:t>
      </w:r>
      <w:r w:rsidRPr="00032D30">
        <w:rPr>
          <w:rFonts w:ascii="Verdana" w:hAnsi="Verdana"/>
          <w:sz w:val="16"/>
          <w:szCs w:val="16"/>
          <w:lang w:val="es-MX"/>
        </w:rPr>
        <w:t>.</w:t>
      </w:r>
      <w:r w:rsidRPr="00032D30">
        <w:rPr>
          <w:rFonts w:ascii="Verdana" w:hAnsi="Verdana"/>
          <w:sz w:val="16"/>
          <w:szCs w:val="16"/>
        </w:rPr>
        <w:t xml:space="preserve"> </w:t>
      </w:r>
      <w:r w:rsidRPr="00032D30">
        <w:rPr>
          <w:rFonts w:ascii="Verdana" w:hAnsi="Verdana"/>
          <w:sz w:val="16"/>
          <w:szCs w:val="16"/>
          <w:lang w:val="es-MX"/>
        </w:rPr>
        <w:t>D</w:t>
      </w:r>
      <w:r w:rsidRPr="00032D30">
        <w:rPr>
          <w:rFonts w:ascii="Verdana" w:hAnsi="Verdana"/>
          <w:sz w:val="16"/>
          <w:szCs w:val="16"/>
        </w:rPr>
        <w:t>esde su primera sentencia esta Corte ha destacado la importancia del deber estatal de investigar y sancionar las violaciones de derechos humanos</w:t>
      </w:r>
      <w:r w:rsidRPr="00032D30">
        <w:rPr>
          <w:rFonts w:ascii="Verdana" w:hAnsi="Verdana"/>
          <w:sz w:val="16"/>
          <w:szCs w:val="16"/>
          <w:lang w:val="es-MX"/>
        </w:rPr>
        <w:t>.</w:t>
      </w:r>
      <w:r w:rsidRPr="00032D30">
        <w:rPr>
          <w:rFonts w:ascii="Verdana" w:hAnsi="Verdana"/>
          <w:sz w:val="16"/>
          <w:szCs w:val="16"/>
        </w:rPr>
        <w:t xml:space="preserve"> </w:t>
      </w:r>
      <w:r w:rsidRPr="00032D30">
        <w:rPr>
          <w:rFonts w:ascii="Verdana" w:hAnsi="Verdana"/>
          <w:sz w:val="16"/>
          <w:szCs w:val="16"/>
          <w:lang w:val="es-MX"/>
        </w:rPr>
        <w:t xml:space="preserve">[…] </w:t>
      </w:r>
    </w:p>
    <w:p w14:paraId="3127F1F4" w14:textId="77777777" w:rsidR="00032D30" w:rsidRPr="00032D30" w:rsidRDefault="00032D30" w:rsidP="00032D30">
      <w:pPr>
        <w:autoSpaceDE w:val="0"/>
        <w:autoSpaceDN w:val="0"/>
        <w:adjustRightInd w:val="0"/>
        <w:spacing w:after="0" w:line="240" w:lineRule="auto"/>
        <w:ind w:left="567" w:right="474"/>
        <w:jc w:val="both"/>
        <w:rPr>
          <w:rFonts w:ascii="Verdana" w:hAnsi="Verdana" w:cs="Times New Roman"/>
          <w:sz w:val="16"/>
          <w:szCs w:val="16"/>
          <w:lang w:val="es-MX"/>
        </w:rPr>
      </w:pPr>
    </w:p>
    <w:p w14:paraId="6479ECD7" w14:textId="77777777" w:rsidR="00032D30" w:rsidRPr="00032D30" w:rsidRDefault="00032D30" w:rsidP="00032D30">
      <w:pPr>
        <w:autoSpaceDE w:val="0"/>
        <w:autoSpaceDN w:val="0"/>
        <w:adjustRightInd w:val="0"/>
        <w:spacing w:after="0" w:line="240" w:lineRule="auto"/>
        <w:ind w:left="567" w:right="474"/>
        <w:jc w:val="both"/>
        <w:rPr>
          <w:rFonts w:ascii="Verdana" w:eastAsia="Times" w:hAnsi="Verdana" w:cs="Helvetica"/>
          <w:sz w:val="16"/>
          <w:szCs w:val="16"/>
          <w:lang w:bidi="en-US"/>
        </w:rPr>
      </w:pPr>
      <w:r w:rsidRPr="00032D30">
        <w:rPr>
          <w:rFonts w:ascii="Verdana" w:eastAsia="Times New Roman" w:hAnsi="Verdana" w:cs="Times New Roman"/>
          <w:sz w:val="16"/>
          <w:szCs w:val="16"/>
        </w:rPr>
        <w:t>244.</w:t>
      </w:r>
      <w:r w:rsidRPr="00032D30">
        <w:rPr>
          <w:rFonts w:ascii="Verdana" w:eastAsia="Times New Roman" w:hAnsi="Verdana" w:cs="Times New Roman"/>
          <w:sz w:val="16"/>
          <w:szCs w:val="16"/>
        </w:rPr>
        <w:tab/>
        <w:t>Ahora</w:t>
      </w:r>
      <w:r w:rsidRPr="00032D30">
        <w:rPr>
          <w:rFonts w:ascii="Verdana" w:hAnsi="Verdana" w:cs="Times New Roman"/>
          <w:sz w:val="16"/>
          <w:szCs w:val="16"/>
        </w:rPr>
        <w:t xml:space="preserve"> bien, la obligación de investigar, como </w:t>
      </w:r>
      <w:r w:rsidRPr="00032D30">
        <w:rPr>
          <w:rFonts w:ascii="Verdana" w:eastAsia="Times" w:hAnsi="Verdana" w:cs="Helvetica"/>
          <w:sz w:val="16"/>
          <w:szCs w:val="16"/>
          <w:lang w:bidi="en-US"/>
        </w:rPr>
        <w:t xml:space="preserve">elemento fundamental y condicionante para la protección de ciertos derechos afectados, </w:t>
      </w:r>
      <w:r w:rsidRPr="00032D30">
        <w:rPr>
          <w:rFonts w:ascii="Verdana" w:hAnsi="Verdana" w:cs="Times New Roman"/>
          <w:sz w:val="16"/>
          <w:szCs w:val="16"/>
          <w:lang w:val="es-ES"/>
        </w:rPr>
        <w:t xml:space="preserve">adquiere una particular y determinante intensidad e importancia </w:t>
      </w:r>
      <w:r w:rsidRPr="00032D30">
        <w:rPr>
          <w:rFonts w:ascii="Verdana" w:hAnsi="Verdana" w:cs="Times New Roman"/>
          <w:sz w:val="16"/>
          <w:szCs w:val="16"/>
        </w:rPr>
        <w:t xml:space="preserve">ante la gravedad de los delitos cometidos y la naturaleza de los derechos lesionados, como </w:t>
      </w:r>
      <w:r w:rsidRPr="00032D30">
        <w:rPr>
          <w:rFonts w:ascii="Verdana" w:hAnsi="Verdana" w:cs="Times New Roman"/>
          <w:sz w:val="16"/>
          <w:szCs w:val="16"/>
          <w:lang w:val="es-ES"/>
        </w:rPr>
        <w:t>en casos de graves violaciones a los derechos humanos ocurridas como parte de un patrón sistemático o práctica aplicada o tolerada por el Estado o en contextos de ataques masivos y sistemáticos o generalizados hacia algún sector de la población,</w:t>
      </w:r>
      <w:r w:rsidRPr="00032D30">
        <w:rPr>
          <w:rFonts w:ascii="Verdana" w:eastAsia="Times" w:hAnsi="Verdana" w:cs="Times New Roman"/>
          <w:sz w:val="16"/>
          <w:szCs w:val="16"/>
        </w:rPr>
        <w:t xml:space="preserve"> pues la necesidad imperiosa de prevenir la repetición de tales hechos depende, en buena medida, de que se evite su impunidad y se satisfaga las expectativas de las víctimas y la sociedad en su conjunto de acceder al conocimiento de la verdad de lo sucedido.</w:t>
      </w:r>
      <w:r w:rsidRPr="00032D30">
        <w:rPr>
          <w:rFonts w:ascii="Verdana" w:hAnsi="Verdana" w:cs="Times New Roman"/>
          <w:sz w:val="16"/>
          <w:szCs w:val="16"/>
          <w:lang w:val="es-ES"/>
        </w:rPr>
        <w:t xml:space="preserve"> </w:t>
      </w:r>
      <w:r w:rsidRPr="00032D30">
        <w:rPr>
          <w:rFonts w:ascii="Verdana" w:eastAsia="Times" w:hAnsi="Verdana" w:cs="Helvetica"/>
          <w:sz w:val="16"/>
          <w:szCs w:val="16"/>
          <w:lang w:bidi="en-US"/>
        </w:rPr>
        <w:t xml:space="preserve">La eliminación de la impunidad, por todos los medios legales disponibles, es un elemento fundamental para la erradicación de las ejecuciones extrajudiciales, la tortura y otras graves violaciones a los derechos humanos. </w:t>
      </w:r>
    </w:p>
    <w:p w14:paraId="138297C3" w14:textId="77777777" w:rsidR="00032D30" w:rsidRPr="00A16365" w:rsidRDefault="00032D30" w:rsidP="00032D30">
      <w:pPr>
        <w:pStyle w:val="Prrafodelista"/>
        <w:tabs>
          <w:tab w:val="left" w:pos="0"/>
        </w:tabs>
        <w:autoSpaceDE w:val="0"/>
        <w:autoSpaceDN w:val="0"/>
        <w:adjustRightInd w:val="0"/>
        <w:spacing w:before="120" w:after="120" w:line="240" w:lineRule="auto"/>
        <w:ind w:left="0" w:right="99"/>
        <w:contextualSpacing w:val="0"/>
        <w:jc w:val="both"/>
        <w:rPr>
          <w:rFonts w:ascii="Verdana" w:hAnsi="Verdana" w:cs="Verdana"/>
          <w:color w:val="000000"/>
          <w:sz w:val="4"/>
          <w:szCs w:val="4"/>
        </w:rPr>
      </w:pPr>
    </w:p>
    <w:p w14:paraId="20DD35FE" w14:textId="77777777" w:rsidR="00032D30" w:rsidRDefault="00032D30" w:rsidP="00032D30">
      <w:pPr>
        <w:pStyle w:val="Prrafodelista"/>
        <w:numPr>
          <w:ilvl w:val="0"/>
          <w:numId w:val="35"/>
        </w:numPr>
        <w:tabs>
          <w:tab w:val="left" w:pos="0"/>
        </w:tabs>
        <w:autoSpaceDE w:val="0"/>
        <w:autoSpaceDN w:val="0"/>
        <w:adjustRightInd w:val="0"/>
        <w:spacing w:before="120" w:after="120" w:line="240" w:lineRule="auto"/>
        <w:ind w:left="0" w:right="99" w:firstLine="0"/>
        <w:contextualSpacing w:val="0"/>
        <w:jc w:val="both"/>
        <w:rPr>
          <w:rFonts w:ascii="Verdana" w:hAnsi="Verdana" w:cs="Verdana"/>
          <w:color w:val="000000"/>
          <w:sz w:val="20"/>
          <w:szCs w:val="20"/>
        </w:rPr>
      </w:pPr>
      <w:r w:rsidRPr="00032D30">
        <w:rPr>
          <w:rFonts w:ascii="Verdana" w:hAnsi="Verdana"/>
          <w:sz w:val="20"/>
          <w:szCs w:val="20"/>
        </w:rPr>
        <w:t>Al pronunciarse sobre la incompatibilidad de la Ley de Amnistía General para la Consolidación de la Paz de 1993 con la Convención Americana, la Corte hizo notar que, “</w:t>
      </w:r>
      <w:r w:rsidRPr="00032D30">
        <w:rPr>
          <w:rFonts w:ascii="Verdana" w:hAnsi="Verdana" w:cs="Times-Roman"/>
          <w:sz w:val="20"/>
          <w:szCs w:val="20"/>
          <w:lang w:val="es-ES" w:bidi="en-US"/>
        </w:rPr>
        <w:t xml:space="preserve">a diferencia de los casos abordados anteriormente por este Tribunal, en el presente caso se trata de una ley de amnistía general </w:t>
      </w:r>
      <w:r w:rsidRPr="00032D30">
        <w:rPr>
          <w:rFonts w:ascii="Verdana" w:hAnsi="Verdana" w:cs="Times-Roman"/>
          <w:sz w:val="20"/>
          <w:szCs w:val="20"/>
          <w:lang w:bidi="en-US"/>
        </w:rPr>
        <w:t>que se refiere a hechos cometidos en el contexto de un conflicto armado interno”</w:t>
      </w:r>
      <w:r>
        <w:rPr>
          <w:rStyle w:val="Refdenotaalpie"/>
          <w:rFonts w:ascii="Verdana" w:hAnsi="Verdana" w:cs="Times-Roman"/>
          <w:sz w:val="20"/>
          <w:szCs w:val="20"/>
          <w:lang w:bidi="en-US"/>
        </w:rPr>
        <w:footnoteReference w:id="22"/>
      </w:r>
      <w:r w:rsidRPr="00032D30">
        <w:rPr>
          <w:rFonts w:ascii="Verdana" w:hAnsi="Verdana" w:cs="Times-Roman"/>
          <w:sz w:val="20"/>
          <w:szCs w:val="20"/>
          <w:lang w:bidi="en-US"/>
        </w:rPr>
        <w:t xml:space="preserve">. Por ello, la Corte estimó necesario hacer tal análisis también “a la luz de lo establecido en el Protocolo </w:t>
      </w:r>
      <w:r w:rsidRPr="00032D30">
        <w:rPr>
          <w:rFonts w:ascii="Verdana" w:hAnsi="Verdana" w:cs="Times-Roman"/>
          <w:sz w:val="20"/>
          <w:szCs w:val="20"/>
          <w:lang w:val="es-ES" w:bidi="en-US"/>
        </w:rPr>
        <w:t>II adicional a los Convenios de Ginebra de 1949 así como de los términos específicos en que se acordó el cese de las hostilidades que puso fin al conflicto en El Salvador y, en particular, del Capítulo I (‘Fuerza Armada’), punto 5 (‘Superación de la Impunidad’), del Acuerdo de Paz de 16 de enero de 1992”</w:t>
      </w:r>
      <w:r>
        <w:rPr>
          <w:rStyle w:val="Refdenotaalpie"/>
          <w:rFonts w:ascii="Verdana" w:hAnsi="Verdana" w:cs="Times-Roman"/>
          <w:sz w:val="20"/>
          <w:szCs w:val="20"/>
          <w:lang w:val="es-ES" w:bidi="en-US"/>
        </w:rPr>
        <w:footnoteReference w:id="23"/>
      </w:r>
      <w:r w:rsidRPr="00032D30">
        <w:rPr>
          <w:rFonts w:ascii="Verdana" w:hAnsi="Verdana" w:cs="Times-Roman"/>
          <w:sz w:val="20"/>
          <w:szCs w:val="20"/>
          <w:lang w:val="es-ES" w:bidi="en-US"/>
        </w:rPr>
        <w:t>. La Corte consideró que “[s]egún el Derecho Internacional Humanitario aplicable a estas situaciones, se justifica en ocasiones la emisión de leyes de amnistía al cese de las hostilidades en los conflictos armados de carácter no internacional para posibilitar el retorno a la paz”</w:t>
      </w:r>
      <w:r w:rsidRPr="00D01F00">
        <w:rPr>
          <w:rStyle w:val="Refdenotaalpie"/>
          <w:rFonts w:ascii="Verdana" w:hAnsi="Verdana" w:cs="Times-Roman"/>
          <w:sz w:val="20"/>
          <w:szCs w:val="20"/>
          <w:lang w:val="es-ES" w:bidi="en-US"/>
        </w:rPr>
        <w:footnoteReference w:id="24"/>
      </w:r>
      <w:r w:rsidRPr="00032D30">
        <w:rPr>
          <w:rFonts w:ascii="Verdana" w:hAnsi="Verdana" w:cs="Times-Roman"/>
          <w:sz w:val="20"/>
          <w:szCs w:val="20"/>
          <w:lang w:val="es-ES" w:bidi="en-US"/>
        </w:rPr>
        <w:t>. Sin embargo, “esta norma no es absoluta” pues subsiste la obligación de investigar y juzgar crímenes de guerra y crímenes de lesa humanidad</w:t>
      </w:r>
      <w:r>
        <w:rPr>
          <w:rStyle w:val="Refdenotaalpie"/>
          <w:rFonts w:ascii="Verdana" w:hAnsi="Verdana" w:cs="Times-Roman"/>
          <w:sz w:val="20"/>
          <w:szCs w:val="20"/>
          <w:lang w:val="es-ES" w:bidi="en-US"/>
        </w:rPr>
        <w:footnoteReference w:id="25"/>
      </w:r>
      <w:r w:rsidRPr="00032D30">
        <w:rPr>
          <w:rFonts w:ascii="Verdana" w:hAnsi="Verdana" w:cs="Times-Roman"/>
          <w:sz w:val="20"/>
          <w:szCs w:val="20"/>
          <w:lang w:val="es-ES" w:bidi="en-US"/>
        </w:rPr>
        <w:t>.</w:t>
      </w:r>
    </w:p>
    <w:p w14:paraId="146E7280" w14:textId="616D087E" w:rsidR="00032D30" w:rsidRPr="00032D30" w:rsidRDefault="00032D30" w:rsidP="00032D30">
      <w:pPr>
        <w:pStyle w:val="Prrafodelista"/>
        <w:numPr>
          <w:ilvl w:val="0"/>
          <w:numId w:val="35"/>
        </w:numPr>
        <w:tabs>
          <w:tab w:val="left" w:pos="0"/>
        </w:tabs>
        <w:autoSpaceDE w:val="0"/>
        <w:autoSpaceDN w:val="0"/>
        <w:adjustRightInd w:val="0"/>
        <w:spacing w:before="120" w:after="120" w:line="240" w:lineRule="auto"/>
        <w:ind w:left="0" w:right="99" w:firstLine="0"/>
        <w:contextualSpacing w:val="0"/>
        <w:jc w:val="both"/>
        <w:rPr>
          <w:rFonts w:ascii="Verdana" w:hAnsi="Verdana" w:cs="Verdana"/>
          <w:color w:val="000000"/>
          <w:sz w:val="20"/>
          <w:szCs w:val="20"/>
        </w:rPr>
      </w:pPr>
      <w:r w:rsidRPr="00032D30">
        <w:rPr>
          <w:rFonts w:ascii="Verdana" w:hAnsi="Verdana"/>
          <w:sz w:val="20"/>
          <w:szCs w:val="20"/>
        </w:rPr>
        <w:t xml:space="preserve">La Corte consideró que </w:t>
      </w:r>
      <w:r w:rsidRPr="00032D30">
        <w:rPr>
          <w:rFonts w:ascii="Verdana" w:eastAsia="Times New Roman" w:hAnsi="Verdana"/>
          <w:bCs/>
          <w:sz w:val="20"/>
          <w:szCs w:val="20"/>
          <w:lang w:val="es-ES"/>
        </w:rPr>
        <w:t xml:space="preserve">la referida </w:t>
      </w:r>
      <w:r w:rsidRPr="00032D30">
        <w:rPr>
          <w:rFonts w:ascii="Verdana" w:eastAsia="Times New Roman" w:hAnsi="Verdana"/>
          <w:sz w:val="20"/>
          <w:szCs w:val="20"/>
        </w:rPr>
        <w:t>Ley de Amnistía extendió la gracia de la amnistía a “las personas que, según el informe de la Comisión de la Verdad, hubieren participado en graves hechos de violencia ocurridos desde el 1º de enero de 1980”, por lo que</w:t>
      </w:r>
      <w:r w:rsidRPr="00032D30">
        <w:rPr>
          <w:rFonts w:ascii="Verdana" w:eastAsia="Times New Roman" w:hAnsi="Verdana"/>
          <w:sz w:val="20"/>
          <w:szCs w:val="20"/>
          <w:vertAlign w:val="superscript"/>
        </w:rPr>
        <w:t xml:space="preserve"> </w:t>
      </w:r>
      <w:r w:rsidRPr="00032D30">
        <w:rPr>
          <w:rFonts w:ascii="Verdana" w:eastAsia="Times New Roman" w:hAnsi="Verdana"/>
          <w:sz w:val="20"/>
          <w:szCs w:val="20"/>
        </w:rPr>
        <w:t>“[</w:t>
      </w:r>
      <w:r w:rsidRPr="00032D30">
        <w:rPr>
          <w:rFonts w:ascii="Verdana" w:hAnsi="Verdana" w:cs="Times-Bold"/>
          <w:bCs/>
          <w:sz w:val="20"/>
          <w:szCs w:val="20"/>
          <w:lang w:val="es-ES" w:bidi="en-US"/>
        </w:rPr>
        <w:t xml:space="preserve">e]n definitiva, se dejó sin efecto </w:t>
      </w:r>
      <w:r w:rsidRPr="00032D30">
        <w:rPr>
          <w:rFonts w:ascii="Verdana" w:eastAsia="Times New Roman" w:hAnsi="Verdana"/>
          <w:sz w:val="20"/>
          <w:szCs w:val="20"/>
        </w:rPr>
        <w:t>la inaplicabilidad de una amnistía a estos supuestos, que había sido pactada por las partes en los Acuerdos de Paz y prevista en la Ley de Reconciliación Nacional”</w:t>
      </w:r>
      <w:r>
        <w:rPr>
          <w:rStyle w:val="Refdenotaalpie"/>
          <w:rFonts w:ascii="Verdana" w:eastAsia="Times New Roman" w:hAnsi="Verdana"/>
          <w:sz w:val="20"/>
          <w:szCs w:val="20"/>
        </w:rPr>
        <w:footnoteReference w:id="26"/>
      </w:r>
      <w:r w:rsidRPr="00032D30">
        <w:rPr>
          <w:rFonts w:ascii="Verdana" w:eastAsia="Times New Roman" w:hAnsi="Verdana"/>
          <w:sz w:val="20"/>
          <w:szCs w:val="20"/>
        </w:rPr>
        <w:t>. “Es decir, se concedió</w:t>
      </w:r>
      <w:r w:rsidRPr="00032D30">
        <w:rPr>
          <w:rFonts w:ascii="Verdana" w:hAnsi="Verdana" w:cs="Times-Bold"/>
          <w:bCs/>
          <w:sz w:val="20"/>
          <w:szCs w:val="20"/>
          <w:lang w:val="es-ES" w:bidi="en-US"/>
        </w:rPr>
        <w:t xml:space="preserve"> una amnistía de carácter general y absoluta</w:t>
      </w:r>
      <w:r w:rsidRPr="00032D30">
        <w:rPr>
          <w:rFonts w:ascii="Verdana" w:eastAsia="Times New Roman" w:hAnsi="Verdana"/>
          <w:sz w:val="20"/>
          <w:szCs w:val="20"/>
        </w:rPr>
        <w:t xml:space="preserve"> que amplió la posibilidad de impedir la investigación penal y la determinación de responsabilidades a aquellas personas que hubieran participado </w:t>
      </w:r>
      <w:r w:rsidRPr="00032D30">
        <w:rPr>
          <w:rFonts w:ascii="Verdana" w:hAnsi="Verdana" w:cs="Times-Bold"/>
          <w:bCs/>
          <w:sz w:val="20"/>
          <w:szCs w:val="20"/>
          <w:lang w:val="es-ES" w:bidi="en-US"/>
        </w:rPr>
        <w:t xml:space="preserve">como autores inmediatos, mediatos o cómplices </w:t>
      </w:r>
      <w:r w:rsidRPr="00032D30">
        <w:rPr>
          <w:rFonts w:ascii="Verdana" w:hAnsi="Verdana" w:cs="Times-Bold"/>
          <w:bCs/>
          <w:sz w:val="20"/>
          <w:szCs w:val="20"/>
          <w:lang w:val="es-ES" w:bidi="en-US"/>
        </w:rPr>
        <w:lastRenderedPageBreak/>
        <w:t>en la comisión de graves violaciones a los derechos humanos e infracciones graves del derecho internacional humanitario durante el conflicto armado interno, incluidos aquellos casos ejemplarizantes determinados por la Comisión de la Verdad”</w:t>
      </w:r>
      <w:r>
        <w:rPr>
          <w:rStyle w:val="Refdenotaalpie"/>
          <w:rFonts w:ascii="Verdana" w:hAnsi="Verdana" w:cs="Times-Bold"/>
          <w:bCs/>
          <w:sz w:val="20"/>
          <w:szCs w:val="20"/>
          <w:lang w:val="es-ES" w:bidi="en-US"/>
        </w:rPr>
        <w:footnoteReference w:id="27"/>
      </w:r>
      <w:r w:rsidRPr="00032D30">
        <w:rPr>
          <w:rFonts w:ascii="Verdana" w:hAnsi="Verdana" w:cs="Times-Bold"/>
          <w:bCs/>
          <w:sz w:val="20"/>
          <w:szCs w:val="20"/>
          <w:lang w:val="es-ES" w:bidi="en-US"/>
        </w:rPr>
        <w:t>. Al respecto, la Corte ordenó como reparaciones</w:t>
      </w:r>
      <w:r>
        <w:rPr>
          <w:rStyle w:val="Refdenotaalpie"/>
          <w:rFonts w:ascii="Verdana" w:hAnsi="Verdana" w:cs="Times-Bold"/>
          <w:bCs/>
          <w:sz w:val="20"/>
          <w:szCs w:val="20"/>
          <w:lang w:val="es-ES" w:bidi="en-US"/>
        </w:rPr>
        <w:footnoteReference w:id="28"/>
      </w:r>
      <w:r w:rsidRPr="00032D30">
        <w:rPr>
          <w:rFonts w:ascii="Verdana" w:hAnsi="Verdana" w:cs="Times-Bold"/>
          <w:bCs/>
          <w:sz w:val="20"/>
          <w:szCs w:val="20"/>
          <w:lang w:val="es-ES" w:bidi="en-US"/>
        </w:rPr>
        <w:t>:</w:t>
      </w:r>
    </w:p>
    <w:p w14:paraId="6C2B4275" w14:textId="77777777" w:rsidR="00032D30" w:rsidRPr="009C0F0D" w:rsidRDefault="00032D30" w:rsidP="00032D30">
      <w:pPr>
        <w:tabs>
          <w:tab w:val="left" w:pos="720"/>
        </w:tabs>
        <w:spacing w:afterLines="40" w:after="96" w:line="240" w:lineRule="auto"/>
        <w:ind w:left="567" w:right="616"/>
        <w:jc w:val="both"/>
        <w:rPr>
          <w:rFonts w:ascii="Verdana" w:hAnsi="Verdana" w:cs="Arial"/>
          <w:sz w:val="16"/>
          <w:szCs w:val="16"/>
          <w:lang w:val="es-MX"/>
        </w:rPr>
      </w:pPr>
      <w:r>
        <w:rPr>
          <w:rFonts w:ascii="Verdana" w:eastAsia="Times" w:hAnsi="Verdana" w:cs="Verdana"/>
          <w:sz w:val="16"/>
          <w:szCs w:val="16"/>
          <w:lang w:eastAsia="es-MX"/>
        </w:rPr>
        <w:t>3.</w:t>
      </w:r>
      <w:r>
        <w:rPr>
          <w:rFonts w:ascii="Verdana" w:eastAsia="Times" w:hAnsi="Verdana" w:cs="Verdana"/>
          <w:sz w:val="16"/>
          <w:szCs w:val="16"/>
          <w:lang w:eastAsia="es-MX"/>
        </w:rPr>
        <w:tab/>
      </w:r>
      <w:r w:rsidRPr="009C0F0D">
        <w:rPr>
          <w:rFonts w:ascii="Verdana" w:eastAsia="Times" w:hAnsi="Verdana" w:cs="Verdana"/>
          <w:sz w:val="16"/>
          <w:szCs w:val="16"/>
          <w:lang w:eastAsia="es-MX"/>
        </w:rPr>
        <w:t>E</w:t>
      </w:r>
      <w:r w:rsidRPr="009C0F0D">
        <w:rPr>
          <w:rFonts w:ascii="Verdana" w:eastAsia="Times" w:hAnsi="Verdana"/>
          <w:sz w:val="16"/>
          <w:szCs w:val="16"/>
        </w:rPr>
        <w:t xml:space="preserve">l Estado debe, en un plazo razonable, </w:t>
      </w:r>
      <w:r w:rsidRPr="009C0F0D">
        <w:rPr>
          <w:rFonts w:ascii="Verdana" w:hAnsi="Verdana"/>
          <w:sz w:val="16"/>
          <w:szCs w:val="16"/>
          <w:lang w:val="es-MX"/>
        </w:rPr>
        <w:t xml:space="preserve">iniciar, impulsar, reabrir, dirigir, continuar y concluir, según corresponda, </w:t>
      </w:r>
      <w:r w:rsidRPr="009C0F0D">
        <w:rPr>
          <w:rFonts w:ascii="Verdana" w:eastAsia="MS Mincho" w:hAnsi="Verdana" w:cs="Times New Roman"/>
          <w:sz w:val="16"/>
          <w:szCs w:val="16"/>
        </w:rPr>
        <w:t xml:space="preserve">con la mayor diligencia, </w:t>
      </w:r>
      <w:r w:rsidRPr="009C0F0D">
        <w:rPr>
          <w:rFonts w:ascii="Verdana" w:hAnsi="Verdana"/>
          <w:sz w:val="16"/>
          <w:szCs w:val="16"/>
          <w:lang w:val="es-MX"/>
        </w:rPr>
        <w:t xml:space="preserve">las investigaciones de todos los hechos que originaron las violaciones declaradas en la presente Sentencia, con el propósito de identificar, juzgar </w:t>
      </w:r>
      <w:r w:rsidRPr="009C0F0D">
        <w:rPr>
          <w:rFonts w:ascii="Verdana" w:eastAsia="Times" w:hAnsi="Verdana" w:cs="Verdana"/>
          <w:sz w:val="16"/>
          <w:szCs w:val="16"/>
        </w:rPr>
        <w:t>y, en su caso, sancionar a los responsables</w:t>
      </w:r>
      <w:r w:rsidRPr="009C0F0D">
        <w:rPr>
          <w:rFonts w:ascii="Verdana" w:hAnsi="Verdana"/>
          <w:sz w:val="16"/>
          <w:szCs w:val="16"/>
          <w:lang w:val="es-MX"/>
        </w:rPr>
        <w:t xml:space="preserve">, </w:t>
      </w:r>
      <w:r w:rsidRPr="009C0F0D">
        <w:rPr>
          <w:rFonts w:ascii="Verdana" w:eastAsia="Times" w:hAnsi="Verdana"/>
          <w:sz w:val="16"/>
          <w:szCs w:val="16"/>
        </w:rPr>
        <w:t>de conformidad con lo establecido en los párrafos 315 a 321 de la presente Sentencia.</w:t>
      </w:r>
    </w:p>
    <w:p w14:paraId="15E52FFB" w14:textId="2EEBC4F5" w:rsidR="00032D30" w:rsidRDefault="00032D30" w:rsidP="00032D30">
      <w:pPr>
        <w:tabs>
          <w:tab w:val="left" w:pos="720"/>
        </w:tabs>
        <w:spacing w:afterLines="40" w:after="96" w:line="240" w:lineRule="auto"/>
        <w:ind w:left="567" w:right="616"/>
        <w:jc w:val="both"/>
        <w:rPr>
          <w:rFonts w:ascii="Verdana" w:eastAsia="MS Mincho" w:hAnsi="Verdana" w:cs="Verdana"/>
          <w:sz w:val="16"/>
          <w:szCs w:val="16"/>
        </w:rPr>
      </w:pPr>
      <w:r>
        <w:rPr>
          <w:rFonts w:ascii="Verdana" w:eastAsia="MS Mincho" w:hAnsi="Verdana" w:cs="Verdana"/>
          <w:sz w:val="16"/>
          <w:szCs w:val="16"/>
        </w:rPr>
        <w:t>4.</w:t>
      </w:r>
      <w:r>
        <w:rPr>
          <w:rFonts w:ascii="Verdana" w:eastAsia="MS Mincho" w:hAnsi="Verdana" w:cs="Verdana"/>
          <w:sz w:val="16"/>
          <w:szCs w:val="16"/>
        </w:rPr>
        <w:tab/>
      </w:r>
      <w:r w:rsidRPr="009C0F0D">
        <w:rPr>
          <w:rFonts w:ascii="Verdana" w:eastAsia="MS Mincho" w:hAnsi="Verdana" w:cs="Verdana"/>
          <w:sz w:val="16"/>
          <w:szCs w:val="16"/>
        </w:rPr>
        <w:t>El Estado debe asegurar que la Ley de Amnistía General para la Consolidación de la Paz no vuelva a representar un obstáculo para la investigación de los hechos materia del presente caso ni para la identificación, juzgamiento y eventual sanción de los responsables de los mismos y de otras graves violaciones de derechos humanos similares acontecidas durante el conflicto armado en El Salvador, de conformidad con lo establecido en el párrafo 318 de la presente Sentencia.</w:t>
      </w:r>
    </w:p>
    <w:p w14:paraId="4524E697" w14:textId="77777777" w:rsidR="00032D30" w:rsidRPr="00A16365" w:rsidRDefault="00032D30" w:rsidP="00032D30">
      <w:pPr>
        <w:tabs>
          <w:tab w:val="left" w:pos="720"/>
        </w:tabs>
        <w:spacing w:afterLines="40" w:after="96" w:line="240" w:lineRule="auto"/>
        <w:ind w:left="567" w:right="616"/>
        <w:jc w:val="both"/>
        <w:rPr>
          <w:rFonts w:ascii="Verdana" w:hAnsi="Verdana"/>
          <w:sz w:val="4"/>
          <w:szCs w:val="4"/>
        </w:rPr>
      </w:pPr>
    </w:p>
    <w:p w14:paraId="5D23AA18" w14:textId="7F50BAC3" w:rsidR="00A032E9" w:rsidRPr="00A032E9" w:rsidRDefault="00AC78DF" w:rsidP="00A032E9">
      <w:pPr>
        <w:pStyle w:val="Prrafodelista"/>
        <w:numPr>
          <w:ilvl w:val="0"/>
          <w:numId w:val="35"/>
        </w:numPr>
        <w:tabs>
          <w:tab w:val="left" w:pos="0"/>
        </w:tabs>
        <w:autoSpaceDE w:val="0"/>
        <w:autoSpaceDN w:val="0"/>
        <w:adjustRightInd w:val="0"/>
        <w:spacing w:before="120" w:after="120" w:line="240" w:lineRule="auto"/>
        <w:ind w:left="0" w:right="99" w:firstLine="0"/>
        <w:contextualSpacing w:val="0"/>
        <w:jc w:val="both"/>
        <w:rPr>
          <w:rFonts w:ascii="Verdana" w:hAnsi="Verdana" w:cs="Verdana"/>
          <w:color w:val="000000"/>
          <w:sz w:val="20"/>
          <w:szCs w:val="20"/>
        </w:rPr>
      </w:pPr>
      <w:r w:rsidRPr="00FE66A3">
        <w:rPr>
          <w:rFonts w:ascii="Verdana" w:eastAsia="Times New Roman" w:hAnsi="Verdana" w:cs="Times New Roman"/>
          <w:color w:val="000000"/>
          <w:sz w:val="20"/>
          <w:szCs w:val="20"/>
        </w:rPr>
        <w:t>Si bien es encomiable toda iniciativa que tienda a restañar las heridas resultantes de situaciones bélicas o de violencia prolongada, -tarea que por su naturaleza es sumamente compleja y delicada-</w:t>
      </w:r>
      <w:r w:rsidR="00501E2C" w:rsidRPr="00FE66A3">
        <w:rPr>
          <w:rStyle w:val="Refdenotaalpie"/>
          <w:rFonts w:ascii="Verdana" w:eastAsia="Times New Roman" w:hAnsi="Verdana" w:cs="Times New Roman"/>
          <w:color w:val="000000"/>
          <w:sz w:val="20"/>
          <w:szCs w:val="20"/>
        </w:rPr>
        <w:footnoteReference w:id="29"/>
      </w:r>
      <w:r w:rsidRPr="00FE66A3">
        <w:rPr>
          <w:rFonts w:ascii="Verdana" w:eastAsia="Times New Roman" w:hAnsi="Verdana" w:cs="Times New Roman"/>
          <w:color w:val="000000"/>
          <w:sz w:val="20"/>
          <w:szCs w:val="20"/>
        </w:rPr>
        <w:t>,</w:t>
      </w:r>
      <w:r w:rsidRPr="00065F41">
        <w:rPr>
          <w:rFonts w:ascii="Verdana" w:eastAsia="Times New Roman" w:hAnsi="Verdana" w:cs="Times New Roman"/>
          <w:color w:val="000000"/>
          <w:sz w:val="20"/>
          <w:szCs w:val="20"/>
        </w:rPr>
        <w:t xml:space="preserve"> cabe advertir que l</w:t>
      </w:r>
      <w:r w:rsidR="00F92666" w:rsidRPr="00065F41">
        <w:rPr>
          <w:rFonts w:ascii="Verdana" w:eastAsia="Times" w:hAnsi="Verdana" w:cs="Times New Roman"/>
          <w:sz w:val="20"/>
          <w:szCs w:val="20"/>
        </w:rPr>
        <w:t>os referidos artículos del proyecto de ley</w:t>
      </w:r>
      <w:r w:rsidR="00520BC3" w:rsidRPr="00065F41">
        <w:rPr>
          <w:rFonts w:ascii="Verdana" w:eastAsia="Times" w:hAnsi="Verdana" w:cs="Times New Roman"/>
          <w:sz w:val="20"/>
          <w:szCs w:val="20"/>
        </w:rPr>
        <w:t>,</w:t>
      </w:r>
      <w:r w:rsidR="00D17723" w:rsidRPr="00065F41">
        <w:rPr>
          <w:rFonts w:ascii="Verdana" w:eastAsia="Times" w:hAnsi="Verdana" w:cs="Times New Roman"/>
          <w:sz w:val="20"/>
          <w:szCs w:val="20"/>
        </w:rPr>
        <w:t xml:space="preserve"> </w:t>
      </w:r>
      <w:r w:rsidR="00520BC3" w:rsidRPr="00065F41">
        <w:rPr>
          <w:rFonts w:ascii="Verdana" w:eastAsia="Times" w:hAnsi="Verdana" w:cs="Times New Roman"/>
          <w:i/>
          <w:sz w:val="20"/>
          <w:szCs w:val="20"/>
        </w:rPr>
        <w:t>prima facie</w:t>
      </w:r>
      <w:r w:rsidR="00520BC3" w:rsidRPr="00065F41">
        <w:rPr>
          <w:rFonts w:ascii="Verdana" w:eastAsia="Times" w:hAnsi="Verdana" w:cs="Times New Roman"/>
          <w:sz w:val="20"/>
          <w:szCs w:val="20"/>
        </w:rPr>
        <w:t xml:space="preserve">, no </w:t>
      </w:r>
      <w:r w:rsidR="00F92666" w:rsidRPr="00065F41">
        <w:rPr>
          <w:rFonts w:ascii="Verdana" w:eastAsia="Times" w:hAnsi="Verdana" w:cs="Times New Roman"/>
          <w:sz w:val="20"/>
          <w:szCs w:val="20"/>
        </w:rPr>
        <w:t>brinda</w:t>
      </w:r>
      <w:r w:rsidR="00520BC3" w:rsidRPr="00065F41">
        <w:rPr>
          <w:rFonts w:ascii="Verdana" w:eastAsia="Times" w:hAnsi="Verdana" w:cs="Times New Roman"/>
          <w:sz w:val="20"/>
          <w:szCs w:val="20"/>
        </w:rPr>
        <w:t>rían</w:t>
      </w:r>
      <w:r w:rsidR="00D26B91" w:rsidRPr="00065F41">
        <w:rPr>
          <w:rFonts w:ascii="Verdana" w:eastAsia="Times" w:hAnsi="Verdana" w:cs="Times New Roman"/>
          <w:sz w:val="20"/>
          <w:szCs w:val="20"/>
        </w:rPr>
        <w:t xml:space="preserve"> certeza jurídica </w:t>
      </w:r>
      <w:r w:rsidR="00F92666" w:rsidRPr="00065F41">
        <w:rPr>
          <w:rFonts w:ascii="Verdana" w:eastAsia="Times" w:hAnsi="Verdana" w:cs="Times New Roman"/>
          <w:sz w:val="20"/>
          <w:szCs w:val="20"/>
        </w:rPr>
        <w:t xml:space="preserve">respecto a que </w:t>
      </w:r>
      <w:r w:rsidR="00D26B91" w:rsidRPr="00065F41">
        <w:rPr>
          <w:rFonts w:ascii="Verdana" w:eastAsia="Times" w:hAnsi="Verdana" w:cs="Times New Roman"/>
          <w:sz w:val="20"/>
          <w:szCs w:val="20"/>
        </w:rPr>
        <w:t>los hechos d</w:t>
      </w:r>
      <w:r w:rsidR="00520BC3" w:rsidRPr="00065F41">
        <w:rPr>
          <w:rFonts w:ascii="Verdana" w:eastAsia="Times" w:hAnsi="Verdana" w:cs="Times New Roman"/>
          <w:sz w:val="20"/>
          <w:szCs w:val="20"/>
        </w:rPr>
        <w:t>e la</w:t>
      </w:r>
      <w:r w:rsidR="00A31BF9">
        <w:rPr>
          <w:rFonts w:ascii="Verdana" w:eastAsia="Times" w:hAnsi="Verdana" w:cs="Times New Roman"/>
          <w:sz w:val="20"/>
          <w:szCs w:val="20"/>
        </w:rPr>
        <w:t>s</w:t>
      </w:r>
      <w:r w:rsidR="00520BC3" w:rsidRPr="00065F41">
        <w:rPr>
          <w:rFonts w:ascii="Verdana" w:eastAsia="Times" w:hAnsi="Verdana" w:cs="Times New Roman"/>
          <w:sz w:val="20"/>
          <w:szCs w:val="20"/>
        </w:rPr>
        <w:t xml:space="preserve"> Masacre</w:t>
      </w:r>
      <w:r w:rsidR="00A31BF9">
        <w:rPr>
          <w:rFonts w:ascii="Verdana" w:eastAsia="Times" w:hAnsi="Verdana" w:cs="Times New Roman"/>
          <w:sz w:val="20"/>
          <w:szCs w:val="20"/>
        </w:rPr>
        <w:t>s</w:t>
      </w:r>
      <w:r w:rsidR="00520BC3" w:rsidRPr="00065F41">
        <w:rPr>
          <w:rFonts w:ascii="Verdana" w:eastAsia="Times" w:hAnsi="Verdana" w:cs="Times New Roman"/>
          <w:sz w:val="20"/>
          <w:szCs w:val="20"/>
        </w:rPr>
        <w:t xml:space="preserve"> de El Mozote y lugares aledaños</w:t>
      </w:r>
      <w:r w:rsidR="00D26B91" w:rsidRPr="00065F41">
        <w:rPr>
          <w:rFonts w:ascii="Verdana" w:hAnsi="Verdana" w:cs="Verdana"/>
          <w:sz w:val="20"/>
          <w:szCs w:val="20"/>
        </w:rPr>
        <w:t xml:space="preserve"> vayan a ser efectivamente investigados</w:t>
      </w:r>
      <w:r w:rsidR="00E9219B" w:rsidRPr="00065F41">
        <w:rPr>
          <w:rFonts w:ascii="Verdana" w:hAnsi="Verdana" w:cs="Verdana"/>
          <w:sz w:val="20"/>
          <w:szCs w:val="20"/>
        </w:rPr>
        <w:t xml:space="preserve">, lo cual </w:t>
      </w:r>
      <w:r w:rsidR="00D17723" w:rsidRPr="00065F41">
        <w:rPr>
          <w:rFonts w:ascii="Verdana" w:hAnsi="Verdana" w:cs="Verdana"/>
          <w:sz w:val="20"/>
          <w:szCs w:val="20"/>
        </w:rPr>
        <w:t xml:space="preserve">eventualmente </w:t>
      </w:r>
      <w:r w:rsidR="00E9219B" w:rsidRPr="00065F41">
        <w:rPr>
          <w:rFonts w:ascii="Verdana" w:hAnsi="Verdana" w:cs="Verdana"/>
          <w:sz w:val="20"/>
          <w:szCs w:val="20"/>
        </w:rPr>
        <w:t xml:space="preserve">afectaría </w:t>
      </w:r>
      <w:r w:rsidR="00D17723" w:rsidRPr="00065F41">
        <w:rPr>
          <w:rFonts w:ascii="Verdana" w:hAnsi="Verdana" w:cs="Verdana"/>
          <w:sz w:val="20"/>
          <w:szCs w:val="20"/>
        </w:rPr>
        <w:t>de manera grave</w:t>
      </w:r>
      <w:r w:rsidR="00E9219B" w:rsidRPr="00065F41">
        <w:rPr>
          <w:rFonts w:ascii="Verdana" w:hAnsi="Verdana" w:cs="Verdana"/>
          <w:sz w:val="20"/>
          <w:szCs w:val="20"/>
        </w:rPr>
        <w:t xml:space="preserve"> </w:t>
      </w:r>
      <w:r w:rsidR="00D17723" w:rsidRPr="00065F41">
        <w:rPr>
          <w:rFonts w:ascii="Verdana" w:hAnsi="Verdana" w:cs="Verdana"/>
          <w:sz w:val="20"/>
          <w:szCs w:val="20"/>
        </w:rPr>
        <w:t>el</w:t>
      </w:r>
      <w:r w:rsidR="00E9219B" w:rsidRPr="00065F41">
        <w:rPr>
          <w:rFonts w:ascii="Verdana" w:hAnsi="Verdana" w:cs="Verdana"/>
          <w:sz w:val="20"/>
          <w:szCs w:val="20"/>
        </w:rPr>
        <w:t xml:space="preserve"> derecho de acceso a la justicia</w:t>
      </w:r>
      <w:r w:rsidR="00F92666" w:rsidRPr="00065F41">
        <w:rPr>
          <w:rFonts w:ascii="Verdana" w:hAnsi="Verdana" w:cs="Verdana"/>
          <w:sz w:val="20"/>
          <w:szCs w:val="20"/>
        </w:rPr>
        <w:t xml:space="preserve"> de las víctimas</w:t>
      </w:r>
      <w:r w:rsidR="00520BC3" w:rsidRPr="00065F41">
        <w:rPr>
          <w:rFonts w:ascii="Verdana" w:hAnsi="Verdana" w:cs="Verdana"/>
          <w:sz w:val="20"/>
          <w:szCs w:val="20"/>
        </w:rPr>
        <w:t xml:space="preserve"> del caso</w:t>
      </w:r>
      <w:r w:rsidR="00D26B91" w:rsidRPr="00065F41">
        <w:rPr>
          <w:rFonts w:ascii="Verdana" w:hAnsi="Verdana" w:cs="Verdana"/>
          <w:sz w:val="20"/>
          <w:szCs w:val="20"/>
        </w:rPr>
        <w:t xml:space="preserve">. Adicionalmente, las referidas normas del proyecto de ley no son claras en cuanto a qué sucedería con </w:t>
      </w:r>
      <w:r w:rsidR="00065F41" w:rsidRPr="00065F41">
        <w:rPr>
          <w:rFonts w:ascii="Verdana" w:hAnsi="Verdana" w:cs="Verdana"/>
          <w:sz w:val="20"/>
          <w:szCs w:val="20"/>
        </w:rPr>
        <w:t>“</w:t>
      </w:r>
      <w:r w:rsidR="00065F41" w:rsidRPr="00065F41">
        <w:rPr>
          <w:rFonts w:ascii="Verdana" w:hAnsi="Verdana"/>
          <w:sz w:val="20"/>
          <w:szCs w:val="20"/>
        </w:rPr>
        <w:t xml:space="preserve">la investigación penal y la determinación de responsabilidades </w:t>
      </w:r>
      <w:r w:rsidR="00065F41" w:rsidRPr="00065F41">
        <w:rPr>
          <w:rFonts w:ascii="Verdana" w:hAnsi="Verdana" w:cs="Verdana"/>
          <w:sz w:val="20"/>
          <w:szCs w:val="20"/>
        </w:rPr>
        <w:t xml:space="preserve">[… en casos de] </w:t>
      </w:r>
      <w:r w:rsidR="00065F41" w:rsidRPr="00065F41">
        <w:rPr>
          <w:rFonts w:ascii="Verdana" w:hAnsi="Verdana"/>
          <w:sz w:val="20"/>
          <w:szCs w:val="20"/>
        </w:rPr>
        <w:t>graves violaciones a los derechos humanos e infracciones graves del derecho internacional humanitario durante el conflicto armado interno, incluidos aquellos casos ejemplarizantes determinados por la Comisión de la Verdad”</w:t>
      </w:r>
      <w:r w:rsidR="00065F41" w:rsidRPr="00065F41">
        <w:rPr>
          <w:rStyle w:val="Refdenotaalpie"/>
          <w:rFonts w:ascii="Verdana" w:hAnsi="Verdana"/>
          <w:sz w:val="20"/>
          <w:szCs w:val="20"/>
        </w:rPr>
        <w:footnoteReference w:id="30"/>
      </w:r>
      <w:r w:rsidR="00065F41" w:rsidRPr="00065F41">
        <w:rPr>
          <w:rFonts w:ascii="Verdana" w:hAnsi="Verdana"/>
          <w:sz w:val="20"/>
          <w:szCs w:val="20"/>
        </w:rPr>
        <w:t>,</w:t>
      </w:r>
      <w:r w:rsidR="00065F41" w:rsidRPr="00065F41">
        <w:t xml:space="preserve"> </w:t>
      </w:r>
      <w:r w:rsidR="00D26B91" w:rsidRPr="00065F41">
        <w:rPr>
          <w:rFonts w:ascii="Verdana" w:hAnsi="Verdana" w:cs="Verdana"/>
          <w:sz w:val="20"/>
          <w:szCs w:val="20"/>
        </w:rPr>
        <w:t>que no se encuentren incluid</w:t>
      </w:r>
      <w:r w:rsidR="00FE66A3">
        <w:rPr>
          <w:rFonts w:ascii="Verdana" w:hAnsi="Verdana" w:cs="Verdana"/>
          <w:sz w:val="20"/>
          <w:szCs w:val="20"/>
        </w:rPr>
        <w:t>os</w:t>
      </w:r>
      <w:r w:rsidR="00D26B91" w:rsidRPr="00065F41">
        <w:rPr>
          <w:rFonts w:ascii="Verdana" w:hAnsi="Verdana" w:cs="Verdana"/>
          <w:sz w:val="20"/>
          <w:szCs w:val="20"/>
        </w:rPr>
        <w:t xml:space="preserve"> en el referido listado</w:t>
      </w:r>
      <w:r w:rsidR="004A0B78" w:rsidRPr="00065F41">
        <w:rPr>
          <w:rFonts w:ascii="Verdana" w:hAnsi="Verdana"/>
          <w:sz w:val="20"/>
          <w:szCs w:val="20"/>
        </w:rPr>
        <w:t xml:space="preserve"> preparado por el Fiscal General</w:t>
      </w:r>
      <w:r w:rsidR="004A0B78" w:rsidRPr="00065F41">
        <w:rPr>
          <w:rFonts w:ascii="Verdana" w:hAnsi="Verdana" w:cs="Verdana"/>
          <w:sz w:val="20"/>
          <w:szCs w:val="20"/>
        </w:rPr>
        <w:t>.</w:t>
      </w:r>
      <w:r w:rsidR="004A0B78" w:rsidRPr="00A032E9">
        <w:rPr>
          <w:rFonts w:ascii="Verdana" w:hAnsi="Verdana" w:cs="Verdana"/>
          <w:sz w:val="20"/>
          <w:szCs w:val="20"/>
        </w:rPr>
        <w:t xml:space="preserve"> </w:t>
      </w:r>
      <w:r w:rsidR="00D26B91" w:rsidRPr="00A032E9">
        <w:rPr>
          <w:rFonts w:ascii="Verdana" w:hAnsi="Verdana" w:cs="Verdana"/>
          <w:sz w:val="20"/>
          <w:szCs w:val="20"/>
        </w:rPr>
        <w:t xml:space="preserve">Dicha falta de claridad, </w:t>
      </w:r>
      <w:r w:rsidR="00F92666" w:rsidRPr="00A032E9">
        <w:rPr>
          <w:rFonts w:ascii="Verdana" w:hAnsi="Verdana" w:cs="Verdana"/>
          <w:sz w:val="20"/>
          <w:szCs w:val="20"/>
        </w:rPr>
        <w:t>podría implicar,</w:t>
      </w:r>
      <w:r w:rsidR="00D26B91" w:rsidRPr="00A032E9">
        <w:rPr>
          <w:rFonts w:ascii="Verdana" w:hAnsi="Verdana" w:cs="Verdana"/>
          <w:sz w:val="20"/>
          <w:szCs w:val="20"/>
        </w:rPr>
        <w:t xml:space="preserve"> en la práctica</w:t>
      </w:r>
      <w:r w:rsidR="00F92666" w:rsidRPr="00A032E9">
        <w:rPr>
          <w:rFonts w:ascii="Verdana" w:hAnsi="Verdana" w:cs="Verdana"/>
          <w:sz w:val="20"/>
          <w:szCs w:val="20"/>
        </w:rPr>
        <w:t>,</w:t>
      </w:r>
      <w:r w:rsidR="00D26B91" w:rsidRPr="00A032E9">
        <w:rPr>
          <w:rFonts w:ascii="Verdana" w:hAnsi="Verdana" w:cs="Verdana"/>
          <w:sz w:val="20"/>
          <w:szCs w:val="20"/>
        </w:rPr>
        <w:t xml:space="preserve"> la impunidad de </w:t>
      </w:r>
      <w:r w:rsidR="00065F41">
        <w:rPr>
          <w:rFonts w:ascii="Verdana" w:hAnsi="Verdana" w:cs="Verdana"/>
          <w:sz w:val="20"/>
          <w:szCs w:val="20"/>
        </w:rPr>
        <w:t>este caso</w:t>
      </w:r>
      <w:r w:rsidR="00F92666">
        <w:rPr>
          <w:rStyle w:val="Refdenotaalpie"/>
          <w:rFonts w:ascii="Verdana" w:hAnsi="Verdana" w:cs="Verdana"/>
          <w:sz w:val="20"/>
          <w:szCs w:val="20"/>
        </w:rPr>
        <w:footnoteReference w:id="31"/>
      </w:r>
      <w:r w:rsidR="004A0B78" w:rsidRPr="00A032E9">
        <w:rPr>
          <w:rFonts w:ascii="Verdana" w:hAnsi="Verdana" w:cs="Verdana"/>
          <w:sz w:val="20"/>
          <w:szCs w:val="20"/>
        </w:rPr>
        <w:t>.</w:t>
      </w:r>
      <w:r w:rsidR="00E9219B" w:rsidRPr="00A032E9">
        <w:rPr>
          <w:rFonts w:ascii="Verdana" w:hAnsi="Verdana" w:cs="Verdana"/>
          <w:sz w:val="20"/>
          <w:szCs w:val="20"/>
        </w:rPr>
        <w:t xml:space="preserve"> </w:t>
      </w:r>
      <w:r w:rsidR="00A032E9" w:rsidRPr="00A032E9">
        <w:rPr>
          <w:rFonts w:ascii="Verdana" w:hAnsi="Verdana"/>
          <w:sz w:val="20"/>
          <w:szCs w:val="20"/>
        </w:rPr>
        <w:t>Al respe</w:t>
      </w:r>
      <w:r w:rsidR="00065F41">
        <w:rPr>
          <w:rFonts w:ascii="Verdana" w:hAnsi="Verdana"/>
          <w:sz w:val="20"/>
          <w:szCs w:val="20"/>
        </w:rPr>
        <w:t>cto, se reitera lo señalado en la</w:t>
      </w:r>
      <w:r w:rsidR="00A032E9" w:rsidRPr="00A032E9">
        <w:rPr>
          <w:rFonts w:ascii="Verdana" w:hAnsi="Verdana"/>
          <w:sz w:val="20"/>
          <w:szCs w:val="20"/>
        </w:rPr>
        <w:t xml:space="preserve"> jurisprudencia de la Corte sobre el deber que tienen los Estados de evitar y combatir la impunidad por todos los medios legales disponibles, ya que ésta propicia la repetición crónica de las violaciones de derechos humanos y la total indefensión de las víctimas y de sus familiares</w:t>
      </w:r>
      <w:r w:rsidR="00A032E9" w:rsidRPr="005F72DE">
        <w:rPr>
          <w:rStyle w:val="Refdenotaalpie"/>
          <w:rFonts w:ascii="Verdana" w:hAnsi="Verdana"/>
          <w:sz w:val="20"/>
          <w:szCs w:val="20"/>
        </w:rPr>
        <w:footnoteReference w:id="32"/>
      </w:r>
      <w:r w:rsidR="00A032E9" w:rsidRPr="00A032E9">
        <w:rPr>
          <w:rFonts w:ascii="Verdana" w:hAnsi="Verdana"/>
          <w:sz w:val="20"/>
          <w:szCs w:val="20"/>
        </w:rPr>
        <w:t>.</w:t>
      </w:r>
    </w:p>
    <w:p w14:paraId="3A794F2A" w14:textId="70AA84BA" w:rsidR="00A032E9" w:rsidRPr="00EA414D" w:rsidRDefault="00F92666" w:rsidP="00EA414D">
      <w:pPr>
        <w:pStyle w:val="Prrafodelista"/>
        <w:numPr>
          <w:ilvl w:val="0"/>
          <w:numId w:val="35"/>
        </w:numPr>
        <w:tabs>
          <w:tab w:val="left" w:pos="0"/>
        </w:tabs>
        <w:autoSpaceDE w:val="0"/>
        <w:autoSpaceDN w:val="0"/>
        <w:adjustRightInd w:val="0"/>
        <w:spacing w:before="120" w:after="120" w:line="240" w:lineRule="auto"/>
        <w:ind w:left="0" w:right="99" w:firstLine="0"/>
        <w:contextualSpacing w:val="0"/>
        <w:jc w:val="both"/>
        <w:rPr>
          <w:rFonts w:ascii="Verdana" w:hAnsi="Verdana" w:cs="Verdana"/>
          <w:color w:val="000000"/>
          <w:sz w:val="20"/>
          <w:szCs w:val="20"/>
        </w:rPr>
      </w:pPr>
      <w:r w:rsidRPr="007E2F43">
        <w:rPr>
          <w:rFonts w:ascii="Verdana" w:eastAsia="Times" w:hAnsi="Verdana" w:cs="Times New Roman"/>
          <w:sz w:val="20"/>
          <w:szCs w:val="20"/>
        </w:rPr>
        <w:t xml:space="preserve">Esta Presidencia considera que </w:t>
      </w:r>
      <w:r w:rsidR="00D17723" w:rsidRPr="007E2F43">
        <w:rPr>
          <w:rFonts w:ascii="Verdana" w:eastAsia="Times" w:hAnsi="Verdana" w:cs="Times New Roman"/>
          <w:sz w:val="20"/>
          <w:szCs w:val="20"/>
        </w:rPr>
        <w:t xml:space="preserve">en contextos de justicia transicional </w:t>
      </w:r>
      <w:r w:rsidRPr="007E2F43">
        <w:rPr>
          <w:rFonts w:ascii="Verdana" w:eastAsia="Times" w:hAnsi="Verdana" w:cs="Times New Roman"/>
          <w:sz w:val="20"/>
          <w:szCs w:val="20"/>
        </w:rPr>
        <w:t>e</w:t>
      </w:r>
      <w:r w:rsidR="00556A08" w:rsidRPr="007E2F43">
        <w:rPr>
          <w:rFonts w:ascii="Verdana" w:eastAsia="Times" w:hAnsi="Verdana" w:cs="Times New Roman"/>
          <w:sz w:val="20"/>
          <w:szCs w:val="20"/>
        </w:rPr>
        <w:t>l Estado podría establecer, tal como lo sost</w:t>
      </w:r>
      <w:r w:rsidR="0024176E" w:rsidRPr="007E2F43">
        <w:rPr>
          <w:rFonts w:ascii="Verdana" w:eastAsia="Times" w:hAnsi="Verdana" w:cs="Times New Roman"/>
          <w:sz w:val="20"/>
          <w:szCs w:val="20"/>
        </w:rPr>
        <w:t>uvo</w:t>
      </w:r>
      <w:r w:rsidR="00556A08" w:rsidRPr="007E2F43">
        <w:rPr>
          <w:rFonts w:ascii="Verdana" w:eastAsia="Times" w:hAnsi="Verdana" w:cs="Times New Roman"/>
          <w:sz w:val="20"/>
          <w:szCs w:val="20"/>
        </w:rPr>
        <w:t xml:space="preserve"> la Sala de lo Constitucional </w:t>
      </w:r>
      <w:r w:rsidR="0024176E" w:rsidRPr="007E2F43">
        <w:rPr>
          <w:rFonts w:ascii="Verdana" w:eastAsia="Times" w:hAnsi="Verdana" w:cs="Times New Roman"/>
          <w:sz w:val="20"/>
          <w:szCs w:val="20"/>
        </w:rPr>
        <w:t xml:space="preserve">en su </w:t>
      </w:r>
      <w:r w:rsidR="00D17723" w:rsidRPr="007E2F43">
        <w:rPr>
          <w:rFonts w:ascii="Verdana" w:eastAsia="Times" w:hAnsi="Verdana" w:cs="Times New Roman"/>
          <w:sz w:val="20"/>
          <w:szCs w:val="20"/>
        </w:rPr>
        <w:t xml:space="preserve">sentencia </w:t>
      </w:r>
      <w:r w:rsidR="00556A08" w:rsidRPr="007E2F43">
        <w:rPr>
          <w:rFonts w:ascii="Verdana" w:eastAsia="Times" w:hAnsi="Verdana" w:cs="Times New Roman"/>
          <w:sz w:val="20"/>
          <w:szCs w:val="20"/>
        </w:rPr>
        <w:t xml:space="preserve">de 13 de julio de 2016, “ciertos parámetros para la selección o priorización de los casos que serán objeto de </w:t>
      </w:r>
      <w:r w:rsidR="00556A08" w:rsidRPr="007E2F43">
        <w:rPr>
          <w:rFonts w:ascii="Verdana" w:eastAsia="Times" w:hAnsi="Verdana" w:cs="Times New Roman"/>
          <w:sz w:val="20"/>
          <w:szCs w:val="20"/>
        </w:rPr>
        <w:lastRenderedPageBreak/>
        <w:t>investigación”</w:t>
      </w:r>
      <w:r w:rsidR="0024176E" w:rsidRPr="007E2F43">
        <w:rPr>
          <w:rStyle w:val="Refdenotaalpie"/>
          <w:rFonts w:ascii="Verdana" w:eastAsia="Times" w:hAnsi="Verdana" w:cs="Times New Roman"/>
          <w:sz w:val="20"/>
          <w:szCs w:val="20"/>
        </w:rPr>
        <w:footnoteReference w:id="33"/>
      </w:r>
      <w:r w:rsidR="00556A08" w:rsidRPr="007E2F43">
        <w:rPr>
          <w:rFonts w:ascii="Verdana" w:eastAsia="Times" w:hAnsi="Verdana" w:cs="Times New Roman"/>
          <w:sz w:val="20"/>
          <w:szCs w:val="20"/>
        </w:rPr>
        <w:t>,</w:t>
      </w:r>
      <w:r w:rsidR="0024176E" w:rsidRPr="007E2F43">
        <w:rPr>
          <w:rFonts w:ascii="Verdana" w:eastAsia="Times" w:hAnsi="Verdana" w:cs="Times New Roman"/>
          <w:sz w:val="20"/>
          <w:szCs w:val="20"/>
        </w:rPr>
        <w:t xml:space="preserve"> o bien, una política </w:t>
      </w:r>
      <w:r w:rsidR="00D17723" w:rsidRPr="007E2F43">
        <w:rPr>
          <w:rFonts w:ascii="Verdana" w:eastAsia="Times" w:hAnsi="Verdana" w:cs="Times New Roman"/>
          <w:sz w:val="20"/>
          <w:szCs w:val="20"/>
        </w:rPr>
        <w:t xml:space="preserve">de priorización </w:t>
      </w:r>
      <w:r w:rsidR="0024176E" w:rsidRPr="007E2F43">
        <w:rPr>
          <w:rFonts w:ascii="Verdana" w:eastAsia="Times" w:hAnsi="Verdana" w:cs="Times New Roman"/>
          <w:sz w:val="20"/>
          <w:szCs w:val="20"/>
        </w:rPr>
        <w:t>para la</w:t>
      </w:r>
      <w:r w:rsidR="00A75F0D" w:rsidRPr="007E2F43">
        <w:rPr>
          <w:rFonts w:ascii="Verdana" w:eastAsia="Times" w:hAnsi="Verdana" w:cs="Times New Roman"/>
          <w:sz w:val="20"/>
          <w:szCs w:val="20"/>
        </w:rPr>
        <w:t xml:space="preserve"> atención de las</w:t>
      </w:r>
      <w:r w:rsidR="0024176E" w:rsidRPr="007E2F43">
        <w:rPr>
          <w:rFonts w:ascii="Verdana" w:eastAsia="Times" w:hAnsi="Verdana" w:cs="Times New Roman"/>
          <w:sz w:val="20"/>
          <w:szCs w:val="20"/>
        </w:rPr>
        <w:t xml:space="preserve"> investigaci</w:t>
      </w:r>
      <w:r w:rsidR="00A75F0D" w:rsidRPr="007E2F43">
        <w:rPr>
          <w:rFonts w:ascii="Verdana" w:eastAsia="Times" w:hAnsi="Verdana" w:cs="Times New Roman"/>
          <w:sz w:val="20"/>
          <w:szCs w:val="20"/>
        </w:rPr>
        <w:t>ones</w:t>
      </w:r>
      <w:r w:rsidR="0024176E" w:rsidRPr="007E2F43">
        <w:rPr>
          <w:rFonts w:ascii="Verdana" w:eastAsia="Times" w:hAnsi="Verdana" w:cs="Times New Roman"/>
          <w:sz w:val="20"/>
          <w:szCs w:val="20"/>
        </w:rPr>
        <w:t xml:space="preserve"> de graves violaciones ocurri</w:t>
      </w:r>
      <w:r w:rsidR="00EA414D" w:rsidRPr="007E2F43">
        <w:rPr>
          <w:rFonts w:ascii="Verdana" w:eastAsia="Times" w:hAnsi="Verdana" w:cs="Times New Roman"/>
          <w:sz w:val="20"/>
          <w:szCs w:val="20"/>
        </w:rPr>
        <w:t xml:space="preserve">das durante el conflicto armado. Sin embargo, pareciera que un </w:t>
      </w:r>
      <w:r w:rsidR="0024176E" w:rsidRPr="007E2F43">
        <w:rPr>
          <w:rFonts w:ascii="Verdana" w:eastAsia="Times" w:hAnsi="Verdana" w:cs="Times New Roman"/>
          <w:sz w:val="20"/>
          <w:szCs w:val="20"/>
        </w:rPr>
        <w:t>listado cerrado de casos</w:t>
      </w:r>
      <w:r w:rsidR="00EA414D" w:rsidRPr="007E2F43">
        <w:rPr>
          <w:rFonts w:ascii="Verdana" w:eastAsia="Times" w:hAnsi="Verdana" w:cs="Times New Roman"/>
          <w:sz w:val="20"/>
          <w:szCs w:val="20"/>
        </w:rPr>
        <w:t>,</w:t>
      </w:r>
      <w:r w:rsidR="00D17723" w:rsidRPr="007E2F43">
        <w:rPr>
          <w:rFonts w:ascii="Verdana" w:eastAsia="Times" w:hAnsi="Verdana" w:cs="Times New Roman"/>
          <w:sz w:val="20"/>
          <w:szCs w:val="20"/>
        </w:rPr>
        <w:t xml:space="preserve"> elaborado por una sola ocasión</w:t>
      </w:r>
      <w:r w:rsidR="00EA414D" w:rsidRPr="007E2F43">
        <w:rPr>
          <w:rFonts w:ascii="Verdana" w:eastAsia="Times" w:hAnsi="Verdana" w:cs="Times New Roman"/>
          <w:sz w:val="20"/>
          <w:szCs w:val="20"/>
        </w:rPr>
        <w:t>,</w:t>
      </w:r>
      <w:r w:rsidR="00D17723" w:rsidRPr="007E2F43">
        <w:rPr>
          <w:rFonts w:ascii="Verdana" w:eastAsia="Times" w:hAnsi="Verdana" w:cs="Times New Roman"/>
          <w:sz w:val="20"/>
          <w:szCs w:val="20"/>
        </w:rPr>
        <w:t xml:space="preserve"> en un período tan corto de tiempo</w:t>
      </w:r>
      <w:r w:rsidR="0024176E" w:rsidRPr="007E2F43">
        <w:rPr>
          <w:rFonts w:ascii="Verdana" w:eastAsia="Times" w:hAnsi="Verdana" w:cs="Times New Roman"/>
          <w:sz w:val="20"/>
          <w:szCs w:val="20"/>
        </w:rPr>
        <w:t>, tal como el que propone el proyecto de ley (</w:t>
      </w:r>
      <w:r w:rsidR="0024176E" w:rsidRPr="007E2F43">
        <w:rPr>
          <w:rFonts w:ascii="Verdana" w:eastAsia="Times" w:hAnsi="Verdana" w:cs="Times New Roman"/>
          <w:i/>
          <w:sz w:val="20"/>
          <w:szCs w:val="20"/>
        </w:rPr>
        <w:t xml:space="preserve">supra </w:t>
      </w:r>
      <w:r w:rsidR="005F72DE" w:rsidRPr="007E2F43">
        <w:rPr>
          <w:rFonts w:ascii="Verdana" w:eastAsia="Times" w:hAnsi="Verdana" w:cs="Times New Roman"/>
          <w:sz w:val="20"/>
          <w:szCs w:val="20"/>
        </w:rPr>
        <w:t xml:space="preserve">Considerando </w:t>
      </w:r>
      <w:r w:rsidR="00473671">
        <w:rPr>
          <w:rFonts w:ascii="Verdana" w:eastAsia="Times" w:hAnsi="Verdana" w:cs="Times New Roman"/>
          <w:sz w:val="20"/>
          <w:szCs w:val="20"/>
        </w:rPr>
        <w:t>21</w:t>
      </w:r>
      <w:r w:rsidR="005F72DE" w:rsidRPr="007E2F43">
        <w:rPr>
          <w:rFonts w:ascii="Verdana" w:eastAsia="Times" w:hAnsi="Verdana" w:cs="Times New Roman"/>
          <w:sz w:val="20"/>
          <w:szCs w:val="20"/>
        </w:rPr>
        <w:t xml:space="preserve">), </w:t>
      </w:r>
      <w:r w:rsidR="00EA414D" w:rsidRPr="007E2F43">
        <w:rPr>
          <w:rFonts w:ascii="Verdana" w:eastAsia="Times" w:hAnsi="Verdana" w:cs="Times New Roman"/>
          <w:sz w:val="20"/>
          <w:szCs w:val="20"/>
        </w:rPr>
        <w:t xml:space="preserve">no garantizaría un adecuado análisis de selección, </w:t>
      </w:r>
      <w:r w:rsidR="00CB3C39" w:rsidRPr="007E2F43">
        <w:rPr>
          <w:rFonts w:ascii="Verdana" w:eastAsia="Times" w:hAnsi="Verdana" w:cs="Times New Roman"/>
          <w:sz w:val="20"/>
          <w:szCs w:val="20"/>
        </w:rPr>
        <w:t>máxime, considerando que en este tipo de contextos</w:t>
      </w:r>
      <w:r w:rsidR="00EA414D" w:rsidRPr="007E2F43">
        <w:rPr>
          <w:rFonts w:ascii="Verdana" w:eastAsia="Times" w:hAnsi="Verdana" w:cs="Times New Roman"/>
          <w:sz w:val="20"/>
          <w:szCs w:val="20"/>
        </w:rPr>
        <w:t>,</w:t>
      </w:r>
      <w:r w:rsidR="00CB3C39" w:rsidRPr="007E2F43">
        <w:rPr>
          <w:rFonts w:ascii="Verdana" w:eastAsia="Times" w:hAnsi="Verdana" w:cs="Times New Roman"/>
          <w:sz w:val="20"/>
          <w:szCs w:val="20"/>
        </w:rPr>
        <w:t xml:space="preserve"> en los cuales por </w:t>
      </w:r>
      <w:r w:rsidR="00EA414D" w:rsidRPr="007E2F43">
        <w:rPr>
          <w:rFonts w:ascii="Verdana" w:eastAsia="Times" w:hAnsi="Verdana" w:cs="Times New Roman"/>
          <w:sz w:val="20"/>
          <w:szCs w:val="20"/>
        </w:rPr>
        <w:t>décadas</w:t>
      </w:r>
      <w:r w:rsidR="00CB3C39" w:rsidRPr="007E2F43">
        <w:rPr>
          <w:rFonts w:ascii="Verdana" w:eastAsia="Times" w:hAnsi="Verdana" w:cs="Times New Roman"/>
          <w:sz w:val="20"/>
          <w:szCs w:val="20"/>
        </w:rPr>
        <w:t xml:space="preserve"> se denegó el acceso a la información relacionada</w:t>
      </w:r>
      <w:r w:rsidR="00CB3C39" w:rsidRPr="00EA414D">
        <w:rPr>
          <w:rFonts w:ascii="Verdana" w:eastAsia="Times" w:hAnsi="Verdana" w:cs="Times New Roman"/>
          <w:sz w:val="20"/>
          <w:szCs w:val="20"/>
        </w:rPr>
        <w:t xml:space="preserve"> con los hechos, la determinación de los casos a investigar podría variar en el tiempo</w:t>
      </w:r>
      <w:r w:rsidR="007E2F43">
        <w:rPr>
          <w:rFonts w:ascii="Verdana" w:eastAsia="Times" w:hAnsi="Verdana" w:cs="Times New Roman"/>
          <w:sz w:val="20"/>
          <w:szCs w:val="20"/>
        </w:rPr>
        <w:t>,</w:t>
      </w:r>
      <w:r w:rsidR="00CB3C39" w:rsidRPr="00EA414D">
        <w:rPr>
          <w:rFonts w:ascii="Verdana" w:eastAsia="Times" w:hAnsi="Verdana" w:cs="Times New Roman"/>
          <w:sz w:val="20"/>
          <w:szCs w:val="20"/>
        </w:rPr>
        <w:t xml:space="preserve"> según la información que sea progresivamente accesible o se encuentre mediante la investigación de otros casos. En esa línea, la propia Sala de lo Constitucional reconoció</w:t>
      </w:r>
      <w:r w:rsidR="00FE66A3">
        <w:rPr>
          <w:rFonts w:ascii="Verdana" w:eastAsia="Times" w:hAnsi="Verdana" w:cs="Times New Roman"/>
          <w:sz w:val="20"/>
          <w:szCs w:val="20"/>
        </w:rPr>
        <w:t>,</w:t>
      </w:r>
      <w:r w:rsidR="00CB3C39" w:rsidRPr="00EA414D">
        <w:rPr>
          <w:rFonts w:ascii="Verdana" w:eastAsia="Times" w:hAnsi="Verdana" w:cs="Times New Roman"/>
          <w:sz w:val="20"/>
          <w:szCs w:val="20"/>
        </w:rPr>
        <w:t xml:space="preserve"> en la referida sentencia</w:t>
      </w:r>
      <w:r w:rsidR="00FE66A3">
        <w:rPr>
          <w:rFonts w:ascii="Verdana" w:eastAsia="Times" w:hAnsi="Verdana" w:cs="Times New Roman"/>
          <w:sz w:val="20"/>
          <w:szCs w:val="20"/>
        </w:rPr>
        <w:t xml:space="preserve"> de julio de 2016</w:t>
      </w:r>
      <w:r w:rsidR="00CB3C39" w:rsidRPr="00EA414D">
        <w:rPr>
          <w:rFonts w:ascii="Verdana" w:eastAsia="Times" w:hAnsi="Verdana" w:cs="Times New Roman"/>
          <w:sz w:val="20"/>
          <w:szCs w:val="20"/>
        </w:rPr>
        <w:t>, la necesidad de “regular los medios para garantizar el acceso a la información pública sobre los hechos y sus circunstancias relacionados con crímenes de lesa humanidad y crímenes de guerra constitutivos de graves violaciones de D[erecho Internacional Humanitario] ocurridos durante el conflicto armado</w:t>
      </w:r>
      <w:r w:rsidR="00A032E9" w:rsidRPr="00EA414D">
        <w:rPr>
          <w:rFonts w:ascii="Verdana" w:eastAsia="Times" w:hAnsi="Verdana" w:cs="Times New Roman"/>
          <w:sz w:val="20"/>
          <w:szCs w:val="20"/>
        </w:rPr>
        <w:t xml:space="preserve"> y atribuidos a ambas partes”. </w:t>
      </w:r>
    </w:p>
    <w:p w14:paraId="5073EB95" w14:textId="13C2D110" w:rsidR="009A06D0" w:rsidRPr="005F72DE" w:rsidRDefault="004A0B78" w:rsidP="005F72DE">
      <w:pPr>
        <w:pStyle w:val="Prrafodelista"/>
        <w:numPr>
          <w:ilvl w:val="0"/>
          <w:numId w:val="35"/>
        </w:numPr>
        <w:tabs>
          <w:tab w:val="left" w:pos="0"/>
        </w:tabs>
        <w:autoSpaceDE w:val="0"/>
        <w:autoSpaceDN w:val="0"/>
        <w:adjustRightInd w:val="0"/>
        <w:spacing w:before="120" w:after="120" w:line="240" w:lineRule="auto"/>
        <w:ind w:left="0" w:right="99" w:firstLine="0"/>
        <w:contextualSpacing w:val="0"/>
        <w:jc w:val="both"/>
        <w:rPr>
          <w:rFonts w:ascii="Verdana" w:hAnsi="Verdana" w:cs="Verdana"/>
          <w:color w:val="000000"/>
          <w:sz w:val="20"/>
          <w:szCs w:val="20"/>
        </w:rPr>
      </w:pPr>
      <w:r w:rsidRPr="005F72DE">
        <w:rPr>
          <w:rFonts w:ascii="Verdana" w:eastAsia="Times" w:hAnsi="Verdana" w:cs="Times New Roman"/>
          <w:sz w:val="20"/>
          <w:szCs w:val="20"/>
        </w:rPr>
        <w:t xml:space="preserve">En segundo término, </w:t>
      </w:r>
      <w:r w:rsidR="00794AC2" w:rsidRPr="005F72DE">
        <w:rPr>
          <w:rFonts w:ascii="Verdana" w:eastAsia="Times" w:hAnsi="Verdana" w:cs="Times New Roman"/>
          <w:sz w:val="20"/>
          <w:szCs w:val="20"/>
        </w:rPr>
        <w:t>el artículo 13 del proyecto de ley, relativo a</w:t>
      </w:r>
      <w:r w:rsidR="005F72DE">
        <w:rPr>
          <w:rFonts w:ascii="Verdana" w:eastAsia="Times" w:hAnsi="Verdana" w:cs="Times New Roman"/>
          <w:sz w:val="20"/>
          <w:szCs w:val="20"/>
        </w:rPr>
        <w:t xml:space="preserve"> las</w:t>
      </w:r>
      <w:r w:rsidR="00794AC2" w:rsidRPr="005F72DE">
        <w:rPr>
          <w:rFonts w:ascii="Verdana" w:eastAsia="Times" w:hAnsi="Verdana" w:cs="Times New Roman"/>
          <w:sz w:val="20"/>
          <w:szCs w:val="20"/>
        </w:rPr>
        <w:t xml:space="preserve"> “medidas </w:t>
      </w:r>
      <w:r w:rsidR="005F72DE">
        <w:rPr>
          <w:rFonts w:ascii="Verdana" w:eastAsia="Times" w:hAnsi="Verdana" w:cs="Times New Roman"/>
          <w:sz w:val="20"/>
          <w:szCs w:val="20"/>
        </w:rPr>
        <w:t xml:space="preserve">cautelares </w:t>
      </w:r>
      <w:r w:rsidR="00794AC2" w:rsidRPr="005F72DE">
        <w:rPr>
          <w:rFonts w:ascii="Verdana" w:eastAsia="Times" w:hAnsi="Verdana" w:cs="Times New Roman"/>
          <w:sz w:val="20"/>
          <w:szCs w:val="20"/>
        </w:rPr>
        <w:t>a imponerse durante el proceso penal”, dispone que las personas imputadas en los procesos por crímenes de lesa humanidad y crímenes de guerra constitutivos de graves violaciones cometidos durante el conflicto armado “no serán sujeto de la medida cautelar de la detención provisional”. Dicho artículo dispone textualmente lo siguiente:</w:t>
      </w:r>
    </w:p>
    <w:p w14:paraId="3036A791" w14:textId="1B751B19" w:rsidR="008071BD" w:rsidRPr="00A26A8E" w:rsidRDefault="009A322B" w:rsidP="009A322B">
      <w:pPr>
        <w:pStyle w:val="Prrafodelista"/>
        <w:tabs>
          <w:tab w:val="left" w:pos="720"/>
        </w:tabs>
        <w:autoSpaceDE w:val="0"/>
        <w:autoSpaceDN w:val="0"/>
        <w:adjustRightInd w:val="0"/>
        <w:spacing w:before="120" w:after="120" w:line="240" w:lineRule="auto"/>
        <w:ind w:left="709" w:right="713"/>
        <w:contextualSpacing w:val="0"/>
        <w:jc w:val="both"/>
        <w:rPr>
          <w:rFonts w:ascii="Verdana" w:hAnsi="Verdana"/>
          <w:sz w:val="16"/>
          <w:szCs w:val="16"/>
        </w:rPr>
      </w:pPr>
      <w:r w:rsidRPr="00A26A8E">
        <w:rPr>
          <w:rFonts w:ascii="Verdana" w:hAnsi="Verdana"/>
          <w:sz w:val="16"/>
          <w:szCs w:val="16"/>
        </w:rPr>
        <w:t>Medidas cautelares a imponerse durante el proceso penal</w:t>
      </w:r>
    </w:p>
    <w:p w14:paraId="769D5975" w14:textId="34A5FE49" w:rsidR="009A322B" w:rsidRDefault="009A322B" w:rsidP="009A322B">
      <w:pPr>
        <w:pStyle w:val="Prrafodelista"/>
        <w:tabs>
          <w:tab w:val="left" w:pos="720"/>
        </w:tabs>
        <w:autoSpaceDE w:val="0"/>
        <w:autoSpaceDN w:val="0"/>
        <w:adjustRightInd w:val="0"/>
        <w:spacing w:before="120" w:after="120" w:line="240" w:lineRule="auto"/>
        <w:ind w:left="709" w:right="713"/>
        <w:contextualSpacing w:val="0"/>
        <w:jc w:val="both"/>
        <w:rPr>
          <w:rFonts w:ascii="Verdana" w:hAnsi="Verdana"/>
          <w:i/>
          <w:sz w:val="16"/>
          <w:szCs w:val="16"/>
        </w:rPr>
      </w:pPr>
      <w:r w:rsidRPr="009A322B">
        <w:rPr>
          <w:rFonts w:ascii="Verdana" w:hAnsi="Verdana"/>
          <w:sz w:val="16"/>
          <w:szCs w:val="16"/>
        </w:rPr>
        <w:t>Art.</w:t>
      </w:r>
      <w:r>
        <w:rPr>
          <w:rFonts w:ascii="Verdana" w:hAnsi="Verdana"/>
          <w:sz w:val="16"/>
          <w:szCs w:val="16"/>
        </w:rPr>
        <w:t xml:space="preserve"> </w:t>
      </w:r>
      <w:r w:rsidRPr="009A322B">
        <w:rPr>
          <w:rFonts w:ascii="Verdana" w:hAnsi="Verdana"/>
          <w:sz w:val="16"/>
          <w:szCs w:val="16"/>
        </w:rPr>
        <w:t>13.-</w:t>
      </w:r>
      <w:r>
        <w:rPr>
          <w:rFonts w:ascii="Verdana" w:hAnsi="Verdana"/>
          <w:sz w:val="16"/>
          <w:szCs w:val="16"/>
        </w:rPr>
        <w:t xml:space="preserve"> </w:t>
      </w:r>
      <w:r w:rsidRPr="009A322B">
        <w:rPr>
          <w:rFonts w:ascii="Verdana" w:hAnsi="Verdana"/>
          <w:b/>
          <w:sz w:val="16"/>
          <w:szCs w:val="16"/>
        </w:rPr>
        <w:t>Las personas imputadas en los procesos a los que se refiere la presente ley,</w:t>
      </w:r>
      <w:r>
        <w:rPr>
          <w:rFonts w:ascii="Verdana" w:hAnsi="Verdana"/>
          <w:sz w:val="16"/>
          <w:szCs w:val="16"/>
        </w:rPr>
        <w:t xml:space="preserve"> no podrán ser detenidas por orden administrativa o judicial salvo que no atiendan los citatorios de la autoridad competente, </w:t>
      </w:r>
      <w:r w:rsidRPr="009A322B">
        <w:rPr>
          <w:rFonts w:ascii="Verdana" w:hAnsi="Verdana"/>
          <w:b/>
          <w:sz w:val="16"/>
          <w:szCs w:val="16"/>
        </w:rPr>
        <w:t>y no serán sujeto de la medida cautelar de la detención provisional</w:t>
      </w:r>
      <w:r>
        <w:rPr>
          <w:rFonts w:ascii="Verdana" w:hAnsi="Verdana"/>
          <w:sz w:val="16"/>
          <w:szCs w:val="16"/>
        </w:rPr>
        <w:t xml:space="preserve">; en su lugar, con el propósito de garantizar su presencia durante el desarrollo de las diferentes etapas de los procedimientos, mediante resolución debidamente fundada, </w:t>
      </w:r>
      <w:r w:rsidRPr="009A322B">
        <w:rPr>
          <w:rFonts w:ascii="Verdana" w:hAnsi="Verdana"/>
          <w:b/>
          <w:sz w:val="16"/>
          <w:szCs w:val="16"/>
        </w:rPr>
        <w:t>se les impondrá únicamente la medida cautelar de presentarse ante el juez de la causa.</w:t>
      </w:r>
      <w:r>
        <w:rPr>
          <w:rFonts w:ascii="Verdana" w:hAnsi="Verdana"/>
          <w:b/>
          <w:sz w:val="16"/>
          <w:szCs w:val="16"/>
        </w:rPr>
        <w:t xml:space="preserve"> </w:t>
      </w:r>
      <w:r>
        <w:rPr>
          <w:rFonts w:ascii="Verdana" w:hAnsi="Verdana"/>
          <w:i/>
          <w:sz w:val="16"/>
          <w:szCs w:val="16"/>
        </w:rPr>
        <w:t>(Énfasis añadido)</w:t>
      </w:r>
    </w:p>
    <w:p w14:paraId="25B8BA2F" w14:textId="77777777" w:rsidR="00AF1DD0" w:rsidRPr="00A16365" w:rsidRDefault="00AF1DD0" w:rsidP="00AF1DD0">
      <w:pPr>
        <w:tabs>
          <w:tab w:val="left" w:pos="720"/>
        </w:tabs>
        <w:autoSpaceDE w:val="0"/>
        <w:autoSpaceDN w:val="0"/>
        <w:adjustRightInd w:val="0"/>
        <w:spacing w:before="120" w:after="120" w:line="240" w:lineRule="auto"/>
        <w:ind w:right="713"/>
        <w:jc w:val="both"/>
        <w:rPr>
          <w:rFonts w:ascii="Verdana" w:hAnsi="Verdana"/>
          <w:i/>
          <w:sz w:val="4"/>
          <w:szCs w:val="4"/>
        </w:rPr>
      </w:pPr>
    </w:p>
    <w:p w14:paraId="0C641226" w14:textId="674AC721" w:rsidR="001A7E48" w:rsidRPr="001A7E48" w:rsidRDefault="002D4A02" w:rsidP="001A7E48">
      <w:pPr>
        <w:pStyle w:val="Prrafodelista"/>
        <w:numPr>
          <w:ilvl w:val="0"/>
          <w:numId w:val="35"/>
        </w:numPr>
        <w:tabs>
          <w:tab w:val="left" w:pos="0"/>
        </w:tabs>
        <w:autoSpaceDE w:val="0"/>
        <w:autoSpaceDN w:val="0"/>
        <w:adjustRightInd w:val="0"/>
        <w:spacing w:before="120" w:after="120" w:line="240" w:lineRule="auto"/>
        <w:ind w:left="0" w:right="99" w:firstLine="0"/>
        <w:contextualSpacing w:val="0"/>
        <w:jc w:val="both"/>
        <w:rPr>
          <w:rFonts w:ascii="Verdana" w:hAnsi="Verdana"/>
          <w:sz w:val="20"/>
          <w:szCs w:val="20"/>
        </w:rPr>
      </w:pPr>
      <w:r w:rsidRPr="008845AC">
        <w:rPr>
          <w:rFonts w:ascii="Verdana" w:hAnsi="Verdana" w:cs="Verdana"/>
          <w:sz w:val="20"/>
          <w:szCs w:val="20"/>
        </w:rPr>
        <w:t xml:space="preserve">La jurisprudencia de </w:t>
      </w:r>
      <w:r w:rsidR="009953F9" w:rsidRPr="008845AC">
        <w:rPr>
          <w:rFonts w:ascii="Verdana" w:hAnsi="Verdana" w:cs="Verdana"/>
          <w:sz w:val="20"/>
          <w:szCs w:val="20"/>
        </w:rPr>
        <w:t>la</w:t>
      </w:r>
      <w:r w:rsidRPr="008845AC">
        <w:rPr>
          <w:rFonts w:ascii="Verdana" w:hAnsi="Verdana" w:cs="Verdana"/>
          <w:sz w:val="20"/>
          <w:szCs w:val="20"/>
        </w:rPr>
        <w:t xml:space="preserve"> Corte</w:t>
      </w:r>
      <w:r w:rsidR="009953F9" w:rsidRPr="008845AC">
        <w:rPr>
          <w:rFonts w:ascii="Verdana" w:hAnsi="Verdana" w:cs="Verdana"/>
          <w:sz w:val="20"/>
          <w:szCs w:val="20"/>
        </w:rPr>
        <w:t xml:space="preserve"> Interamericana</w:t>
      </w:r>
      <w:r w:rsidRPr="008845AC">
        <w:rPr>
          <w:rFonts w:ascii="Verdana" w:hAnsi="Verdana" w:cs="Verdana"/>
          <w:sz w:val="20"/>
          <w:szCs w:val="20"/>
        </w:rPr>
        <w:t xml:space="preserve"> ha reconocido </w:t>
      </w:r>
      <w:r w:rsidR="009953F9" w:rsidRPr="008845AC">
        <w:rPr>
          <w:rFonts w:ascii="Verdana" w:hAnsi="Verdana" w:cs="Verdana"/>
          <w:sz w:val="20"/>
          <w:szCs w:val="20"/>
        </w:rPr>
        <w:t>que las medidas cautelares que afectan, entre otras, la libertad personal del procesado tienen un carácter excepcional, ya que se encuentran limitadas por el derecho a la presunción de inocencia y los principios de legalidad, necesidad y proporcionalidad, indispensables en una sociedad democrática</w:t>
      </w:r>
      <w:r w:rsidR="009953F9" w:rsidRPr="008845AC">
        <w:rPr>
          <w:rStyle w:val="Refdenotaalpie"/>
          <w:rFonts w:ascii="Verdana" w:hAnsi="Verdana" w:cs="Verdana"/>
          <w:sz w:val="20"/>
          <w:szCs w:val="20"/>
        </w:rPr>
        <w:footnoteReference w:id="34"/>
      </w:r>
      <w:r w:rsidR="009953F9" w:rsidRPr="008845AC">
        <w:rPr>
          <w:rFonts w:ascii="Verdana" w:hAnsi="Verdana" w:cs="Verdana"/>
          <w:sz w:val="20"/>
          <w:szCs w:val="20"/>
        </w:rPr>
        <w:t xml:space="preserve">. </w:t>
      </w:r>
      <w:r w:rsidR="00DC69CA" w:rsidRPr="008845AC">
        <w:rPr>
          <w:rFonts w:ascii="Verdana" w:hAnsi="Verdana" w:cs="Verdana"/>
          <w:sz w:val="20"/>
          <w:szCs w:val="20"/>
        </w:rPr>
        <w:t>En lo r</w:t>
      </w:r>
      <w:r w:rsidR="008845AC" w:rsidRPr="008845AC">
        <w:rPr>
          <w:rFonts w:ascii="Verdana" w:hAnsi="Verdana" w:cs="Verdana"/>
          <w:sz w:val="20"/>
          <w:szCs w:val="20"/>
        </w:rPr>
        <w:t>elativo a la detención de un imputado o acusado con carácter provisional (prisión preventiva), la Corte ha establecido que ello solo es admisible cuando sea estrictamente necesario para asegurar que el acusado no impedirá el desarrollo eficiente de las investigaciones ni eludirá la acción de la justicia</w:t>
      </w:r>
      <w:r w:rsidR="008845AC" w:rsidRPr="008845AC">
        <w:rPr>
          <w:rFonts w:ascii="Verdana" w:hAnsi="Verdana" w:cs="Verdana"/>
          <w:sz w:val="20"/>
          <w:szCs w:val="20"/>
          <w:vertAlign w:val="superscript"/>
        </w:rPr>
        <w:footnoteReference w:id="35"/>
      </w:r>
      <w:r w:rsidR="008845AC" w:rsidRPr="008845AC">
        <w:rPr>
          <w:rFonts w:ascii="Verdana" w:hAnsi="Verdana" w:cs="Verdana"/>
          <w:sz w:val="20"/>
          <w:szCs w:val="20"/>
        </w:rPr>
        <w:t xml:space="preserve">. </w:t>
      </w:r>
    </w:p>
    <w:p w14:paraId="18A4D411" w14:textId="1DFDEBF4" w:rsidR="001A7E48" w:rsidRPr="00E6461D" w:rsidRDefault="008845AC" w:rsidP="001A7E48">
      <w:pPr>
        <w:pStyle w:val="Prrafodelista"/>
        <w:numPr>
          <w:ilvl w:val="0"/>
          <w:numId w:val="35"/>
        </w:numPr>
        <w:tabs>
          <w:tab w:val="left" w:pos="0"/>
        </w:tabs>
        <w:autoSpaceDE w:val="0"/>
        <w:autoSpaceDN w:val="0"/>
        <w:adjustRightInd w:val="0"/>
        <w:spacing w:before="120" w:after="120" w:line="240" w:lineRule="auto"/>
        <w:ind w:left="0" w:right="99" w:firstLine="0"/>
        <w:contextualSpacing w:val="0"/>
        <w:jc w:val="both"/>
        <w:rPr>
          <w:rFonts w:ascii="Verdana" w:hAnsi="Verdana"/>
          <w:sz w:val="20"/>
          <w:szCs w:val="20"/>
        </w:rPr>
      </w:pPr>
      <w:r w:rsidRPr="001A7E48">
        <w:rPr>
          <w:rFonts w:ascii="Verdana" w:hAnsi="Verdana"/>
          <w:sz w:val="20"/>
          <w:szCs w:val="20"/>
        </w:rPr>
        <w:t xml:space="preserve">Bajo el referido proyecto de ley, aun cuando existiesen riesgos fundados de que </w:t>
      </w:r>
      <w:r w:rsidR="00337FB1">
        <w:rPr>
          <w:rFonts w:ascii="Verdana" w:hAnsi="Verdana"/>
          <w:sz w:val="20"/>
          <w:szCs w:val="20"/>
        </w:rPr>
        <w:t xml:space="preserve">las personas </w:t>
      </w:r>
      <w:r w:rsidRPr="001A7E48">
        <w:rPr>
          <w:rFonts w:ascii="Verdana" w:hAnsi="Verdana"/>
          <w:sz w:val="20"/>
          <w:szCs w:val="20"/>
        </w:rPr>
        <w:t>acusad</w:t>
      </w:r>
      <w:r w:rsidR="00337FB1">
        <w:rPr>
          <w:rFonts w:ascii="Verdana" w:hAnsi="Verdana"/>
          <w:sz w:val="20"/>
          <w:szCs w:val="20"/>
        </w:rPr>
        <w:t>a</w:t>
      </w:r>
      <w:r w:rsidR="001A7E48">
        <w:rPr>
          <w:rFonts w:ascii="Verdana" w:hAnsi="Verdana"/>
          <w:sz w:val="20"/>
          <w:szCs w:val="20"/>
        </w:rPr>
        <w:t>s</w:t>
      </w:r>
      <w:r w:rsidRPr="001A7E48">
        <w:rPr>
          <w:rFonts w:ascii="Verdana" w:hAnsi="Verdana"/>
          <w:sz w:val="20"/>
          <w:szCs w:val="20"/>
        </w:rPr>
        <w:t xml:space="preserve"> obstaculice</w:t>
      </w:r>
      <w:r w:rsidR="001A7E48">
        <w:rPr>
          <w:rFonts w:ascii="Verdana" w:hAnsi="Verdana"/>
          <w:sz w:val="20"/>
          <w:szCs w:val="20"/>
        </w:rPr>
        <w:t>n</w:t>
      </w:r>
      <w:r w:rsidRPr="001A7E48">
        <w:rPr>
          <w:rFonts w:ascii="Verdana" w:hAnsi="Verdana"/>
          <w:sz w:val="20"/>
          <w:szCs w:val="20"/>
        </w:rPr>
        <w:t xml:space="preserve"> el desarrollo de las investigaciones </w:t>
      </w:r>
      <w:r w:rsidR="00337FB1">
        <w:rPr>
          <w:rFonts w:ascii="Verdana" w:hAnsi="Verdana"/>
          <w:sz w:val="20"/>
          <w:szCs w:val="20"/>
        </w:rPr>
        <w:t xml:space="preserve">de graves violaciones a derechos humanos </w:t>
      </w:r>
      <w:r w:rsidRPr="001A7E48">
        <w:rPr>
          <w:rFonts w:ascii="Verdana" w:hAnsi="Verdana"/>
          <w:sz w:val="20"/>
          <w:szCs w:val="20"/>
        </w:rPr>
        <w:t>o eluda</w:t>
      </w:r>
      <w:r w:rsidR="001A7E48">
        <w:rPr>
          <w:rFonts w:ascii="Verdana" w:hAnsi="Verdana"/>
          <w:sz w:val="20"/>
          <w:szCs w:val="20"/>
        </w:rPr>
        <w:t>n</w:t>
      </w:r>
      <w:r w:rsidRPr="001A7E48">
        <w:rPr>
          <w:rFonts w:ascii="Verdana" w:hAnsi="Verdana"/>
          <w:sz w:val="20"/>
          <w:szCs w:val="20"/>
        </w:rPr>
        <w:t xml:space="preserve"> la acción de la justicia, el juzgador n</w:t>
      </w:r>
      <w:r w:rsidR="00EE798C" w:rsidRPr="001A7E48">
        <w:rPr>
          <w:rFonts w:ascii="Verdana" w:hAnsi="Verdana"/>
          <w:sz w:val="20"/>
          <w:szCs w:val="20"/>
        </w:rPr>
        <w:t xml:space="preserve">o contaría con la posibilidad normativa de disponer una medida adecuada para el </w:t>
      </w:r>
      <w:r w:rsidR="001A7E48">
        <w:rPr>
          <w:rFonts w:ascii="Verdana" w:hAnsi="Verdana"/>
          <w:sz w:val="20"/>
          <w:szCs w:val="20"/>
        </w:rPr>
        <w:t xml:space="preserve">aseguramiento del proceso penal, con lo cual se podría ver </w:t>
      </w:r>
      <w:r w:rsidR="00EE798C" w:rsidRPr="001A7E48">
        <w:rPr>
          <w:rFonts w:ascii="Verdana" w:hAnsi="Verdana"/>
          <w:sz w:val="20"/>
          <w:szCs w:val="20"/>
        </w:rPr>
        <w:t>afecta</w:t>
      </w:r>
      <w:r w:rsidR="001A7E48">
        <w:rPr>
          <w:rFonts w:ascii="Verdana" w:hAnsi="Verdana"/>
          <w:sz w:val="20"/>
          <w:szCs w:val="20"/>
        </w:rPr>
        <w:t>do</w:t>
      </w:r>
      <w:r w:rsidR="00EE798C" w:rsidRPr="001A7E48">
        <w:rPr>
          <w:rFonts w:ascii="Verdana" w:hAnsi="Verdana"/>
          <w:sz w:val="20"/>
          <w:szCs w:val="20"/>
        </w:rPr>
        <w:t xml:space="preserve"> el derecho de acceso a la justicia de las víctimas</w:t>
      </w:r>
      <w:r w:rsidR="001A7E48" w:rsidRPr="001A7E48">
        <w:rPr>
          <w:rFonts w:ascii="Verdana" w:eastAsia="Times" w:hAnsi="Verdana" w:cs="Times New Roman"/>
          <w:sz w:val="20"/>
          <w:szCs w:val="20"/>
        </w:rPr>
        <w:t xml:space="preserve"> </w:t>
      </w:r>
      <w:r w:rsidR="001A7E48">
        <w:rPr>
          <w:rFonts w:ascii="Verdana" w:eastAsia="Times" w:hAnsi="Verdana" w:cs="Times New Roman"/>
          <w:sz w:val="20"/>
          <w:szCs w:val="20"/>
        </w:rPr>
        <w:t xml:space="preserve">en el marco de las investigaciones penales en curso </w:t>
      </w:r>
      <w:r w:rsidR="00F51DA6">
        <w:rPr>
          <w:rFonts w:ascii="Verdana" w:eastAsia="Times" w:hAnsi="Verdana" w:cs="Times New Roman"/>
          <w:sz w:val="20"/>
          <w:szCs w:val="20"/>
        </w:rPr>
        <w:t>en el presente caso</w:t>
      </w:r>
      <w:r w:rsidR="00CA1E35">
        <w:rPr>
          <w:rFonts w:ascii="Verdana" w:eastAsia="Times" w:hAnsi="Verdana" w:cs="Times New Roman"/>
          <w:sz w:val="20"/>
          <w:szCs w:val="20"/>
        </w:rPr>
        <w:t xml:space="preserve"> en que el tribunal interamericano </w:t>
      </w:r>
      <w:r w:rsidR="00CA1E35" w:rsidRPr="00E6461D">
        <w:rPr>
          <w:rFonts w:ascii="Verdana" w:eastAsia="Times" w:hAnsi="Verdana" w:cs="Times New Roman"/>
          <w:sz w:val="20"/>
          <w:szCs w:val="20"/>
        </w:rPr>
        <w:t>ha emitido Sentencia</w:t>
      </w:r>
      <w:r w:rsidR="00EE798C" w:rsidRPr="00E6461D">
        <w:rPr>
          <w:rFonts w:ascii="Verdana" w:hAnsi="Verdana"/>
          <w:sz w:val="20"/>
          <w:szCs w:val="20"/>
        </w:rPr>
        <w:t xml:space="preserve">. </w:t>
      </w:r>
    </w:p>
    <w:p w14:paraId="6A0129A0" w14:textId="403E4DF5" w:rsidR="00EE798C" w:rsidRPr="00E6461D" w:rsidRDefault="00EE798C" w:rsidP="001A7E48">
      <w:pPr>
        <w:pStyle w:val="Prrafodelista"/>
        <w:numPr>
          <w:ilvl w:val="0"/>
          <w:numId w:val="35"/>
        </w:numPr>
        <w:tabs>
          <w:tab w:val="left" w:pos="0"/>
        </w:tabs>
        <w:autoSpaceDE w:val="0"/>
        <w:autoSpaceDN w:val="0"/>
        <w:adjustRightInd w:val="0"/>
        <w:spacing w:before="120" w:after="120" w:line="240" w:lineRule="auto"/>
        <w:ind w:left="0" w:right="99" w:firstLine="0"/>
        <w:contextualSpacing w:val="0"/>
        <w:jc w:val="both"/>
        <w:rPr>
          <w:rFonts w:ascii="Verdana" w:hAnsi="Verdana"/>
          <w:sz w:val="20"/>
          <w:szCs w:val="20"/>
        </w:rPr>
      </w:pPr>
      <w:r w:rsidRPr="00E6461D">
        <w:rPr>
          <w:rFonts w:ascii="Verdana" w:hAnsi="Verdana"/>
          <w:sz w:val="20"/>
          <w:szCs w:val="20"/>
        </w:rPr>
        <w:t xml:space="preserve">En tercer lugar, </w:t>
      </w:r>
      <w:r w:rsidR="007B0B9C" w:rsidRPr="00E6461D">
        <w:rPr>
          <w:rFonts w:ascii="Verdana" w:hAnsi="Verdana"/>
          <w:sz w:val="20"/>
          <w:szCs w:val="20"/>
        </w:rPr>
        <w:t>el proyecto de ley contiene en su artículo 1</w:t>
      </w:r>
      <w:r w:rsidR="00A62300" w:rsidRPr="00E6461D">
        <w:rPr>
          <w:rFonts w:ascii="Verdana" w:hAnsi="Verdana"/>
          <w:sz w:val="20"/>
          <w:szCs w:val="20"/>
        </w:rPr>
        <w:t>2</w:t>
      </w:r>
      <w:r w:rsidR="007B0B9C" w:rsidRPr="00E6461D">
        <w:rPr>
          <w:rFonts w:ascii="Verdana" w:hAnsi="Verdana"/>
          <w:sz w:val="20"/>
          <w:szCs w:val="20"/>
        </w:rPr>
        <w:t xml:space="preserve"> previsiones respecto a las penas </w:t>
      </w:r>
      <w:r w:rsidR="00C20907" w:rsidRPr="00E6461D">
        <w:rPr>
          <w:rFonts w:ascii="Verdana" w:hAnsi="Verdana"/>
          <w:sz w:val="20"/>
          <w:szCs w:val="20"/>
        </w:rPr>
        <w:t xml:space="preserve">para los condenados </w:t>
      </w:r>
      <w:r w:rsidR="004418A2" w:rsidRPr="00E6461D">
        <w:rPr>
          <w:rFonts w:ascii="Verdana" w:hAnsi="Verdana"/>
          <w:sz w:val="20"/>
          <w:szCs w:val="20"/>
        </w:rPr>
        <w:t>en procesos penales por crímenes objeto del proyecto de ley (“crímenes de lesa humanidad y crímenes de guerra constitutivos de graves violaciones al derecho internacional humanitario”)</w:t>
      </w:r>
      <w:r w:rsidR="00746EBF" w:rsidRPr="00E6461D">
        <w:rPr>
          <w:rFonts w:ascii="Verdana" w:hAnsi="Verdana"/>
          <w:sz w:val="20"/>
          <w:szCs w:val="20"/>
        </w:rPr>
        <w:t xml:space="preserve">, que afectan el derecho de acceso a la justicia </w:t>
      </w:r>
      <w:r w:rsidR="00820B6F" w:rsidRPr="00E6461D">
        <w:rPr>
          <w:rFonts w:ascii="Verdana" w:hAnsi="Verdana"/>
          <w:sz w:val="20"/>
          <w:szCs w:val="20"/>
        </w:rPr>
        <w:t xml:space="preserve">de las </w:t>
      </w:r>
      <w:r w:rsidR="00820B6F" w:rsidRPr="00E6461D">
        <w:rPr>
          <w:rFonts w:ascii="Verdana" w:hAnsi="Verdana"/>
          <w:sz w:val="20"/>
          <w:szCs w:val="20"/>
        </w:rPr>
        <w:lastRenderedPageBreak/>
        <w:t xml:space="preserve">víctimas </w:t>
      </w:r>
      <w:r w:rsidR="00746EBF" w:rsidRPr="00E6461D">
        <w:rPr>
          <w:rFonts w:ascii="Verdana" w:hAnsi="Verdana"/>
          <w:sz w:val="20"/>
          <w:szCs w:val="20"/>
        </w:rPr>
        <w:t>por su inobservancia del principio de proporcionalidad de la pena</w:t>
      </w:r>
      <w:r w:rsidR="00127E0E" w:rsidRPr="00E6461D">
        <w:rPr>
          <w:rFonts w:ascii="Verdana" w:hAnsi="Verdana"/>
          <w:sz w:val="20"/>
          <w:szCs w:val="20"/>
        </w:rPr>
        <w:t xml:space="preserve"> (</w:t>
      </w:r>
      <w:r w:rsidR="00127E0E" w:rsidRPr="00E6461D">
        <w:rPr>
          <w:rFonts w:ascii="Verdana" w:hAnsi="Verdana"/>
          <w:i/>
          <w:sz w:val="20"/>
          <w:szCs w:val="20"/>
        </w:rPr>
        <w:t xml:space="preserve">infra </w:t>
      </w:r>
      <w:r w:rsidR="00127E0E" w:rsidRPr="00E6461D">
        <w:rPr>
          <w:rFonts w:ascii="Verdana" w:hAnsi="Verdana"/>
          <w:sz w:val="20"/>
          <w:szCs w:val="20"/>
        </w:rPr>
        <w:t xml:space="preserve">Considerandos </w:t>
      </w:r>
      <w:r w:rsidR="00473671">
        <w:rPr>
          <w:rFonts w:ascii="Verdana" w:hAnsi="Verdana"/>
          <w:sz w:val="20"/>
          <w:szCs w:val="20"/>
        </w:rPr>
        <w:t>31</w:t>
      </w:r>
      <w:r w:rsidR="00E6461D" w:rsidRPr="00E6461D">
        <w:rPr>
          <w:rFonts w:ascii="Verdana" w:hAnsi="Verdana"/>
          <w:sz w:val="20"/>
          <w:szCs w:val="20"/>
        </w:rPr>
        <w:t xml:space="preserve"> a 3</w:t>
      </w:r>
      <w:r w:rsidR="00473671">
        <w:rPr>
          <w:rFonts w:ascii="Verdana" w:hAnsi="Verdana"/>
          <w:sz w:val="20"/>
          <w:szCs w:val="20"/>
        </w:rPr>
        <w:t>3</w:t>
      </w:r>
      <w:r w:rsidR="00127E0E" w:rsidRPr="00E6461D">
        <w:rPr>
          <w:rFonts w:ascii="Verdana" w:hAnsi="Verdana"/>
          <w:sz w:val="20"/>
          <w:szCs w:val="20"/>
        </w:rPr>
        <w:t>)</w:t>
      </w:r>
      <w:r w:rsidR="007B0B9C" w:rsidRPr="00E6461D">
        <w:rPr>
          <w:rFonts w:ascii="Verdana" w:hAnsi="Verdana"/>
          <w:sz w:val="20"/>
          <w:szCs w:val="20"/>
        </w:rPr>
        <w:t>. Dicho artículo dispone lo siguiente:</w:t>
      </w:r>
    </w:p>
    <w:p w14:paraId="0915D94A" w14:textId="4022403A" w:rsidR="007B0B9C" w:rsidRPr="007B0B9C" w:rsidRDefault="007B0B9C" w:rsidP="007B0B9C">
      <w:pPr>
        <w:pStyle w:val="Prrafodelista"/>
        <w:tabs>
          <w:tab w:val="left" w:pos="720"/>
        </w:tabs>
        <w:autoSpaceDE w:val="0"/>
        <w:autoSpaceDN w:val="0"/>
        <w:adjustRightInd w:val="0"/>
        <w:spacing w:before="120" w:after="120" w:line="240" w:lineRule="auto"/>
        <w:ind w:left="709" w:right="713"/>
        <w:contextualSpacing w:val="0"/>
        <w:jc w:val="both"/>
        <w:rPr>
          <w:rFonts w:ascii="Verdana" w:hAnsi="Verdana"/>
          <w:sz w:val="16"/>
          <w:szCs w:val="16"/>
        </w:rPr>
      </w:pPr>
      <w:r w:rsidRPr="007B0B9C">
        <w:rPr>
          <w:rFonts w:ascii="Verdana" w:hAnsi="Verdana"/>
          <w:sz w:val="16"/>
          <w:szCs w:val="16"/>
        </w:rPr>
        <w:t>De las penas</w:t>
      </w:r>
    </w:p>
    <w:p w14:paraId="53ABFD51" w14:textId="0F65C9D5" w:rsidR="007B0B9C" w:rsidRDefault="007B0B9C" w:rsidP="007B0B9C">
      <w:pPr>
        <w:pStyle w:val="Prrafodelista"/>
        <w:tabs>
          <w:tab w:val="left" w:pos="720"/>
        </w:tabs>
        <w:autoSpaceDE w:val="0"/>
        <w:autoSpaceDN w:val="0"/>
        <w:adjustRightInd w:val="0"/>
        <w:spacing w:before="120" w:after="120" w:line="240" w:lineRule="auto"/>
        <w:ind w:left="709" w:right="713"/>
        <w:contextualSpacing w:val="0"/>
        <w:jc w:val="both"/>
        <w:rPr>
          <w:rFonts w:ascii="Verdana" w:hAnsi="Verdana"/>
          <w:sz w:val="16"/>
          <w:szCs w:val="16"/>
        </w:rPr>
      </w:pPr>
      <w:r w:rsidRPr="007B0B9C">
        <w:rPr>
          <w:rFonts w:ascii="Verdana" w:hAnsi="Verdana"/>
          <w:sz w:val="16"/>
          <w:szCs w:val="16"/>
        </w:rPr>
        <w:t xml:space="preserve">Art. 12.- </w:t>
      </w:r>
      <w:r w:rsidRPr="007B0B9C">
        <w:rPr>
          <w:rFonts w:ascii="Verdana" w:hAnsi="Verdana"/>
          <w:b/>
          <w:sz w:val="16"/>
          <w:szCs w:val="16"/>
        </w:rPr>
        <w:t>La pena de prisión impuesta bajo los procesos penales tramitados a partir de la vigencia de la presente ley, así como las penas impuestas en procesos penales tramitados antes de dicha vigencia, independientemente de la medida de la misma, será suspendida de oficio su ejecución por el juez de la causa, si el imputado es condenado a penas de hasta diez años de prisión. En caso de condenas mayores a diez años de prisión, dicha pena se sustituirá, por la pena de prestación de trabajo de utilidad pública,</w:t>
      </w:r>
      <w:r>
        <w:rPr>
          <w:rFonts w:ascii="Verdana" w:hAnsi="Verdana"/>
          <w:sz w:val="16"/>
          <w:szCs w:val="16"/>
        </w:rPr>
        <w:t xml:space="preserve"> en jornadas de trabajo fijadas en la respectiva resolución, cuyo límite mínimo será de tres años y el límite máximo será de diez años, de acuerdo a la gravedad del hecho cometido.</w:t>
      </w:r>
    </w:p>
    <w:p w14:paraId="4EFCB670" w14:textId="1CA39705" w:rsidR="007B0B9C" w:rsidRDefault="007B0B9C" w:rsidP="007B0B9C">
      <w:pPr>
        <w:pStyle w:val="Prrafodelista"/>
        <w:tabs>
          <w:tab w:val="left" w:pos="720"/>
        </w:tabs>
        <w:autoSpaceDE w:val="0"/>
        <w:autoSpaceDN w:val="0"/>
        <w:adjustRightInd w:val="0"/>
        <w:spacing w:before="120" w:after="120" w:line="240" w:lineRule="auto"/>
        <w:ind w:left="709" w:right="713"/>
        <w:contextualSpacing w:val="0"/>
        <w:jc w:val="both"/>
        <w:rPr>
          <w:rFonts w:ascii="Verdana" w:hAnsi="Verdana"/>
          <w:sz w:val="16"/>
          <w:szCs w:val="16"/>
        </w:rPr>
      </w:pPr>
      <w:r>
        <w:rPr>
          <w:rFonts w:ascii="Verdana" w:hAnsi="Verdana"/>
          <w:sz w:val="16"/>
          <w:szCs w:val="16"/>
        </w:rPr>
        <w:t>El cumplimiento de la pena de prestación de trabajo de utilidad pública, producirá la revocatoria de la suspensión de la ejecución de la pena de prisión, previa audiencia de la persona procesada y por medio de resolución motivada del tribunal competente.</w:t>
      </w:r>
    </w:p>
    <w:p w14:paraId="12A34F74" w14:textId="54CD2DCD" w:rsidR="007B0B9C" w:rsidRDefault="007B0B9C" w:rsidP="007B0B9C">
      <w:pPr>
        <w:pStyle w:val="Prrafodelista"/>
        <w:tabs>
          <w:tab w:val="left" w:pos="720"/>
        </w:tabs>
        <w:autoSpaceDE w:val="0"/>
        <w:autoSpaceDN w:val="0"/>
        <w:adjustRightInd w:val="0"/>
        <w:spacing w:before="120" w:after="120" w:line="240" w:lineRule="auto"/>
        <w:ind w:left="709" w:right="713"/>
        <w:contextualSpacing w:val="0"/>
        <w:jc w:val="both"/>
        <w:rPr>
          <w:rFonts w:ascii="Verdana" w:hAnsi="Verdana"/>
          <w:sz w:val="16"/>
          <w:szCs w:val="16"/>
        </w:rPr>
      </w:pPr>
      <w:r>
        <w:rPr>
          <w:rFonts w:ascii="Verdana" w:hAnsi="Verdana"/>
          <w:sz w:val="16"/>
          <w:szCs w:val="16"/>
        </w:rPr>
        <w:t>El monto de la reparación civil determinado en el proceso, será acorde a la capacidad económica y sin afectar el proyecto de vida de la persona condenada y su familia, sin perjuicio de los beneficios del Programa Nacional de Reparaciones</w:t>
      </w:r>
      <w:r w:rsidR="002A0437">
        <w:rPr>
          <w:rFonts w:ascii="Verdana" w:hAnsi="Verdana"/>
          <w:sz w:val="16"/>
          <w:szCs w:val="16"/>
        </w:rPr>
        <w:t xml:space="preserve"> de Víctimas y sin que exceda del veinte por ciento del patrimonio líquido del condenado.</w:t>
      </w:r>
    </w:p>
    <w:p w14:paraId="5E62EC49" w14:textId="315C80D1" w:rsidR="002A0437" w:rsidRDefault="002A0437" w:rsidP="007B0B9C">
      <w:pPr>
        <w:pStyle w:val="Prrafodelista"/>
        <w:tabs>
          <w:tab w:val="left" w:pos="720"/>
        </w:tabs>
        <w:autoSpaceDE w:val="0"/>
        <w:autoSpaceDN w:val="0"/>
        <w:adjustRightInd w:val="0"/>
        <w:spacing w:before="120" w:after="120" w:line="240" w:lineRule="auto"/>
        <w:ind w:left="709" w:right="713"/>
        <w:contextualSpacing w:val="0"/>
        <w:jc w:val="both"/>
        <w:rPr>
          <w:rFonts w:ascii="Verdana" w:hAnsi="Verdana"/>
          <w:sz w:val="16"/>
          <w:szCs w:val="16"/>
        </w:rPr>
      </w:pPr>
      <w:r>
        <w:rPr>
          <w:rFonts w:ascii="Verdana" w:hAnsi="Verdana"/>
          <w:sz w:val="16"/>
          <w:szCs w:val="16"/>
        </w:rPr>
        <w:t>En el caso de las personas mayores de sesenta y cinco años, la autoridad judicial competente, aplicará mecanismos especiales para el cumplimiento de la pena de trabajos de utilidad pública.</w:t>
      </w:r>
    </w:p>
    <w:p w14:paraId="44C6A505" w14:textId="13A781DD" w:rsidR="002A0437" w:rsidRDefault="002A0437" w:rsidP="007B0B9C">
      <w:pPr>
        <w:pStyle w:val="Prrafodelista"/>
        <w:tabs>
          <w:tab w:val="left" w:pos="720"/>
        </w:tabs>
        <w:autoSpaceDE w:val="0"/>
        <w:autoSpaceDN w:val="0"/>
        <w:adjustRightInd w:val="0"/>
        <w:spacing w:before="120" w:after="120" w:line="240" w:lineRule="auto"/>
        <w:ind w:left="709" w:right="713"/>
        <w:contextualSpacing w:val="0"/>
        <w:jc w:val="both"/>
        <w:rPr>
          <w:rFonts w:ascii="Verdana" w:hAnsi="Verdana"/>
          <w:i/>
          <w:sz w:val="16"/>
          <w:szCs w:val="16"/>
        </w:rPr>
      </w:pPr>
      <w:r>
        <w:rPr>
          <w:rFonts w:ascii="Verdana" w:hAnsi="Verdana"/>
          <w:sz w:val="16"/>
          <w:szCs w:val="16"/>
        </w:rPr>
        <w:t>Las personas con padecimientos médicos terminales, clínicamente comprobados, serán eximidas del cumplimiento de pena alguna; y en caso de enfermedades crónicas o degenerativas, clínicamente comprobadas, en ningún caso se les podrá aplicar pena de cárcel.</w:t>
      </w:r>
      <w:r w:rsidR="00D63311">
        <w:rPr>
          <w:rFonts w:ascii="Verdana" w:hAnsi="Verdana"/>
          <w:sz w:val="16"/>
          <w:szCs w:val="16"/>
        </w:rPr>
        <w:t xml:space="preserve"> </w:t>
      </w:r>
      <w:r w:rsidR="00D63311">
        <w:rPr>
          <w:rFonts w:ascii="Verdana" w:hAnsi="Verdana"/>
          <w:i/>
          <w:sz w:val="16"/>
          <w:szCs w:val="16"/>
        </w:rPr>
        <w:t>(Énfasis añadido)</w:t>
      </w:r>
    </w:p>
    <w:p w14:paraId="3935E3DD" w14:textId="77777777" w:rsidR="00F03A4C" w:rsidRPr="00D63311" w:rsidRDefault="00F03A4C" w:rsidP="007B0B9C">
      <w:pPr>
        <w:pStyle w:val="Prrafodelista"/>
        <w:tabs>
          <w:tab w:val="left" w:pos="720"/>
        </w:tabs>
        <w:autoSpaceDE w:val="0"/>
        <w:autoSpaceDN w:val="0"/>
        <w:adjustRightInd w:val="0"/>
        <w:spacing w:before="120" w:after="120" w:line="240" w:lineRule="auto"/>
        <w:ind w:left="709" w:right="713"/>
        <w:contextualSpacing w:val="0"/>
        <w:jc w:val="both"/>
        <w:rPr>
          <w:rFonts w:ascii="Verdana" w:hAnsi="Verdana"/>
          <w:i/>
          <w:sz w:val="16"/>
          <w:szCs w:val="16"/>
        </w:rPr>
      </w:pPr>
    </w:p>
    <w:p w14:paraId="40464729" w14:textId="04879B7E" w:rsidR="002104DD" w:rsidRPr="00B6556B" w:rsidRDefault="005D64F5" w:rsidP="00B32A5F">
      <w:pPr>
        <w:pStyle w:val="Prrafodelista"/>
        <w:numPr>
          <w:ilvl w:val="0"/>
          <w:numId w:val="35"/>
        </w:numPr>
        <w:tabs>
          <w:tab w:val="left" w:pos="0"/>
        </w:tabs>
        <w:autoSpaceDE w:val="0"/>
        <w:autoSpaceDN w:val="0"/>
        <w:adjustRightInd w:val="0"/>
        <w:spacing w:before="120" w:after="120" w:line="240" w:lineRule="auto"/>
        <w:ind w:left="0" w:right="99" w:firstLine="0"/>
        <w:contextualSpacing w:val="0"/>
        <w:jc w:val="both"/>
        <w:rPr>
          <w:rFonts w:ascii="Verdana" w:hAnsi="Verdana"/>
          <w:sz w:val="20"/>
          <w:szCs w:val="20"/>
        </w:rPr>
      </w:pPr>
      <w:r w:rsidRPr="00B6556B">
        <w:rPr>
          <w:rFonts w:ascii="Verdana" w:hAnsi="Verdana"/>
          <w:sz w:val="20"/>
          <w:szCs w:val="20"/>
        </w:rPr>
        <w:t>La Corte Interamericana se ha referido a la importancia del principio de proporcionalidad, tanto en la fijación de la pena como en su ejecución</w:t>
      </w:r>
      <w:r w:rsidR="008C77B1" w:rsidRPr="00B6556B">
        <w:rPr>
          <w:rStyle w:val="Refdenotaalpie"/>
          <w:rFonts w:ascii="Verdana" w:hAnsi="Verdana"/>
          <w:sz w:val="20"/>
          <w:szCs w:val="20"/>
        </w:rPr>
        <w:footnoteReference w:id="36"/>
      </w:r>
      <w:r w:rsidRPr="00B6556B">
        <w:rPr>
          <w:rFonts w:ascii="Verdana" w:hAnsi="Verdana"/>
          <w:sz w:val="20"/>
          <w:szCs w:val="20"/>
        </w:rPr>
        <w:t xml:space="preserve">. </w:t>
      </w:r>
      <w:r w:rsidR="002104DD" w:rsidRPr="00B6556B">
        <w:rPr>
          <w:rFonts w:ascii="Verdana" w:hAnsi="Verdana"/>
          <w:sz w:val="20"/>
          <w:szCs w:val="20"/>
        </w:rPr>
        <w:t>Asimismo, el Tribunal ha sostenido de manera constante que la ejecución de la sentencia es parte integrante del derecho de acceso a la justicia de las víctimas de graves violaciones a los derechos humanos y sus familiares</w:t>
      </w:r>
      <w:r w:rsidR="002104DD" w:rsidRPr="00B6556B">
        <w:rPr>
          <w:rStyle w:val="Refdenotaalpie"/>
          <w:rFonts w:ascii="Verdana" w:hAnsi="Verdana"/>
          <w:sz w:val="20"/>
          <w:szCs w:val="20"/>
        </w:rPr>
        <w:footnoteReference w:id="37"/>
      </w:r>
      <w:r w:rsidR="002104DD" w:rsidRPr="00B6556B">
        <w:rPr>
          <w:rFonts w:ascii="Verdana" w:hAnsi="Verdana"/>
          <w:sz w:val="20"/>
          <w:szCs w:val="20"/>
        </w:rPr>
        <w:t>.</w:t>
      </w:r>
    </w:p>
    <w:p w14:paraId="2B645776" w14:textId="1538A39B" w:rsidR="005D64F5" w:rsidRPr="00785FE8" w:rsidRDefault="00785FE8" w:rsidP="00B32A5F">
      <w:pPr>
        <w:pStyle w:val="Prrafodelista"/>
        <w:numPr>
          <w:ilvl w:val="0"/>
          <w:numId w:val="35"/>
        </w:numPr>
        <w:tabs>
          <w:tab w:val="left" w:pos="0"/>
        </w:tabs>
        <w:autoSpaceDE w:val="0"/>
        <w:autoSpaceDN w:val="0"/>
        <w:adjustRightInd w:val="0"/>
        <w:spacing w:before="120" w:after="120" w:line="240" w:lineRule="auto"/>
        <w:ind w:left="0" w:right="99" w:firstLine="0"/>
        <w:contextualSpacing w:val="0"/>
        <w:jc w:val="both"/>
        <w:rPr>
          <w:rFonts w:ascii="Verdana" w:hAnsi="Verdana"/>
          <w:sz w:val="20"/>
          <w:szCs w:val="20"/>
        </w:rPr>
      </w:pPr>
      <w:r w:rsidRPr="00B6556B">
        <w:rPr>
          <w:rFonts w:ascii="Verdana" w:hAnsi="Verdana"/>
          <w:sz w:val="20"/>
          <w:szCs w:val="20"/>
        </w:rPr>
        <w:t>En cuanto al referido principio de proporcionalidad de la pena</w:t>
      </w:r>
      <w:r w:rsidR="00A31BF9">
        <w:rPr>
          <w:rFonts w:ascii="Verdana" w:hAnsi="Verdana"/>
          <w:sz w:val="20"/>
          <w:szCs w:val="20"/>
        </w:rPr>
        <w:t>,</w:t>
      </w:r>
      <w:r w:rsidRPr="00B6556B">
        <w:rPr>
          <w:rFonts w:ascii="Verdana" w:hAnsi="Verdana"/>
          <w:sz w:val="20"/>
          <w:szCs w:val="20"/>
        </w:rPr>
        <w:t xml:space="preserve"> la Corte ha resaltado que </w:t>
      </w:r>
      <w:r w:rsidR="005D64F5" w:rsidRPr="00B6556B">
        <w:rPr>
          <w:rFonts w:ascii="Verdana" w:hAnsi="Verdana"/>
          <w:sz w:val="20"/>
          <w:szCs w:val="20"/>
        </w:rPr>
        <w:t>la respuesta que el Estado atribuye a la conducta ilícita del autor de la transgresión debe ser proporcional al bien jurídico afectado y a la culpabilidad con la que actuó el autor, por lo que se debe establecer en función de la diversa naturaleza y gravedad de los hechos</w:t>
      </w:r>
      <w:r w:rsidR="005D64F5" w:rsidRPr="00B6556B">
        <w:rPr>
          <w:rFonts w:ascii="Verdana" w:hAnsi="Verdana"/>
          <w:sz w:val="20"/>
          <w:szCs w:val="20"/>
          <w:vertAlign w:val="superscript"/>
        </w:rPr>
        <w:footnoteReference w:id="38"/>
      </w:r>
      <w:r w:rsidR="005D64F5" w:rsidRPr="00B6556B">
        <w:rPr>
          <w:rFonts w:ascii="Verdana" w:hAnsi="Verdana"/>
          <w:sz w:val="20"/>
          <w:szCs w:val="20"/>
        </w:rPr>
        <w:t>.</w:t>
      </w:r>
      <w:r w:rsidR="005D64F5" w:rsidRPr="00785FE8">
        <w:rPr>
          <w:rFonts w:ascii="Verdana" w:hAnsi="Verdana"/>
          <w:sz w:val="20"/>
          <w:szCs w:val="20"/>
        </w:rPr>
        <w:t xml:space="preserve"> Asimismo, ha indicado que, “[e]n atención a la regla de proporcionalidad, los Estados deben asegurar, en el ejercicio de su deber de persecución de esas graves violaciones, que las penas impuestas y su ejecución no se constituyan en factores de impunidad, tomando en cuenta varios aspectos como las características del delito y la participación y culpabilidad del acusado”</w:t>
      </w:r>
      <w:r w:rsidR="005D64F5" w:rsidRPr="00785FE8">
        <w:rPr>
          <w:rFonts w:ascii="Verdana" w:hAnsi="Verdana"/>
          <w:sz w:val="20"/>
          <w:szCs w:val="20"/>
          <w:vertAlign w:val="superscript"/>
        </w:rPr>
        <w:footnoteReference w:id="39"/>
      </w:r>
      <w:r w:rsidR="005D64F5" w:rsidRPr="00785FE8">
        <w:rPr>
          <w:rFonts w:ascii="Verdana" w:hAnsi="Verdana"/>
          <w:sz w:val="20"/>
          <w:szCs w:val="20"/>
        </w:rPr>
        <w:t>. Adicionalmente, ha sostenido que “[e]l otorgamiento indebido de […] beneficios puede eventualmente conducir a una forma de impunidad, particularmente cuando se trate de la comisión de violaciones graves de derechos humanos”</w:t>
      </w:r>
      <w:r w:rsidR="005D64F5" w:rsidRPr="00785FE8">
        <w:rPr>
          <w:rStyle w:val="Refdenotaalpie"/>
          <w:rFonts w:ascii="Verdana" w:hAnsi="Verdana"/>
          <w:sz w:val="20"/>
          <w:szCs w:val="20"/>
        </w:rPr>
        <w:footnoteReference w:id="40"/>
      </w:r>
      <w:r w:rsidR="005D64F5" w:rsidRPr="00785FE8">
        <w:rPr>
          <w:rFonts w:ascii="Verdana" w:hAnsi="Verdana"/>
          <w:sz w:val="20"/>
          <w:szCs w:val="20"/>
        </w:rPr>
        <w:t xml:space="preserve">. </w:t>
      </w:r>
      <w:r w:rsidRPr="00785FE8">
        <w:rPr>
          <w:rFonts w:ascii="Verdana" w:hAnsi="Verdana"/>
          <w:sz w:val="20"/>
          <w:szCs w:val="20"/>
        </w:rPr>
        <w:t xml:space="preserve"> </w:t>
      </w:r>
    </w:p>
    <w:p w14:paraId="1EF1009B" w14:textId="0AAB6681" w:rsidR="00BE18CD" w:rsidRDefault="00785FE8" w:rsidP="00972211">
      <w:pPr>
        <w:pStyle w:val="Prrafodelista"/>
        <w:numPr>
          <w:ilvl w:val="0"/>
          <w:numId w:val="35"/>
        </w:numPr>
        <w:tabs>
          <w:tab w:val="left" w:pos="0"/>
        </w:tabs>
        <w:autoSpaceDE w:val="0"/>
        <w:autoSpaceDN w:val="0"/>
        <w:adjustRightInd w:val="0"/>
        <w:spacing w:before="120" w:after="120" w:line="240" w:lineRule="auto"/>
        <w:ind w:left="0" w:right="99" w:firstLine="0"/>
        <w:contextualSpacing w:val="0"/>
        <w:jc w:val="both"/>
        <w:rPr>
          <w:rFonts w:ascii="Verdana" w:hAnsi="Verdana"/>
          <w:sz w:val="20"/>
          <w:szCs w:val="20"/>
        </w:rPr>
      </w:pPr>
      <w:r w:rsidRPr="000C01D8">
        <w:rPr>
          <w:rFonts w:ascii="Verdana" w:hAnsi="Verdana"/>
          <w:sz w:val="20"/>
          <w:szCs w:val="20"/>
        </w:rPr>
        <w:lastRenderedPageBreak/>
        <w:t>Aun en el supuesto de que en el ordenamiento interno salvadoreño se contemplen penas adecuadas para los delitos que tipifican hechos constitutivos de graves violaciones a derechos humanos, el referido artículo del proyecto de ley supondría que la sentencia penal condenatoria nunca se cumpliría “en los términos en que sea decretada”</w:t>
      </w:r>
      <w:r w:rsidRPr="000C01D8">
        <w:rPr>
          <w:rStyle w:val="Refdenotaalpie"/>
          <w:rFonts w:ascii="Verdana" w:hAnsi="Verdana"/>
          <w:sz w:val="20"/>
          <w:szCs w:val="20"/>
        </w:rPr>
        <w:footnoteReference w:id="41"/>
      </w:r>
      <w:r w:rsidRPr="000C01D8">
        <w:rPr>
          <w:rFonts w:ascii="Verdana" w:hAnsi="Verdana"/>
          <w:sz w:val="20"/>
          <w:szCs w:val="20"/>
        </w:rPr>
        <w:t xml:space="preserve">, ya que en la práctica, </w:t>
      </w:r>
      <w:r w:rsidR="005D64F5" w:rsidRPr="000C01D8">
        <w:rPr>
          <w:rFonts w:ascii="Verdana" w:hAnsi="Verdana"/>
          <w:sz w:val="20"/>
          <w:szCs w:val="20"/>
        </w:rPr>
        <w:t xml:space="preserve">todos aquellos </w:t>
      </w:r>
      <w:r w:rsidR="003C10DF" w:rsidRPr="000C01D8">
        <w:rPr>
          <w:rFonts w:ascii="Verdana" w:hAnsi="Verdana"/>
          <w:sz w:val="20"/>
          <w:szCs w:val="20"/>
        </w:rPr>
        <w:t>condenados</w:t>
      </w:r>
      <w:r w:rsidRPr="000C01D8">
        <w:rPr>
          <w:rFonts w:ascii="Verdana" w:hAnsi="Verdana"/>
          <w:sz w:val="20"/>
          <w:szCs w:val="20"/>
        </w:rPr>
        <w:t xml:space="preserve"> a penas de</w:t>
      </w:r>
      <w:r w:rsidR="003C10DF" w:rsidRPr="000C01D8">
        <w:rPr>
          <w:rFonts w:ascii="Verdana" w:hAnsi="Verdana"/>
          <w:sz w:val="20"/>
          <w:szCs w:val="20"/>
        </w:rPr>
        <w:t xml:space="preserve"> </w:t>
      </w:r>
      <w:r w:rsidRPr="000C01D8">
        <w:rPr>
          <w:rFonts w:ascii="Verdana" w:hAnsi="Verdana"/>
          <w:sz w:val="20"/>
          <w:szCs w:val="20"/>
        </w:rPr>
        <w:t>hasta</w:t>
      </w:r>
      <w:r w:rsidR="003C10DF" w:rsidRPr="000C01D8">
        <w:rPr>
          <w:rFonts w:ascii="Verdana" w:hAnsi="Verdana"/>
          <w:sz w:val="20"/>
          <w:szCs w:val="20"/>
        </w:rPr>
        <w:t xml:space="preserve"> de diez años, no </w:t>
      </w:r>
      <w:r w:rsidRPr="000C01D8">
        <w:rPr>
          <w:rFonts w:ascii="Verdana" w:hAnsi="Verdana"/>
          <w:sz w:val="20"/>
          <w:szCs w:val="20"/>
        </w:rPr>
        <w:t>cumplirán</w:t>
      </w:r>
      <w:r w:rsidR="003C10DF" w:rsidRPr="000C01D8">
        <w:rPr>
          <w:rFonts w:ascii="Verdana" w:hAnsi="Verdana"/>
          <w:sz w:val="20"/>
          <w:szCs w:val="20"/>
        </w:rPr>
        <w:t xml:space="preserve"> sanción penal alguna debido a la “suspensión” </w:t>
      </w:r>
      <w:r w:rsidR="003C1F92">
        <w:rPr>
          <w:rFonts w:ascii="Verdana" w:hAnsi="Verdana"/>
          <w:sz w:val="20"/>
          <w:szCs w:val="20"/>
        </w:rPr>
        <w:t xml:space="preserve">de oficio </w:t>
      </w:r>
      <w:r w:rsidR="003C10DF" w:rsidRPr="000C01D8">
        <w:rPr>
          <w:rFonts w:ascii="Verdana" w:hAnsi="Verdana"/>
          <w:sz w:val="20"/>
          <w:szCs w:val="20"/>
        </w:rPr>
        <w:t xml:space="preserve">de la misma, y aquellos condenados a más de </w:t>
      </w:r>
      <w:r w:rsidRPr="000C01D8">
        <w:rPr>
          <w:rFonts w:ascii="Verdana" w:hAnsi="Verdana"/>
          <w:sz w:val="20"/>
          <w:szCs w:val="20"/>
        </w:rPr>
        <w:t>diez</w:t>
      </w:r>
      <w:r w:rsidR="00F96002" w:rsidRPr="000C01D8">
        <w:rPr>
          <w:rFonts w:ascii="Verdana" w:hAnsi="Verdana"/>
          <w:sz w:val="20"/>
          <w:szCs w:val="20"/>
        </w:rPr>
        <w:t xml:space="preserve"> </w:t>
      </w:r>
      <w:r w:rsidR="003C10DF" w:rsidRPr="000C01D8">
        <w:rPr>
          <w:rFonts w:ascii="Verdana" w:hAnsi="Verdana"/>
          <w:sz w:val="20"/>
          <w:szCs w:val="20"/>
        </w:rPr>
        <w:t>años</w:t>
      </w:r>
      <w:r w:rsidR="00F96002" w:rsidRPr="000C01D8">
        <w:rPr>
          <w:rFonts w:ascii="Verdana" w:hAnsi="Verdana"/>
          <w:sz w:val="20"/>
          <w:szCs w:val="20"/>
        </w:rPr>
        <w:t xml:space="preserve"> </w:t>
      </w:r>
      <w:r w:rsidRPr="000C01D8">
        <w:rPr>
          <w:rFonts w:ascii="Verdana" w:hAnsi="Verdana"/>
          <w:sz w:val="20"/>
          <w:szCs w:val="20"/>
        </w:rPr>
        <w:t xml:space="preserve">de prisión, </w:t>
      </w:r>
      <w:r w:rsidR="00D05812">
        <w:rPr>
          <w:rFonts w:ascii="Verdana" w:hAnsi="Verdana"/>
          <w:sz w:val="20"/>
          <w:szCs w:val="20"/>
        </w:rPr>
        <w:t>les será sustituida</w:t>
      </w:r>
      <w:r w:rsidR="003C1F92">
        <w:rPr>
          <w:rFonts w:ascii="Verdana" w:hAnsi="Verdana"/>
          <w:sz w:val="20"/>
          <w:szCs w:val="20"/>
        </w:rPr>
        <w:t xml:space="preserve"> de oficio</w:t>
      </w:r>
      <w:r w:rsidR="00D05812">
        <w:rPr>
          <w:rFonts w:ascii="Verdana" w:hAnsi="Verdana"/>
          <w:sz w:val="20"/>
          <w:szCs w:val="20"/>
        </w:rPr>
        <w:t xml:space="preserve"> la pena por la </w:t>
      </w:r>
      <w:r w:rsidR="00F96002" w:rsidRPr="000C01D8">
        <w:rPr>
          <w:rFonts w:ascii="Verdana" w:hAnsi="Verdana"/>
          <w:sz w:val="20"/>
          <w:szCs w:val="20"/>
        </w:rPr>
        <w:t>“prestación de trabajo de utilidad p</w:t>
      </w:r>
      <w:r w:rsidR="009752D4" w:rsidRPr="000C01D8">
        <w:rPr>
          <w:rFonts w:ascii="Verdana" w:hAnsi="Verdana"/>
          <w:sz w:val="20"/>
          <w:szCs w:val="20"/>
        </w:rPr>
        <w:t>ública” de entre tres y diez años</w:t>
      </w:r>
      <w:r w:rsidR="00F96002" w:rsidRPr="000C01D8">
        <w:rPr>
          <w:rFonts w:ascii="Verdana" w:hAnsi="Verdana"/>
          <w:sz w:val="20"/>
          <w:szCs w:val="20"/>
        </w:rPr>
        <w:t xml:space="preserve">. Esta Presidencia </w:t>
      </w:r>
      <w:r w:rsidR="009752D4" w:rsidRPr="000C01D8">
        <w:rPr>
          <w:rFonts w:ascii="Verdana" w:hAnsi="Verdana"/>
          <w:sz w:val="20"/>
          <w:szCs w:val="20"/>
        </w:rPr>
        <w:t xml:space="preserve">recuerda que la imposición de una pena </w:t>
      </w:r>
      <w:r w:rsidR="002617CF">
        <w:rPr>
          <w:rFonts w:ascii="Verdana" w:hAnsi="Verdana"/>
          <w:sz w:val="20"/>
          <w:szCs w:val="20"/>
        </w:rPr>
        <w:t>proporcional</w:t>
      </w:r>
      <w:r w:rsidR="009752D4" w:rsidRPr="000C01D8">
        <w:rPr>
          <w:rFonts w:ascii="Verdana" w:hAnsi="Verdana"/>
          <w:sz w:val="20"/>
          <w:szCs w:val="20"/>
        </w:rPr>
        <w:t xml:space="preserve"> en función de la gravedad de los hechos, por la autoridad competente y con el debido fundamento, permite verificar que no sea arbitraria y controlar así que no se erija en una forma </w:t>
      </w:r>
      <w:r w:rsidR="009752D4" w:rsidRPr="00155FD1">
        <w:rPr>
          <w:rFonts w:ascii="Verdana" w:hAnsi="Verdana"/>
          <w:sz w:val="20"/>
          <w:szCs w:val="20"/>
        </w:rPr>
        <w:t xml:space="preserve">de impunidad </w:t>
      </w:r>
      <w:r w:rsidR="009752D4" w:rsidRPr="00155FD1">
        <w:rPr>
          <w:rFonts w:ascii="Verdana" w:hAnsi="Verdana"/>
          <w:i/>
          <w:sz w:val="20"/>
          <w:szCs w:val="20"/>
        </w:rPr>
        <w:t>de facto</w:t>
      </w:r>
      <w:r w:rsidR="009752D4" w:rsidRPr="00054A87">
        <w:rPr>
          <w:rStyle w:val="Refdenotaalpie"/>
          <w:rFonts w:ascii="Verdana" w:hAnsi="Verdana"/>
          <w:sz w:val="20"/>
          <w:szCs w:val="20"/>
        </w:rPr>
        <w:footnoteReference w:id="42"/>
      </w:r>
      <w:r w:rsidR="009752D4" w:rsidRPr="00155FD1">
        <w:rPr>
          <w:rFonts w:ascii="Verdana" w:hAnsi="Verdana"/>
          <w:i/>
          <w:sz w:val="20"/>
          <w:szCs w:val="20"/>
        </w:rPr>
        <w:t>.</w:t>
      </w:r>
      <w:r w:rsidR="000C01D8" w:rsidRPr="00155FD1">
        <w:rPr>
          <w:rFonts w:ascii="Verdana" w:hAnsi="Verdana"/>
          <w:i/>
          <w:sz w:val="20"/>
          <w:szCs w:val="20"/>
        </w:rPr>
        <w:t xml:space="preserve"> </w:t>
      </w:r>
      <w:r w:rsidR="000C01D8" w:rsidRPr="00155FD1">
        <w:rPr>
          <w:rFonts w:ascii="Verdana" w:hAnsi="Verdana"/>
          <w:sz w:val="20"/>
          <w:szCs w:val="20"/>
        </w:rPr>
        <w:t>Por tanto, esta Presidencia</w:t>
      </w:r>
      <w:r w:rsidR="000C01D8" w:rsidRPr="00155FD1">
        <w:rPr>
          <w:rFonts w:ascii="Verdana" w:hAnsi="Verdana"/>
          <w:i/>
          <w:sz w:val="20"/>
          <w:szCs w:val="20"/>
        </w:rPr>
        <w:t xml:space="preserve"> </w:t>
      </w:r>
      <w:r w:rsidR="00F96002" w:rsidRPr="00155FD1">
        <w:rPr>
          <w:rFonts w:ascii="Verdana" w:hAnsi="Verdana"/>
          <w:sz w:val="20"/>
          <w:szCs w:val="20"/>
        </w:rPr>
        <w:t>encuentra que</w:t>
      </w:r>
      <w:r w:rsidR="009752D4" w:rsidRPr="00155FD1">
        <w:rPr>
          <w:rFonts w:ascii="Verdana" w:hAnsi="Verdana"/>
          <w:sz w:val="20"/>
          <w:szCs w:val="20"/>
        </w:rPr>
        <w:t xml:space="preserve"> </w:t>
      </w:r>
      <w:r w:rsidR="00F96002" w:rsidRPr="00155FD1">
        <w:rPr>
          <w:rFonts w:ascii="Verdana" w:hAnsi="Verdana"/>
          <w:sz w:val="20"/>
          <w:szCs w:val="20"/>
        </w:rPr>
        <w:t xml:space="preserve">existe una evidente </w:t>
      </w:r>
      <w:r w:rsidR="00186D8B" w:rsidRPr="00155FD1">
        <w:rPr>
          <w:rFonts w:ascii="Verdana" w:hAnsi="Verdana"/>
          <w:sz w:val="20"/>
          <w:szCs w:val="20"/>
        </w:rPr>
        <w:t xml:space="preserve">e infundada </w:t>
      </w:r>
      <w:r w:rsidR="00F96002" w:rsidRPr="00155FD1">
        <w:rPr>
          <w:rFonts w:ascii="Verdana" w:hAnsi="Verdana"/>
          <w:sz w:val="20"/>
          <w:szCs w:val="20"/>
        </w:rPr>
        <w:t xml:space="preserve">desproporción entre la </w:t>
      </w:r>
      <w:r w:rsidR="00D05812" w:rsidRPr="00155FD1">
        <w:rPr>
          <w:rFonts w:ascii="Verdana" w:hAnsi="Verdana"/>
          <w:sz w:val="20"/>
          <w:szCs w:val="20"/>
        </w:rPr>
        <w:t>suspensión o sustitución de</w:t>
      </w:r>
      <w:r w:rsidR="00F96002" w:rsidRPr="00155FD1">
        <w:rPr>
          <w:rFonts w:ascii="Verdana" w:hAnsi="Verdana"/>
          <w:sz w:val="20"/>
          <w:szCs w:val="20"/>
        </w:rPr>
        <w:t xml:space="preserve"> </w:t>
      </w:r>
      <w:r w:rsidR="00D05812" w:rsidRPr="00155FD1">
        <w:rPr>
          <w:rFonts w:ascii="Verdana" w:hAnsi="Verdana"/>
          <w:sz w:val="20"/>
          <w:szCs w:val="20"/>
        </w:rPr>
        <w:t xml:space="preserve">la sanción </w:t>
      </w:r>
      <w:r w:rsidR="00F96002" w:rsidRPr="00155FD1">
        <w:rPr>
          <w:rFonts w:ascii="Verdana" w:hAnsi="Verdana"/>
          <w:sz w:val="20"/>
          <w:szCs w:val="20"/>
        </w:rPr>
        <w:t>penal</w:t>
      </w:r>
      <w:r w:rsidR="00D05812" w:rsidRPr="00155FD1">
        <w:rPr>
          <w:rFonts w:ascii="Verdana" w:hAnsi="Verdana"/>
          <w:sz w:val="20"/>
          <w:szCs w:val="20"/>
        </w:rPr>
        <w:t xml:space="preserve"> impuesta</w:t>
      </w:r>
      <w:r w:rsidR="00F96002" w:rsidRPr="00155FD1">
        <w:rPr>
          <w:rFonts w:ascii="Verdana" w:hAnsi="Verdana"/>
          <w:sz w:val="20"/>
          <w:szCs w:val="20"/>
        </w:rPr>
        <w:t xml:space="preserve"> </w:t>
      </w:r>
      <w:r w:rsidR="000C01D8" w:rsidRPr="00155FD1">
        <w:rPr>
          <w:rFonts w:ascii="Verdana" w:hAnsi="Verdana"/>
          <w:sz w:val="20"/>
          <w:szCs w:val="20"/>
        </w:rPr>
        <w:t xml:space="preserve">que propone el proyecto de ley </w:t>
      </w:r>
      <w:r w:rsidR="00F96002" w:rsidRPr="00155FD1">
        <w:rPr>
          <w:rFonts w:ascii="Verdana" w:hAnsi="Verdana"/>
          <w:sz w:val="20"/>
          <w:szCs w:val="20"/>
        </w:rPr>
        <w:t>y los bienes jurídicos afectados en los casos de graves violaciones a derechos humanos.</w:t>
      </w:r>
      <w:r w:rsidR="00ED645D" w:rsidRPr="00155FD1">
        <w:rPr>
          <w:rFonts w:ascii="Verdana" w:hAnsi="Verdana"/>
          <w:sz w:val="20"/>
          <w:szCs w:val="20"/>
        </w:rPr>
        <w:t xml:space="preserve"> </w:t>
      </w:r>
      <w:r w:rsidR="00D05812" w:rsidRPr="00155FD1">
        <w:rPr>
          <w:rFonts w:ascii="Verdana" w:hAnsi="Verdana"/>
          <w:sz w:val="20"/>
          <w:szCs w:val="20"/>
        </w:rPr>
        <w:t xml:space="preserve">Asimismo, </w:t>
      </w:r>
      <w:r w:rsidR="00D502FB" w:rsidRPr="00155FD1">
        <w:rPr>
          <w:rFonts w:ascii="Verdana" w:hAnsi="Verdana"/>
          <w:sz w:val="20"/>
          <w:szCs w:val="20"/>
        </w:rPr>
        <w:t xml:space="preserve">en contradicción con lo dispuesto en el artículo 11 del proyecto de ley, relativo a “beneficios penales”, el artículo 12 establece que </w:t>
      </w:r>
      <w:r w:rsidR="00D05812" w:rsidRPr="00155FD1">
        <w:rPr>
          <w:rFonts w:ascii="Verdana" w:hAnsi="Verdana"/>
          <w:sz w:val="20"/>
          <w:szCs w:val="20"/>
        </w:rPr>
        <w:t xml:space="preserve">dicha suspensión o sustitución </w:t>
      </w:r>
      <w:r w:rsidR="00D502FB" w:rsidRPr="00155FD1">
        <w:rPr>
          <w:rFonts w:ascii="Verdana" w:hAnsi="Verdana"/>
          <w:sz w:val="20"/>
          <w:szCs w:val="20"/>
        </w:rPr>
        <w:t xml:space="preserve">en las penas privativas de libertad </w:t>
      </w:r>
      <w:r w:rsidR="00D05812" w:rsidRPr="00155FD1">
        <w:rPr>
          <w:rFonts w:ascii="Verdana" w:hAnsi="Verdana"/>
          <w:sz w:val="20"/>
          <w:szCs w:val="20"/>
        </w:rPr>
        <w:t>se realizaría de oficio</w:t>
      </w:r>
      <w:r w:rsidR="00D502FB" w:rsidRPr="00155FD1">
        <w:rPr>
          <w:rFonts w:ascii="Verdana" w:hAnsi="Verdana"/>
          <w:sz w:val="20"/>
          <w:szCs w:val="20"/>
        </w:rPr>
        <w:t xml:space="preserve"> por el juez de la causa</w:t>
      </w:r>
      <w:r w:rsidR="00D05812" w:rsidRPr="00155FD1">
        <w:rPr>
          <w:rFonts w:ascii="Verdana" w:hAnsi="Verdana"/>
          <w:sz w:val="20"/>
          <w:szCs w:val="20"/>
        </w:rPr>
        <w:t xml:space="preserve">, sin que </w:t>
      </w:r>
      <w:r w:rsidR="00D502FB" w:rsidRPr="00155FD1">
        <w:rPr>
          <w:rFonts w:ascii="Verdana" w:hAnsi="Verdana"/>
          <w:sz w:val="20"/>
          <w:szCs w:val="20"/>
        </w:rPr>
        <w:t>éste último pueda realizar ningún tipo de valoración sobre</w:t>
      </w:r>
      <w:r w:rsidR="00D05812" w:rsidRPr="00155FD1">
        <w:rPr>
          <w:rFonts w:ascii="Verdana" w:hAnsi="Verdana"/>
          <w:sz w:val="20"/>
          <w:szCs w:val="20"/>
        </w:rPr>
        <w:t xml:space="preserve"> otros aspectos tales como</w:t>
      </w:r>
      <w:r w:rsidR="00D502FB" w:rsidRPr="00155FD1">
        <w:rPr>
          <w:rFonts w:ascii="Verdana" w:hAnsi="Verdana"/>
          <w:sz w:val="20"/>
          <w:szCs w:val="20"/>
        </w:rPr>
        <w:t>:</w:t>
      </w:r>
      <w:r w:rsidR="00D05812" w:rsidRPr="00155FD1">
        <w:rPr>
          <w:rFonts w:ascii="Verdana" w:hAnsi="Verdana"/>
          <w:sz w:val="20"/>
          <w:szCs w:val="20"/>
        </w:rPr>
        <w:t xml:space="preserve"> </w:t>
      </w:r>
      <w:r w:rsidR="00D502FB" w:rsidRPr="00155FD1">
        <w:rPr>
          <w:rFonts w:ascii="Verdana" w:hAnsi="Verdana"/>
          <w:sz w:val="20"/>
          <w:szCs w:val="20"/>
        </w:rPr>
        <w:t>la colaboración o conducta del condenado respecto al esclarecimiento de la verdad</w:t>
      </w:r>
      <w:r w:rsidR="00054A87">
        <w:rPr>
          <w:rFonts w:ascii="Verdana" w:hAnsi="Verdana"/>
          <w:sz w:val="20"/>
          <w:szCs w:val="20"/>
        </w:rPr>
        <w:t xml:space="preserve"> de los hechos y con la justicia</w:t>
      </w:r>
      <w:r w:rsidR="00D502FB" w:rsidRPr="00155FD1">
        <w:rPr>
          <w:rFonts w:ascii="Verdana" w:hAnsi="Verdana"/>
          <w:sz w:val="20"/>
          <w:szCs w:val="20"/>
        </w:rPr>
        <w:t>; la no obstaculización del proceso penal, el reconocimiento de la gravedad de los delitos perpetrados y su rehabilitación</w:t>
      </w:r>
      <w:r w:rsidR="00D05812" w:rsidRPr="00155FD1">
        <w:rPr>
          <w:rFonts w:ascii="Verdana" w:hAnsi="Verdana"/>
          <w:sz w:val="20"/>
          <w:szCs w:val="20"/>
        </w:rPr>
        <w:t xml:space="preserve">, </w:t>
      </w:r>
      <w:r w:rsidR="00D502FB" w:rsidRPr="00155FD1">
        <w:rPr>
          <w:rFonts w:ascii="Verdana" w:hAnsi="Verdana"/>
          <w:sz w:val="20"/>
          <w:szCs w:val="20"/>
        </w:rPr>
        <w:t xml:space="preserve">entre otros, </w:t>
      </w:r>
      <w:r w:rsidR="00D05812" w:rsidRPr="00155FD1">
        <w:rPr>
          <w:rFonts w:ascii="Verdana" w:hAnsi="Verdana"/>
          <w:sz w:val="20"/>
          <w:szCs w:val="20"/>
        </w:rPr>
        <w:t>que ameritarían</w:t>
      </w:r>
      <w:r w:rsidR="00D502FB" w:rsidRPr="00155FD1">
        <w:rPr>
          <w:rFonts w:ascii="Verdana" w:hAnsi="Verdana"/>
          <w:sz w:val="20"/>
          <w:szCs w:val="20"/>
        </w:rPr>
        <w:t xml:space="preserve"> una ponderación de la pena impuesta respecto del bien jurídico lesionado</w:t>
      </w:r>
      <w:r w:rsidR="00D502FB" w:rsidRPr="00155FD1">
        <w:rPr>
          <w:rStyle w:val="Refdenotaalpie"/>
          <w:rFonts w:ascii="Verdana" w:hAnsi="Verdana"/>
          <w:sz w:val="20"/>
          <w:szCs w:val="20"/>
        </w:rPr>
        <w:footnoteReference w:id="43"/>
      </w:r>
      <w:r w:rsidR="00D502FB" w:rsidRPr="00155FD1">
        <w:rPr>
          <w:rFonts w:ascii="Verdana" w:hAnsi="Verdana"/>
          <w:sz w:val="20"/>
          <w:szCs w:val="20"/>
        </w:rPr>
        <w:t>.</w:t>
      </w:r>
    </w:p>
    <w:p w14:paraId="3C3B2252" w14:textId="6D35DB5C" w:rsidR="00BE18CD" w:rsidRPr="00614356" w:rsidRDefault="00F96002" w:rsidP="00BE18CD">
      <w:pPr>
        <w:pStyle w:val="Prrafodelista"/>
        <w:numPr>
          <w:ilvl w:val="0"/>
          <w:numId w:val="35"/>
        </w:numPr>
        <w:tabs>
          <w:tab w:val="left" w:pos="0"/>
        </w:tabs>
        <w:autoSpaceDE w:val="0"/>
        <w:autoSpaceDN w:val="0"/>
        <w:adjustRightInd w:val="0"/>
        <w:spacing w:before="120" w:after="120" w:line="240" w:lineRule="auto"/>
        <w:ind w:left="0" w:right="99" w:firstLine="0"/>
        <w:contextualSpacing w:val="0"/>
        <w:jc w:val="both"/>
        <w:rPr>
          <w:rFonts w:ascii="Verdana" w:hAnsi="Verdana"/>
          <w:sz w:val="20"/>
          <w:szCs w:val="20"/>
        </w:rPr>
      </w:pPr>
      <w:r w:rsidRPr="00614356">
        <w:rPr>
          <w:rFonts w:ascii="Verdana" w:hAnsi="Verdana"/>
          <w:sz w:val="20"/>
          <w:szCs w:val="20"/>
        </w:rPr>
        <w:t xml:space="preserve">Finalmente, en cuanto al argumento de los representantes respecto a que </w:t>
      </w:r>
      <w:r w:rsidR="0094322B" w:rsidRPr="00614356">
        <w:rPr>
          <w:rFonts w:ascii="Verdana" w:hAnsi="Verdana"/>
          <w:sz w:val="20"/>
          <w:szCs w:val="20"/>
        </w:rPr>
        <w:t>el proyecto de ley afecta</w:t>
      </w:r>
      <w:r w:rsidR="00AC4FA3" w:rsidRPr="00614356">
        <w:rPr>
          <w:rFonts w:ascii="Verdana" w:hAnsi="Verdana"/>
          <w:sz w:val="20"/>
          <w:szCs w:val="20"/>
        </w:rPr>
        <w:t>ría</w:t>
      </w:r>
      <w:r w:rsidR="0094322B" w:rsidRPr="00614356">
        <w:rPr>
          <w:rFonts w:ascii="Verdana" w:hAnsi="Verdana"/>
          <w:sz w:val="20"/>
          <w:szCs w:val="20"/>
        </w:rPr>
        <w:t xml:space="preserve"> la garantía del juez natural </w:t>
      </w:r>
      <w:r w:rsidR="00AC4FA3" w:rsidRPr="00614356">
        <w:rPr>
          <w:rFonts w:ascii="Verdana" w:hAnsi="Verdana"/>
          <w:sz w:val="20"/>
          <w:szCs w:val="20"/>
        </w:rPr>
        <w:t xml:space="preserve">en la investigación penal en curso por los hechos de las Masacres de El Mozote y lugares aledaños </w:t>
      </w:r>
      <w:r w:rsidR="0094322B" w:rsidRPr="00614356">
        <w:rPr>
          <w:rFonts w:ascii="Verdana" w:hAnsi="Verdana"/>
          <w:sz w:val="20"/>
          <w:szCs w:val="20"/>
        </w:rPr>
        <w:t>(</w:t>
      </w:r>
      <w:r w:rsidR="0094322B" w:rsidRPr="00614356">
        <w:rPr>
          <w:rFonts w:ascii="Verdana" w:hAnsi="Verdana"/>
          <w:i/>
          <w:sz w:val="20"/>
          <w:szCs w:val="20"/>
        </w:rPr>
        <w:t>supra</w:t>
      </w:r>
      <w:r w:rsidR="0094322B" w:rsidRPr="00614356">
        <w:rPr>
          <w:rFonts w:ascii="Verdana" w:hAnsi="Verdana"/>
          <w:sz w:val="20"/>
          <w:szCs w:val="20"/>
        </w:rPr>
        <w:t xml:space="preserve"> Considerando </w:t>
      </w:r>
      <w:r w:rsidR="00473671">
        <w:rPr>
          <w:rFonts w:ascii="Verdana" w:hAnsi="Verdana"/>
          <w:sz w:val="20"/>
          <w:szCs w:val="20"/>
        </w:rPr>
        <w:t>13</w:t>
      </w:r>
      <w:r w:rsidR="00614356" w:rsidRPr="00614356">
        <w:rPr>
          <w:rFonts w:ascii="Verdana" w:hAnsi="Verdana"/>
          <w:sz w:val="20"/>
          <w:szCs w:val="20"/>
        </w:rPr>
        <w:t>.a</w:t>
      </w:r>
      <w:r w:rsidR="00473671">
        <w:rPr>
          <w:rFonts w:ascii="Verdana" w:hAnsi="Verdana"/>
          <w:sz w:val="20"/>
          <w:szCs w:val="20"/>
        </w:rPr>
        <w:t>.iv.</w:t>
      </w:r>
      <w:r w:rsidR="00614356" w:rsidRPr="00614356">
        <w:rPr>
          <w:rFonts w:ascii="Verdana" w:hAnsi="Verdana"/>
          <w:sz w:val="20"/>
          <w:szCs w:val="20"/>
        </w:rPr>
        <w:t xml:space="preserve"> y 1</w:t>
      </w:r>
      <w:r w:rsidR="00473671">
        <w:rPr>
          <w:rFonts w:ascii="Verdana" w:hAnsi="Verdana"/>
          <w:sz w:val="20"/>
          <w:szCs w:val="20"/>
        </w:rPr>
        <w:t>3</w:t>
      </w:r>
      <w:r w:rsidR="00614356" w:rsidRPr="00614356">
        <w:rPr>
          <w:rFonts w:ascii="Verdana" w:hAnsi="Verdana"/>
          <w:sz w:val="20"/>
          <w:szCs w:val="20"/>
        </w:rPr>
        <w:t>.c</w:t>
      </w:r>
      <w:r w:rsidR="0094322B" w:rsidRPr="00614356">
        <w:rPr>
          <w:rFonts w:ascii="Verdana" w:hAnsi="Verdana"/>
          <w:sz w:val="20"/>
          <w:szCs w:val="20"/>
        </w:rPr>
        <w:t xml:space="preserve">), esta Presidencia considera que no necesariamente la </w:t>
      </w:r>
      <w:r w:rsidR="00B31D5D" w:rsidRPr="00614356">
        <w:rPr>
          <w:rFonts w:ascii="Verdana" w:hAnsi="Verdana"/>
          <w:sz w:val="20"/>
          <w:szCs w:val="20"/>
        </w:rPr>
        <w:t>atribución de competencia a determinados tribunales para el conocimiento de las graves violaciones a derechos humanos cometidas durante el conflicto armado interno</w:t>
      </w:r>
      <w:r w:rsidR="0094322B" w:rsidRPr="00614356">
        <w:rPr>
          <w:rFonts w:ascii="Verdana" w:hAnsi="Verdana"/>
          <w:sz w:val="20"/>
          <w:szCs w:val="20"/>
        </w:rPr>
        <w:t>,</w:t>
      </w:r>
      <w:r w:rsidR="00286495" w:rsidRPr="00614356">
        <w:rPr>
          <w:rFonts w:ascii="Verdana" w:hAnsi="Verdana"/>
          <w:sz w:val="20"/>
          <w:szCs w:val="20"/>
        </w:rPr>
        <w:t xml:space="preserve"> tal como lo propone el proyecto de ley,</w:t>
      </w:r>
      <w:r w:rsidR="0094322B" w:rsidRPr="00614356">
        <w:rPr>
          <w:rFonts w:ascii="Verdana" w:hAnsi="Verdana"/>
          <w:sz w:val="20"/>
          <w:szCs w:val="20"/>
        </w:rPr>
        <w:t xml:space="preserve"> </w:t>
      </w:r>
      <w:r w:rsidR="00286495" w:rsidRPr="00614356">
        <w:rPr>
          <w:rFonts w:ascii="Verdana" w:hAnsi="Verdana"/>
          <w:sz w:val="20"/>
          <w:szCs w:val="20"/>
        </w:rPr>
        <w:t>podría afectar</w:t>
      </w:r>
      <w:r w:rsidR="0094322B" w:rsidRPr="00614356">
        <w:rPr>
          <w:rFonts w:ascii="Verdana" w:hAnsi="Verdana"/>
          <w:sz w:val="20"/>
          <w:szCs w:val="20"/>
        </w:rPr>
        <w:t xml:space="preserve"> el derecho de acceso a la ju</w:t>
      </w:r>
      <w:r w:rsidR="00286495" w:rsidRPr="00614356">
        <w:rPr>
          <w:rFonts w:ascii="Verdana" w:hAnsi="Verdana"/>
          <w:sz w:val="20"/>
          <w:szCs w:val="20"/>
        </w:rPr>
        <w:t>sticia de las víctimas, siempre y cuando se tomen en cuenta los avances en las fases del proceso penal y acervo probatorio recabado ante otros juzgados o tribunales, tal como en el presente caso</w:t>
      </w:r>
      <w:r w:rsidR="00286495" w:rsidRPr="00614356">
        <w:rPr>
          <w:rStyle w:val="Refdenotaalpie"/>
          <w:rFonts w:ascii="Verdana" w:hAnsi="Verdana"/>
          <w:sz w:val="20"/>
          <w:szCs w:val="20"/>
        </w:rPr>
        <w:footnoteReference w:id="44"/>
      </w:r>
      <w:r w:rsidR="00286495" w:rsidRPr="00614356">
        <w:rPr>
          <w:rFonts w:ascii="Verdana" w:hAnsi="Verdana"/>
          <w:sz w:val="20"/>
          <w:szCs w:val="20"/>
        </w:rPr>
        <w:t>.</w:t>
      </w:r>
    </w:p>
    <w:p w14:paraId="669FB816" w14:textId="04344CDC" w:rsidR="006F4108" w:rsidRPr="00961C4B" w:rsidRDefault="0094322B" w:rsidP="00961C4B">
      <w:pPr>
        <w:pStyle w:val="Prrafodelista"/>
        <w:numPr>
          <w:ilvl w:val="0"/>
          <w:numId w:val="35"/>
        </w:numPr>
        <w:tabs>
          <w:tab w:val="left" w:pos="0"/>
        </w:tabs>
        <w:autoSpaceDE w:val="0"/>
        <w:autoSpaceDN w:val="0"/>
        <w:adjustRightInd w:val="0"/>
        <w:spacing w:before="120" w:after="120" w:line="240" w:lineRule="auto"/>
        <w:ind w:left="0" w:right="99" w:firstLine="0"/>
        <w:contextualSpacing w:val="0"/>
        <w:jc w:val="both"/>
        <w:rPr>
          <w:rFonts w:ascii="Verdana" w:hAnsi="Verdana"/>
          <w:sz w:val="20"/>
          <w:szCs w:val="20"/>
        </w:rPr>
      </w:pPr>
      <w:r w:rsidRPr="006F4108">
        <w:rPr>
          <w:rFonts w:ascii="Verdana" w:hAnsi="Verdana"/>
          <w:sz w:val="20"/>
          <w:szCs w:val="20"/>
        </w:rPr>
        <w:t>Con base en los anteriores argumentos, esta Presidencia considera</w:t>
      </w:r>
      <w:r w:rsidR="00961C4B">
        <w:rPr>
          <w:rFonts w:ascii="Verdana" w:hAnsi="Verdana"/>
          <w:sz w:val="20"/>
          <w:szCs w:val="20"/>
        </w:rPr>
        <w:t xml:space="preserve">, </w:t>
      </w:r>
      <w:r w:rsidR="00961C4B" w:rsidRPr="00961C4B">
        <w:rPr>
          <w:rFonts w:ascii="Verdana" w:hAnsi="Verdana"/>
          <w:i/>
          <w:sz w:val="20"/>
          <w:szCs w:val="20"/>
        </w:rPr>
        <w:t>prima facie</w:t>
      </w:r>
      <w:r w:rsidR="00961C4B">
        <w:rPr>
          <w:rFonts w:ascii="Verdana" w:hAnsi="Verdana"/>
          <w:sz w:val="20"/>
          <w:szCs w:val="20"/>
        </w:rPr>
        <w:t>,</w:t>
      </w:r>
      <w:r w:rsidRPr="006F4108">
        <w:rPr>
          <w:rFonts w:ascii="Verdana" w:hAnsi="Verdana"/>
          <w:sz w:val="20"/>
          <w:szCs w:val="20"/>
        </w:rPr>
        <w:t xml:space="preserve"> que </w:t>
      </w:r>
      <w:r w:rsidR="000C01D8">
        <w:rPr>
          <w:rFonts w:ascii="Verdana" w:hAnsi="Verdana"/>
          <w:sz w:val="20"/>
          <w:szCs w:val="20"/>
          <w:lang w:val="es-ES_tradnl"/>
        </w:rPr>
        <w:t>dicho</w:t>
      </w:r>
      <w:r w:rsidRPr="006F4108">
        <w:rPr>
          <w:rFonts w:ascii="Verdana" w:hAnsi="Verdana"/>
          <w:sz w:val="20"/>
          <w:szCs w:val="20"/>
          <w:lang w:val="es-ES_tradnl"/>
        </w:rPr>
        <w:t xml:space="preserve"> </w:t>
      </w:r>
      <w:r w:rsidR="000C01D8">
        <w:rPr>
          <w:rFonts w:ascii="Verdana" w:hAnsi="Verdana"/>
          <w:sz w:val="20"/>
          <w:szCs w:val="20"/>
          <w:lang w:val="es-ES_tradnl"/>
        </w:rPr>
        <w:t>proyecto</w:t>
      </w:r>
      <w:r w:rsidRPr="006F4108">
        <w:rPr>
          <w:rFonts w:ascii="Verdana" w:hAnsi="Verdana"/>
          <w:sz w:val="20"/>
          <w:szCs w:val="20"/>
          <w:lang w:val="es-ES_tradnl"/>
        </w:rPr>
        <w:t xml:space="preserve"> de ley </w:t>
      </w:r>
      <w:r w:rsidR="0059757F" w:rsidRPr="006F4108">
        <w:rPr>
          <w:rFonts w:ascii="Verdana" w:hAnsi="Verdana" w:cs="Verdana"/>
          <w:sz w:val="20"/>
          <w:szCs w:val="20"/>
        </w:rPr>
        <w:t>contiene disposiciones que</w:t>
      </w:r>
      <w:r w:rsidR="000C01D8">
        <w:rPr>
          <w:rFonts w:ascii="Verdana" w:hAnsi="Verdana" w:cs="Verdana"/>
          <w:sz w:val="20"/>
          <w:szCs w:val="20"/>
        </w:rPr>
        <w:t>, de ser aprobadas,</w:t>
      </w:r>
      <w:r w:rsidR="0059757F" w:rsidRPr="006F4108">
        <w:rPr>
          <w:rFonts w:ascii="Verdana" w:hAnsi="Verdana" w:cs="Verdana"/>
          <w:sz w:val="20"/>
          <w:szCs w:val="20"/>
        </w:rPr>
        <w:t xml:space="preserve"> no garantiza</w:t>
      </w:r>
      <w:r w:rsidR="000C01D8">
        <w:rPr>
          <w:rFonts w:ascii="Verdana" w:hAnsi="Verdana" w:cs="Verdana"/>
          <w:sz w:val="20"/>
          <w:szCs w:val="20"/>
        </w:rPr>
        <w:t>rían</w:t>
      </w:r>
      <w:r w:rsidR="0059757F" w:rsidRPr="006F4108">
        <w:rPr>
          <w:rFonts w:ascii="Verdana" w:hAnsi="Verdana" w:cs="Verdana"/>
          <w:sz w:val="20"/>
          <w:szCs w:val="20"/>
        </w:rPr>
        <w:t xml:space="preserve"> un adecuado derecho de acceso a</w:t>
      </w:r>
      <w:r w:rsidR="00961C4B">
        <w:rPr>
          <w:rFonts w:ascii="Verdana" w:hAnsi="Verdana" w:cs="Verdana"/>
          <w:sz w:val="20"/>
          <w:szCs w:val="20"/>
        </w:rPr>
        <w:t xml:space="preserve"> la justicia de las víctimas del caso Masacres de El Mozote y lugares aledaños y podría afectar otros casos de </w:t>
      </w:r>
      <w:r w:rsidR="0059757F" w:rsidRPr="00961C4B">
        <w:rPr>
          <w:rFonts w:ascii="Verdana" w:hAnsi="Verdana" w:cs="Verdana"/>
          <w:sz w:val="20"/>
          <w:szCs w:val="20"/>
        </w:rPr>
        <w:t>graves violaciones a derechos humanos ocurridas en el conflicto armado intern</w:t>
      </w:r>
      <w:r w:rsidR="00961C4B">
        <w:rPr>
          <w:rFonts w:ascii="Verdana" w:hAnsi="Verdana" w:cs="Verdana"/>
          <w:sz w:val="20"/>
          <w:szCs w:val="20"/>
        </w:rPr>
        <w:t>o salvadoreño</w:t>
      </w:r>
      <w:r w:rsidRPr="00961C4B">
        <w:rPr>
          <w:rFonts w:ascii="Verdana" w:hAnsi="Verdana"/>
          <w:sz w:val="20"/>
          <w:szCs w:val="20"/>
          <w:lang w:val="es-ES_tradnl"/>
        </w:rPr>
        <w:t>.</w:t>
      </w:r>
      <w:r w:rsidRPr="00961C4B">
        <w:rPr>
          <w:rFonts w:ascii="Verdana" w:hAnsi="Verdana"/>
          <w:sz w:val="20"/>
          <w:lang w:val="es-ES_tradnl"/>
        </w:rPr>
        <w:t xml:space="preserve"> De ser aprobada</w:t>
      </w:r>
      <w:r w:rsidR="00961C4B">
        <w:rPr>
          <w:rFonts w:ascii="Verdana" w:hAnsi="Verdana"/>
          <w:sz w:val="20"/>
          <w:lang w:val="es-ES_tradnl"/>
        </w:rPr>
        <w:t xml:space="preserve"> en los términos en los que se encuentra planteado actualmente el proyecto</w:t>
      </w:r>
      <w:r w:rsidR="00A23352">
        <w:rPr>
          <w:rFonts w:ascii="Verdana" w:hAnsi="Verdana"/>
          <w:sz w:val="20"/>
          <w:lang w:val="es-ES_tradnl"/>
        </w:rPr>
        <w:t>, podría ser</w:t>
      </w:r>
      <w:r w:rsidRPr="00961C4B">
        <w:rPr>
          <w:rFonts w:ascii="Verdana" w:hAnsi="Verdana"/>
          <w:sz w:val="20"/>
          <w:lang w:val="es-ES_tradnl"/>
        </w:rPr>
        <w:t xml:space="preserve"> una ley </w:t>
      </w:r>
      <w:r w:rsidRPr="00961C4B">
        <w:rPr>
          <w:rFonts w:ascii="Verdana" w:hAnsi="Verdana"/>
          <w:sz w:val="20"/>
          <w:szCs w:val="20"/>
        </w:rPr>
        <w:t xml:space="preserve">incompatible con </w:t>
      </w:r>
      <w:r w:rsidRPr="00961C4B">
        <w:rPr>
          <w:rFonts w:ascii="Verdana" w:hAnsi="Verdana"/>
          <w:sz w:val="20"/>
          <w:szCs w:val="20"/>
        </w:rPr>
        <w:lastRenderedPageBreak/>
        <w:t>los artículos 8 y 25 de la Convención Americana y, por tanto, con el artícu</w:t>
      </w:r>
      <w:r w:rsidR="0059757F" w:rsidRPr="00961C4B">
        <w:rPr>
          <w:rFonts w:ascii="Verdana" w:hAnsi="Verdana"/>
          <w:sz w:val="20"/>
          <w:szCs w:val="20"/>
        </w:rPr>
        <w:t xml:space="preserve">lo 2 de dicho tratado. </w:t>
      </w:r>
      <w:r w:rsidRPr="00961C4B">
        <w:rPr>
          <w:rFonts w:ascii="Verdana" w:hAnsi="Verdana"/>
          <w:sz w:val="20"/>
          <w:szCs w:val="20"/>
        </w:rPr>
        <w:t>La Corte Interamericana ha sostenido reiteradamente que</w:t>
      </w:r>
      <w:r w:rsidRPr="00961C4B">
        <w:rPr>
          <w:rFonts w:ascii="Verdana" w:hAnsi="Verdana" w:cs="Verdana"/>
          <w:sz w:val="20"/>
          <w:szCs w:val="20"/>
        </w:rPr>
        <w:t xml:space="preserve"> “[l]a promulgación de una ley manifiestamente contraria a las obligaciones asumidas por un Estado parte en la Convención constituye </w:t>
      </w:r>
      <w:r w:rsidRPr="00961C4B">
        <w:rPr>
          <w:rFonts w:ascii="Verdana" w:hAnsi="Verdana" w:cs="Verdana"/>
          <w:i/>
          <w:iCs/>
          <w:sz w:val="20"/>
          <w:szCs w:val="20"/>
        </w:rPr>
        <w:t xml:space="preserve">per se </w:t>
      </w:r>
      <w:r w:rsidRPr="00961C4B">
        <w:rPr>
          <w:rFonts w:ascii="Verdana" w:hAnsi="Verdana" w:cs="Verdana"/>
          <w:sz w:val="20"/>
          <w:szCs w:val="20"/>
        </w:rPr>
        <w:t>una violación de ésta y genera responsabilidad internacional del Estado”</w:t>
      </w:r>
      <w:r w:rsidRPr="006F4108">
        <w:rPr>
          <w:rStyle w:val="Refdenotaalpie"/>
          <w:rFonts w:ascii="Verdana" w:hAnsi="Verdana" w:cs="Verdana"/>
          <w:sz w:val="20"/>
          <w:szCs w:val="20"/>
        </w:rPr>
        <w:footnoteReference w:id="45"/>
      </w:r>
      <w:r w:rsidRPr="00961C4B">
        <w:rPr>
          <w:rFonts w:ascii="Verdana" w:hAnsi="Verdana" w:cs="Verdana"/>
          <w:sz w:val="20"/>
          <w:szCs w:val="20"/>
        </w:rPr>
        <w:t>.</w:t>
      </w:r>
      <w:r w:rsidRPr="00961C4B">
        <w:rPr>
          <w:rFonts w:ascii="Verdana" w:hAnsi="Verdana"/>
          <w:sz w:val="20"/>
          <w:szCs w:val="20"/>
        </w:rPr>
        <w:t xml:space="preserve"> </w:t>
      </w:r>
    </w:p>
    <w:p w14:paraId="2BDD8D81" w14:textId="448538B2" w:rsidR="005C6E55" w:rsidRPr="000C01D8" w:rsidRDefault="0094322B" w:rsidP="000C01D8">
      <w:pPr>
        <w:pStyle w:val="Prrafodelista"/>
        <w:numPr>
          <w:ilvl w:val="0"/>
          <w:numId w:val="35"/>
        </w:numPr>
        <w:tabs>
          <w:tab w:val="left" w:pos="0"/>
        </w:tabs>
        <w:autoSpaceDE w:val="0"/>
        <w:autoSpaceDN w:val="0"/>
        <w:adjustRightInd w:val="0"/>
        <w:spacing w:before="120" w:after="120" w:line="240" w:lineRule="auto"/>
        <w:ind w:left="0" w:right="99" w:firstLine="0"/>
        <w:contextualSpacing w:val="0"/>
        <w:jc w:val="both"/>
        <w:rPr>
          <w:rFonts w:ascii="Verdana" w:hAnsi="Verdana"/>
          <w:sz w:val="20"/>
          <w:szCs w:val="20"/>
        </w:rPr>
      </w:pPr>
      <w:r w:rsidRPr="006F4108">
        <w:rPr>
          <w:rFonts w:ascii="Verdana" w:hAnsi="Verdana"/>
          <w:sz w:val="20"/>
          <w:szCs w:val="20"/>
          <w:lang w:val="es-ES"/>
        </w:rPr>
        <w:t>En igual sentido</w:t>
      </w:r>
      <w:r w:rsidR="000C01D8">
        <w:rPr>
          <w:rFonts w:ascii="Verdana" w:hAnsi="Verdana"/>
          <w:sz w:val="20"/>
          <w:szCs w:val="20"/>
          <w:lang w:val="es-ES"/>
        </w:rPr>
        <w:t xml:space="preserve">, varios organismos internacionales se han pronunciado sobre las potenciales consecuencias de la aprobación del proyecto de ley en cuestión. Por ejemplo, </w:t>
      </w:r>
      <w:r w:rsidRPr="006F4108">
        <w:rPr>
          <w:rFonts w:ascii="Verdana" w:hAnsi="Verdana"/>
          <w:sz w:val="20"/>
          <w:szCs w:val="20"/>
          <w:lang w:val="es-ES"/>
        </w:rPr>
        <w:t xml:space="preserve">la Comisión Interamericana en su comunicado de </w:t>
      </w:r>
      <w:r w:rsidR="00B26D25" w:rsidRPr="006F4108">
        <w:rPr>
          <w:rFonts w:ascii="Verdana" w:hAnsi="Verdana"/>
          <w:sz w:val="20"/>
          <w:szCs w:val="20"/>
          <w:lang w:val="es-ES"/>
        </w:rPr>
        <w:t xml:space="preserve">21 de mayo del presente año, </w:t>
      </w:r>
      <w:r w:rsidR="000C01D8">
        <w:rPr>
          <w:rFonts w:ascii="Verdana" w:hAnsi="Verdana"/>
          <w:sz w:val="20"/>
          <w:szCs w:val="20"/>
          <w:lang w:val="es-ES"/>
        </w:rPr>
        <w:t>manifestó que</w:t>
      </w:r>
      <w:r w:rsidR="00B26D25" w:rsidRPr="006F4108">
        <w:rPr>
          <w:rFonts w:ascii="Verdana" w:hAnsi="Verdana"/>
          <w:sz w:val="20"/>
          <w:szCs w:val="20"/>
          <w:lang w:val="es-ES"/>
        </w:rPr>
        <w:t xml:space="preserve"> </w:t>
      </w:r>
      <w:r w:rsidR="00B26D25" w:rsidRPr="000C01D8">
        <w:rPr>
          <w:rFonts w:ascii="Verdana" w:hAnsi="Verdana"/>
          <w:sz w:val="20"/>
          <w:szCs w:val="20"/>
          <w:lang w:val="es-ES"/>
        </w:rPr>
        <w:t>“El Salvador debe abstenerse de aprobar iniciativas de esta naturaleza” que “violan los derechos de las víctimas e impiden la justicia por graves violaciones de derechos humanos”, y reiter</w:t>
      </w:r>
      <w:r w:rsidR="000C01D8" w:rsidRPr="000C01D8">
        <w:rPr>
          <w:rFonts w:ascii="Verdana" w:hAnsi="Verdana"/>
          <w:sz w:val="20"/>
          <w:szCs w:val="20"/>
          <w:lang w:val="es-ES"/>
        </w:rPr>
        <w:t>ó</w:t>
      </w:r>
      <w:r w:rsidR="00B26D25" w:rsidRPr="000C01D8">
        <w:rPr>
          <w:rFonts w:ascii="Verdana" w:hAnsi="Verdana"/>
          <w:sz w:val="20"/>
          <w:szCs w:val="20"/>
          <w:lang w:val="es-ES"/>
        </w:rPr>
        <w:t xml:space="preserve"> su llamado a que dicho Estado “fortale[zca] sus esfuerzos para seguir avanzando en la investigación de graves crímenes, en la identificación de responsables[,] en la aplicación de las sanciones pertinentes [y …] en sus esfuerzos en la lucha contra la impunidad”</w:t>
      </w:r>
      <w:r w:rsidR="006F4108" w:rsidRPr="000C01D8">
        <w:rPr>
          <w:rStyle w:val="Refdenotaalpie"/>
          <w:rFonts w:ascii="Verdana" w:hAnsi="Verdana"/>
          <w:sz w:val="20"/>
          <w:szCs w:val="20"/>
          <w:lang w:val="es-ES"/>
        </w:rPr>
        <w:footnoteReference w:id="46"/>
      </w:r>
      <w:r w:rsidR="00B26D25" w:rsidRPr="000C01D8">
        <w:rPr>
          <w:rFonts w:ascii="Verdana" w:hAnsi="Verdana"/>
          <w:sz w:val="20"/>
          <w:szCs w:val="20"/>
          <w:lang w:val="es-ES"/>
        </w:rPr>
        <w:t>.</w:t>
      </w:r>
      <w:r w:rsidR="006F4108" w:rsidRPr="000C01D8">
        <w:rPr>
          <w:rFonts w:ascii="Verdana" w:hAnsi="Verdana"/>
          <w:sz w:val="20"/>
          <w:szCs w:val="20"/>
          <w:lang w:val="es-ES"/>
        </w:rPr>
        <w:t xml:space="preserve"> También la Alta Comisionada de las Naciones Unidas para los Derechos Humanos advirtió que </w:t>
      </w:r>
      <w:r w:rsidR="000C01D8" w:rsidRPr="000C01D8">
        <w:rPr>
          <w:rFonts w:ascii="Verdana" w:hAnsi="Verdana"/>
          <w:sz w:val="20"/>
          <w:szCs w:val="20"/>
          <w:lang w:val="es-ES"/>
        </w:rPr>
        <w:t>dicho proyecto de ley “</w:t>
      </w:r>
      <w:r w:rsidR="006F4108" w:rsidRPr="000C01D8">
        <w:rPr>
          <w:rFonts w:ascii="Verdana" w:hAnsi="Verdana"/>
          <w:sz w:val="20"/>
          <w:szCs w:val="20"/>
          <w:lang w:val="es-ES"/>
        </w:rPr>
        <w:t xml:space="preserve">contiene una serie de disposiciones </w:t>
      </w:r>
      <w:r w:rsidR="0049104B" w:rsidRPr="000C01D8">
        <w:rPr>
          <w:rFonts w:ascii="Verdana" w:hAnsi="Verdana"/>
          <w:sz w:val="20"/>
          <w:szCs w:val="20"/>
          <w:lang w:val="es-ES"/>
        </w:rPr>
        <w:t xml:space="preserve">que podrían traducirse en una amnistía </w:t>
      </w:r>
      <w:r w:rsidR="0049104B" w:rsidRPr="000C01D8">
        <w:rPr>
          <w:rFonts w:ascii="Verdana" w:hAnsi="Verdana"/>
          <w:i/>
          <w:sz w:val="20"/>
          <w:szCs w:val="20"/>
          <w:lang w:val="es-ES"/>
        </w:rPr>
        <w:t>de facto</w:t>
      </w:r>
      <w:r w:rsidR="0049104B" w:rsidRPr="000C01D8">
        <w:rPr>
          <w:rFonts w:ascii="Verdana" w:hAnsi="Verdana"/>
          <w:sz w:val="20"/>
          <w:szCs w:val="20"/>
          <w:lang w:val="es-ES"/>
        </w:rPr>
        <w:t>”</w:t>
      </w:r>
      <w:r w:rsidR="000C01D8" w:rsidRPr="000C01D8">
        <w:rPr>
          <w:rStyle w:val="Refdenotaalpie"/>
          <w:rFonts w:ascii="Verdana" w:hAnsi="Verdana"/>
          <w:sz w:val="20"/>
          <w:szCs w:val="20"/>
          <w:lang w:val="es-ES"/>
        </w:rPr>
        <w:footnoteReference w:id="47"/>
      </w:r>
      <w:r w:rsidR="000C01D8" w:rsidRPr="000C01D8">
        <w:rPr>
          <w:rFonts w:ascii="Verdana" w:hAnsi="Verdana"/>
          <w:sz w:val="20"/>
          <w:szCs w:val="20"/>
          <w:lang w:val="es-ES"/>
        </w:rPr>
        <w:t>, e</w:t>
      </w:r>
      <w:r w:rsidR="0049104B" w:rsidRPr="000C01D8">
        <w:rPr>
          <w:rFonts w:ascii="Verdana" w:hAnsi="Verdana"/>
          <w:sz w:val="20"/>
          <w:szCs w:val="20"/>
          <w:lang w:val="es-ES"/>
        </w:rPr>
        <w:t xml:space="preserve"> “inst[ó a la Asamblea Legislativa a garantizar los derechos de las víctimas y abstenerse de restablecer amnistías para los responsables de graves violaciones a los derechos humanos”</w:t>
      </w:r>
      <w:r w:rsidR="0049104B" w:rsidRPr="000C01D8">
        <w:rPr>
          <w:rStyle w:val="Refdenotaalpie"/>
          <w:rFonts w:ascii="Verdana" w:hAnsi="Verdana"/>
          <w:sz w:val="20"/>
          <w:szCs w:val="20"/>
          <w:lang w:val="es-ES"/>
        </w:rPr>
        <w:footnoteReference w:id="48"/>
      </w:r>
      <w:r w:rsidR="0049104B" w:rsidRPr="000C01D8">
        <w:rPr>
          <w:rFonts w:ascii="Verdana" w:hAnsi="Verdana"/>
          <w:sz w:val="20"/>
          <w:szCs w:val="20"/>
          <w:lang w:val="es-ES"/>
        </w:rPr>
        <w:t xml:space="preserve">. El Relator Especial sobre la </w:t>
      </w:r>
      <w:r w:rsidR="00FA500F" w:rsidRPr="000C01D8">
        <w:rPr>
          <w:rFonts w:ascii="Verdana" w:hAnsi="Verdana"/>
          <w:sz w:val="20"/>
          <w:szCs w:val="20"/>
          <w:lang w:val="es-ES"/>
        </w:rPr>
        <w:t xml:space="preserve">promoción de la verdad, la justicia, la reparación y las garantías de no repetición de las Naciones Unidas </w:t>
      </w:r>
      <w:r w:rsidR="000661BA" w:rsidRPr="000C01D8">
        <w:rPr>
          <w:rFonts w:ascii="Verdana" w:hAnsi="Verdana"/>
          <w:sz w:val="20"/>
          <w:szCs w:val="20"/>
          <w:lang w:val="es-ES"/>
        </w:rPr>
        <w:t xml:space="preserve">también </w:t>
      </w:r>
      <w:r w:rsidR="000C01D8" w:rsidRPr="000C01D8">
        <w:rPr>
          <w:rFonts w:ascii="Verdana" w:hAnsi="Verdana"/>
          <w:sz w:val="20"/>
          <w:szCs w:val="20"/>
          <w:lang w:val="es-ES"/>
        </w:rPr>
        <w:t>expresó</w:t>
      </w:r>
      <w:r w:rsidR="00FA500F" w:rsidRPr="000C01D8">
        <w:rPr>
          <w:rFonts w:ascii="Verdana" w:hAnsi="Verdana"/>
          <w:sz w:val="20"/>
          <w:szCs w:val="20"/>
          <w:lang w:val="es-ES"/>
        </w:rPr>
        <w:t xml:space="preserve"> sus preocupaciones sobre dicho proyecto de ley e, incluso, las compartió con autoridades estatales, incluida la Asamblea Legislativa, durante una visita oficial que realizó a El Salvador entre el 24 de a</w:t>
      </w:r>
      <w:r w:rsidR="000661BA" w:rsidRPr="000C01D8">
        <w:rPr>
          <w:rFonts w:ascii="Verdana" w:hAnsi="Verdana"/>
          <w:sz w:val="20"/>
          <w:szCs w:val="20"/>
          <w:lang w:val="es-ES"/>
        </w:rPr>
        <w:t>bril y el 3 de mayo de este año</w:t>
      </w:r>
      <w:r w:rsidR="000C01D8" w:rsidRPr="000C01D8">
        <w:rPr>
          <w:rFonts w:ascii="Verdana" w:hAnsi="Verdana"/>
          <w:sz w:val="20"/>
          <w:szCs w:val="20"/>
          <w:lang w:val="es-ES"/>
        </w:rPr>
        <w:t>,</w:t>
      </w:r>
      <w:r w:rsidR="00FA500F" w:rsidRPr="000C01D8">
        <w:rPr>
          <w:rFonts w:ascii="Verdana" w:hAnsi="Verdana"/>
          <w:sz w:val="20"/>
          <w:szCs w:val="20"/>
          <w:lang w:val="es-ES"/>
        </w:rPr>
        <w:t xml:space="preserve"> instándola a “no aprobar” dicho proyecto</w:t>
      </w:r>
      <w:r w:rsidR="0049104B" w:rsidRPr="000C01D8">
        <w:rPr>
          <w:rStyle w:val="Refdenotaalpie"/>
          <w:rFonts w:ascii="Verdana" w:hAnsi="Verdana"/>
          <w:sz w:val="20"/>
          <w:szCs w:val="20"/>
          <w:lang w:val="es-ES"/>
        </w:rPr>
        <w:footnoteReference w:id="49"/>
      </w:r>
      <w:r w:rsidR="00941BA3">
        <w:rPr>
          <w:rFonts w:ascii="Verdana" w:hAnsi="Verdana"/>
          <w:sz w:val="20"/>
          <w:szCs w:val="20"/>
          <w:lang w:val="es-ES"/>
        </w:rPr>
        <w:t>.</w:t>
      </w:r>
    </w:p>
    <w:p w14:paraId="6C179AA2" w14:textId="1D57861D" w:rsidR="000661BA" w:rsidRPr="00614356" w:rsidRDefault="00556997" w:rsidP="000661BA">
      <w:pPr>
        <w:pStyle w:val="Prrafodelista"/>
        <w:numPr>
          <w:ilvl w:val="0"/>
          <w:numId w:val="35"/>
        </w:numPr>
        <w:tabs>
          <w:tab w:val="left" w:pos="0"/>
        </w:tabs>
        <w:autoSpaceDE w:val="0"/>
        <w:autoSpaceDN w:val="0"/>
        <w:adjustRightInd w:val="0"/>
        <w:spacing w:before="120" w:after="120" w:line="240" w:lineRule="auto"/>
        <w:ind w:left="0" w:right="99" w:firstLine="0"/>
        <w:contextualSpacing w:val="0"/>
        <w:jc w:val="both"/>
        <w:rPr>
          <w:rFonts w:ascii="Verdana" w:hAnsi="Verdana"/>
          <w:sz w:val="20"/>
          <w:szCs w:val="20"/>
          <w:u w:val="single"/>
        </w:rPr>
      </w:pPr>
      <w:r>
        <w:rPr>
          <w:rFonts w:ascii="Verdana" w:hAnsi="Verdana"/>
          <w:color w:val="1D2129"/>
          <w:sz w:val="20"/>
          <w:szCs w:val="20"/>
        </w:rPr>
        <w:t xml:space="preserve">Considerando lo expuesto, </w:t>
      </w:r>
      <w:r w:rsidR="00972211">
        <w:rPr>
          <w:rFonts w:ascii="Verdana" w:hAnsi="Verdana"/>
          <w:color w:val="1D2129"/>
          <w:sz w:val="20"/>
          <w:szCs w:val="20"/>
        </w:rPr>
        <w:t xml:space="preserve">esta Presidencia </w:t>
      </w:r>
      <w:r w:rsidR="00941BA3">
        <w:rPr>
          <w:rFonts w:ascii="Verdana" w:hAnsi="Verdana"/>
          <w:color w:val="1D2129"/>
          <w:sz w:val="20"/>
          <w:szCs w:val="20"/>
        </w:rPr>
        <w:t>observa</w:t>
      </w:r>
      <w:r w:rsidR="00972211">
        <w:rPr>
          <w:rFonts w:ascii="Verdana" w:hAnsi="Verdana"/>
          <w:color w:val="1D2129"/>
          <w:sz w:val="20"/>
          <w:szCs w:val="20"/>
        </w:rPr>
        <w:t xml:space="preserve"> que </w:t>
      </w:r>
      <w:r w:rsidR="00972211" w:rsidRPr="000661BA">
        <w:rPr>
          <w:rFonts w:ascii="Verdana" w:hAnsi="Verdana"/>
          <w:color w:val="1D2129"/>
          <w:sz w:val="20"/>
          <w:szCs w:val="20"/>
          <w:lang w:val="es-ES"/>
        </w:rPr>
        <w:t>contrastan</w:t>
      </w:r>
      <w:r w:rsidR="0094322B" w:rsidRPr="000661BA">
        <w:rPr>
          <w:rFonts w:ascii="Verdana" w:hAnsi="Verdana"/>
          <w:color w:val="1D2129"/>
          <w:sz w:val="20"/>
          <w:szCs w:val="20"/>
          <w:lang w:val="es-ES"/>
        </w:rPr>
        <w:t xml:space="preserve"> los esfuerzos estatales efectuados en años recientes para avanzar en la investigación y juzgamiento penal </w:t>
      </w:r>
      <w:r w:rsidR="000661BA" w:rsidRPr="000661BA">
        <w:rPr>
          <w:rFonts w:ascii="Verdana" w:hAnsi="Verdana"/>
          <w:color w:val="1D2129"/>
          <w:sz w:val="20"/>
          <w:szCs w:val="20"/>
          <w:lang w:val="es-ES"/>
        </w:rPr>
        <w:t xml:space="preserve">de graves violaciones ocurridas en el conflicto armado interno, </w:t>
      </w:r>
      <w:r w:rsidR="00C63D01">
        <w:rPr>
          <w:rFonts w:ascii="Verdana" w:hAnsi="Verdana"/>
          <w:color w:val="1D2129"/>
          <w:sz w:val="20"/>
          <w:szCs w:val="20"/>
          <w:lang w:val="es-ES"/>
        </w:rPr>
        <w:t xml:space="preserve">tales como la sentencia de la Sala de lo Constitucional de julio de 2016 y los avances </w:t>
      </w:r>
      <w:r w:rsidR="000661BA" w:rsidRPr="000661BA">
        <w:rPr>
          <w:rFonts w:ascii="Verdana" w:hAnsi="Verdana"/>
          <w:color w:val="1D2129"/>
          <w:sz w:val="20"/>
          <w:szCs w:val="20"/>
          <w:lang w:val="es-ES"/>
        </w:rPr>
        <w:t>que se han dado respecto a</w:t>
      </w:r>
      <w:r w:rsidR="00C63D01">
        <w:rPr>
          <w:rFonts w:ascii="Verdana" w:hAnsi="Verdana"/>
          <w:color w:val="1D2129"/>
          <w:sz w:val="20"/>
          <w:szCs w:val="20"/>
          <w:lang w:val="es-ES"/>
        </w:rPr>
        <w:t xml:space="preserve"> la investigación penal de los hechos del caso </w:t>
      </w:r>
      <w:r w:rsidR="000661BA" w:rsidRPr="000661BA">
        <w:rPr>
          <w:rFonts w:ascii="Verdana" w:hAnsi="Verdana"/>
          <w:color w:val="1D2129"/>
          <w:sz w:val="20"/>
          <w:szCs w:val="20"/>
          <w:lang w:val="es-ES"/>
        </w:rPr>
        <w:t>Masacres de El Mozote y lugares aledaños</w:t>
      </w:r>
      <w:r w:rsidR="0094322B" w:rsidRPr="000661BA">
        <w:rPr>
          <w:rFonts w:ascii="Verdana" w:hAnsi="Verdana"/>
          <w:color w:val="1D2129"/>
          <w:sz w:val="20"/>
          <w:szCs w:val="20"/>
          <w:lang w:val="es-ES"/>
        </w:rPr>
        <w:t xml:space="preserve">, con el </w:t>
      </w:r>
      <w:r w:rsidR="00C63D01">
        <w:rPr>
          <w:rFonts w:ascii="Verdana" w:hAnsi="Verdana"/>
          <w:color w:val="1D2129"/>
          <w:sz w:val="20"/>
          <w:szCs w:val="20"/>
          <w:lang w:val="es-ES"/>
        </w:rPr>
        <w:t>contenido de dicho</w:t>
      </w:r>
      <w:r w:rsidR="0094322B" w:rsidRPr="000661BA">
        <w:rPr>
          <w:rFonts w:ascii="Verdana" w:hAnsi="Verdana"/>
          <w:color w:val="1D2129"/>
          <w:sz w:val="20"/>
          <w:szCs w:val="20"/>
          <w:lang w:val="es-ES"/>
        </w:rPr>
        <w:t xml:space="preserve"> </w:t>
      </w:r>
      <w:r w:rsidR="00C63D01">
        <w:rPr>
          <w:rFonts w:ascii="Verdana" w:hAnsi="Verdana"/>
          <w:color w:val="1D2129"/>
          <w:sz w:val="20"/>
          <w:szCs w:val="20"/>
          <w:lang w:val="es-ES"/>
        </w:rPr>
        <w:t>proyecto</w:t>
      </w:r>
      <w:r w:rsidR="0094322B" w:rsidRPr="000661BA">
        <w:rPr>
          <w:rFonts w:ascii="Verdana" w:hAnsi="Verdana"/>
          <w:color w:val="1D2129"/>
          <w:sz w:val="20"/>
          <w:szCs w:val="20"/>
          <w:lang w:val="es-ES"/>
        </w:rPr>
        <w:t xml:space="preserve"> de ley, que</w:t>
      </w:r>
      <w:r w:rsidR="00C63D01">
        <w:rPr>
          <w:rFonts w:ascii="Verdana" w:hAnsi="Verdana"/>
          <w:color w:val="1D2129"/>
          <w:sz w:val="20"/>
          <w:szCs w:val="20"/>
          <w:lang w:val="es-ES"/>
        </w:rPr>
        <w:t xml:space="preserve"> podría resultar en</w:t>
      </w:r>
      <w:r w:rsidR="0094322B" w:rsidRPr="000661BA">
        <w:rPr>
          <w:rFonts w:ascii="Verdana" w:hAnsi="Verdana"/>
          <w:color w:val="1D2129"/>
          <w:sz w:val="20"/>
          <w:szCs w:val="20"/>
          <w:lang w:val="es-ES"/>
        </w:rPr>
        <w:t xml:space="preserve"> un retroceso en la búsqueda de verdad y acceso a la justicia para las víctimas de graves violaciones a derechos humanos.</w:t>
      </w:r>
    </w:p>
    <w:p w14:paraId="2AA0F4D6" w14:textId="41C4412C" w:rsidR="00614356" w:rsidRPr="002A220F" w:rsidRDefault="00614356" w:rsidP="00614356">
      <w:pPr>
        <w:pStyle w:val="Prrafodelista"/>
        <w:numPr>
          <w:ilvl w:val="0"/>
          <w:numId w:val="35"/>
        </w:numPr>
        <w:tabs>
          <w:tab w:val="left" w:pos="0"/>
        </w:tabs>
        <w:autoSpaceDE w:val="0"/>
        <w:autoSpaceDN w:val="0"/>
        <w:adjustRightInd w:val="0"/>
        <w:spacing w:before="120" w:after="120" w:line="240" w:lineRule="auto"/>
        <w:ind w:left="0" w:right="99" w:firstLine="0"/>
        <w:contextualSpacing w:val="0"/>
        <w:jc w:val="both"/>
        <w:rPr>
          <w:rFonts w:ascii="Verdana" w:hAnsi="Verdana"/>
          <w:sz w:val="20"/>
          <w:szCs w:val="20"/>
        </w:rPr>
      </w:pPr>
      <w:r w:rsidRPr="002A220F">
        <w:rPr>
          <w:rFonts w:ascii="Verdana" w:hAnsi="Verdana"/>
          <w:color w:val="1D2129"/>
          <w:sz w:val="20"/>
          <w:szCs w:val="20"/>
          <w:lang w:val="es-ES"/>
        </w:rPr>
        <w:t xml:space="preserve">A lo anterior se suma, la alegada falta de participación de las víctimas en el proceso de elaboración del referido proyecto de ley, así como la falta de consideración de la propuesta de “Ley especial de reparación integral y acceso a la justicia para víctimas de graves violaciones a derechos humanos en el contexto del conflicto armando” que habría presentado la “Mesa contra Impunidad” a la Asamblea Legislativa </w:t>
      </w:r>
      <w:r w:rsidRPr="002A220F">
        <w:rPr>
          <w:rFonts w:ascii="Verdana" w:hAnsi="Verdana"/>
          <w:i/>
          <w:color w:val="1D2129"/>
          <w:sz w:val="20"/>
          <w:szCs w:val="20"/>
          <w:lang w:val="es-ES"/>
        </w:rPr>
        <w:t xml:space="preserve">(supra </w:t>
      </w:r>
      <w:r w:rsidRPr="002A220F">
        <w:rPr>
          <w:rFonts w:ascii="Verdana" w:hAnsi="Verdana"/>
          <w:color w:val="1D2129"/>
          <w:sz w:val="20"/>
          <w:szCs w:val="20"/>
          <w:lang w:val="es-ES"/>
        </w:rPr>
        <w:t>Considerando 1</w:t>
      </w:r>
      <w:r w:rsidR="00473671">
        <w:rPr>
          <w:rFonts w:ascii="Verdana" w:hAnsi="Verdana"/>
          <w:color w:val="1D2129"/>
          <w:sz w:val="20"/>
          <w:szCs w:val="20"/>
          <w:lang w:val="es-ES"/>
        </w:rPr>
        <w:t>2</w:t>
      </w:r>
      <w:r w:rsidRPr="002A220F">
        <w:rPr>
          <w:rFonts w:ascii="Verdana" w:hAnsi="Verdana"/>
          <w:color w:val="1D2129"/>
          <w:sz w:val="20"/>
          <w:szCs w:val="20"/>
          <w:lang w:val="es-ES"/>
        </w:rPr>
        <w:t>.i), máxime, al considerar que la propia Sala de lo Constitucional dispuso, en su resolución de seguimiento de 13 de julio de 2018 (</w:t>
      </w:r>
      <w:r w:rsidRPr="002A220F">
        <w:rPr>
          <w:rFonts w:ascii="Verdana" w:hAnsi="Verdana"/>
          <w:i/>
          <w:color w:val="1D2129"/>
          <w:sz w:val="20"/>
          <w:szCs w:val="20"/>
          <w:lang w:val="es-ES"/>
        </w:rPr>
        <w:t>supra</w:t>
      </w:r>
      <w:r w:rsidRPr="002A220F">
        <w:rPr>
          <w:rFonts w:ascii="Verdana" w:hAnsi="Verdana"/>
          <w:color w:val="1D2129"/>
          <w:sz w:val="20"/>
          <w:szCs w:val="20"/>
          <w:lang w:val="es-ES"/>
        </w:rPr>
        <w:t xml:space="preserve"> Considerando </w:t>
      </w:r>
      <w:r w:rsidR="00473671">
        <w:rPr>
          <w:rFonts w:ascii="Verdana" w:hAnsi="Verdana"/>
          <w:color w:val="1D2129"/>
          <w:sz w:val="20"/>
          <w:szCs w:val="20"/>
          <w:lang w:val="es-ES"/>
        </w:rPr>
        <w:t>12</w:t>
      </w:r>
      <w:r w:rsidRPr="002A220F">
        <w:rPr>
          <w:rFonts w:ascii="Verdana" w:hAnsi="Verdana"/>
          <w:color w:val="1D2129"/>
          <w:sz w:val="20"/>
          <w:szCs w:val="20"/>
          <w:lang w:val="es-ES"/>
        </w:rPr>
        <w:t xml:space="preserve">.b), que “[e]n [la] elaboración [de una </w:t>
      </w:r>
      <w:r w:rsidRPr="002A220F">
        <w:rPr>
          <w:rFonts w:ascii="Verdana" w:hAnsi="Verdana"/>
          <w:sz w:val="20"/>
          <w:szCs w:val="20"/>
        </w:rPr>
        <w:t xml:space="preserve">nueva ley de reconciliación nacional y de asistencia a víctimas] deberá tenerse en cuenta la consulta </w:t>
      </w:r>
      <w:r w:rsidRPr="002A220F">
        <w:rPr>
          <w:rFonts w:ascii="Verdana" w:hAnsi="Verdana"/>
          <w:sz w:val="20"/>
          <w:szCs w:val="20"/>
        </w:rPr>
        <w:lastRenderedPageBreak/>
        <w:t>con las víctimas del conflicto armado, las asociaciones que las representan y otros sectores de la sociedad que se muestren interesados en contribuir a los fines de su elaboración”</w:t>
      </w:r>
      <w:r w:rsidRPr="002A220F">
        <w:rPr>
          <w:rStyle w:val="Refdenotaalpie"/>
          <w:rFonts w:ascii="Verdana" w:hAnsi="Verdana"/>
          <w:sz w:val="20"/>
          <w:szCs w:val="20"/>
        </w:rPr>
        <w:footnoteReference w:id="50"/>
      </w:r>
      <w:r w:rsidRPr="002A220F">
        <w:rPr>
          <w:rFonts w:ascii="Verdana" w:hAnsi="Verdana"/>
          <w:sz w:val="20"/>
          <w:szCs w:val="20"/>
        </w:rPr>
        <w:t>.</w:t>
      </w:r>
    </w:p>
    <w:p w14:paraId="40ED420D" w14:textId="3D8EACF1" w:rsidR="006B17C2" w:rsidRPr="006B17C2" w:rsidRDefault="000C59CC" w:rsidP="006B17C2">
      <w:pPr>
        <w:pStyle w:val="Prrafodelista"/>
        <w:numPr>
          <w:ilvl w:val="0"/>
          <w:numId w:val="35"/>
        </w:numPr>
        <w:tabs>
          <w:tab w:val="left" w:pos="0"/>
        </w:tabs>
        <w:autoSpaceDE w:val="0"/>
        <w:autoSpaceDN w:val="0"/>
        <w:adjustRightInd w:val="0"/>
        <w:spacing w:before="120" w:after="120" w:line="240" w:lineRule="auto"/>
        <w:ind w:left="0" w:right="99" w:firstLine="0"/>
        <w:contextualSpacing w:val="0"/>
        <w:jc w:val="both"/>
        <w:rPr>
          <w:rFonts w:ascii="Verdana" w:hAnsi="Verdana"/>
          <w:sz w:val="20"/>
          <w:szCs w:val="20"/>
          <w:u w:val="single"/>
        </w:rPr>
      </w:pPr>
      <w:r w:rsidRPr="000661BA">
        <w:rPr>
          <w:rFonts w:ascii="Verdana" w:hAnsi="Verdana"/>
          <w:color w:val="1D2129"/>
          <w:sz w:val="20"/>
          <w:szCs w:val="20"/>
          <w:lang w:val="es-ES"/>
        </w:rPr>
        <w:t>Asimismo, esta Presidencia constata el requisito de urgencia</w:t>
      </w:r>
      <w:r w:rsidR="004654F6" w:rsidRPr="000661BA">
        <w:rPr>
          <w:rFonts w:ascii="Verdana" w:hAnsi="Verdana"/>
          <w:color w:val="1D2129"/>
          <w:sz w:val="20"/>
          <w:szCs w:val="20"/>
          <w:lang w:val="es-ES"/>
        </w:rPr>
        <w:t xml:space="preserve">, pues a pesar de que el plazo otorgado por la Sala de lo Constitucional </w:t>
      </w:r>
      <w:r w:rsidR="000661BA" w:rsidRPr="000661BA">
        <w:rPr>
          <w:rFonts w:ascii="Verdana" w:hAnsi="Verdana"/>
          <w:color w:val="1D2129"/>
          <w:sz w:val="20"/>
          <w:szCs w:val="20"/>
          <w:lang w:val="es-ES"/>
        </w:rPr>
        <w:t xml:space="preserve">de la Corte Suprema de Justicia </w:t>
      </w:r>
      <w:r w:rsidR="004654F6" w:rsidRPr="000661BA">
        <w:rPr>
          <w:rFonts w:ascii="Verdana" w:hAnsi="Verdana"/>
          <w:color w:val="1D2129"/>
          <w:sz w:val="20"/>
          <w:szCs w:val="20"/>
          <w:lang w:val="es-ES"/>
        </w:rPr>
        <w:t xml:space="preserve">a la Asamblea Legislativa para </w:t>
      </w:r>
      <w:r w:rsidR="00AF11ED" w:rsidRPr="000661BA">
        <w:rPr>
          <w:rFonts w:ascii="Verdana" w:hAnsi="Verdana"/>
          <w:color w:val="1D2129"/>
          <w:sz w:val="20"/>
          <w:szCs w:val="20"/>
          <w:lang w:val="es-ES"/>
        </w:rPr>
        <w:t xml:space="preserve">adoptar </w:t>
      </w:r>
      <w:r w:rsidR="000661BA" w:rsidRPr="000661BA">
        <w:rPr>
          <w:rFonts w:ascii="Verdana" w:hAnsi="Verdana"/>
          <w:color w:val="1D2129"/>
          <w:sz w:val="20"/>
          <w:szCs w:val="20"/>
          <w:lang w:val="es-ES"/>
        </w:rPr>
        <w:t>determinada</w:t>
      </w:r>
      <w:r w:rsidR="00AF11ED" w:rsidRPr="000661BA">
        <w:rPr>
          <w:rFonts w:ascii="Verdana" w:hAnsi="Verdana"/>
          <w:color w:val="1D2129"/>
          <w:sz w:val="20"/>
          <w:szCs w:val="20"/>
          <w:lang w:val="es-ES"/>
        </w:rPr>
        <w:t xml:space="preserve"> normativa vence</w:t>
      </w:r>
      <w:r w:rsidR="000661BA" w:rsidRPr="000661BA">
        <w:rPr>
          <w:rFonts w:ascii="Verdana" w:hAnsi="Verdana"/>
          <w:color w:val="1D2129"/>
          <w:sz w:val="20"/>
          <w:szCs w:val="20"/>
          <w:lang w:val="es-ES"/>
        </w:rPr>
        <w:t>ría</w:t>
      </w:r>
      <w:r w:rsidR="00AF11ED" w:rsidRPr="000661BA">
        <w:rPr>
          <w:rFonts w:ascii="Verdana" w:hAnsi="Verdana"/>
          <w:color w:val="1D2129"/>
          <w:sz w:val="20"/>
          <w:szCs w:val="20"/>
          <w:lang w:val="es-ES"/>
        </w:rPr>
        <w:t xml:space="preserve"> hasta el 13 de julio de 2019,</w:t>
      </w:r>
      <w:r w:rsidRPr="000661BA">
        <w:rPr>
          <w:rFonts w:ascii="Verdana" w:hAnsi="Verdana"/>
          <w:color w:val="1D2129"/>
          <w:sz w:val="20"/>
          <w:szCs w:val="20"/>
          <w:lang w:val="es-ES"/>
        </w:rPr>
        <w:t xml:space="preserve"> </w:t>
      </w:r>
      <w:r w:rsidR="00AF11ED" w:rsidRPr="000661BA">
        <w:rPr>
          <w:rFonts w:ascii="Verdana" w:hAnsi="Verdana"/>
          <w:color w:val="1D2129"/>
          <w:sz w:val="20"/>
          <w:szCs w:val="20"/>
          <w:lang w:val="es-ES"/>
        </w:rPr>
        <w:t>e</w:t>
      </w:r>
      <w:r w:rsidR="00290A7D" w:rsidRPr="000661BA">
        <w:rPr>
          <w:rFonts w:ascii="Verdana" w:hAnsi="Verdana"/>
          <w:color w:val="1D2129"/>
          <w:sz w:val="20"/>
          <w:szCs w:val="20"/>
          <w:lang w:val="es-ES"/>
        </w:rPr>
        <w:t xml:space="preserve">l trámite legislativo para </w:t>
      </w:r>
      <w:r w:rsidR="00347759">
        <w:rPr>
          <w:rFonts w:ascii="Verdana" w:hAnsi="Verdana"/>
          <w:color w:val="1D2129"/>
          <w:sz w:val="20"/>
          <w:szCs w:val="20"/>
          <w:lang w:val="es-ES"/>
        </w:rPr>
        <w:t>la</w:t>
      </w:r>
      <w:r w:rsidR="00AF11ED" w:rsidRPr="000661BA">
        <w:rPr>
          <w:rFonts w:ascii="Verdana" w:hAnsi="Verdana"/>
          <w:color w:val="1D2129"/>
          <w:sz w:val="20"/>
          <w:szCs w:val="20"/>
          <w:lang w:val="es-ES"/>
        </w:rPr>
        <w:t xml:space="preserve"> </w:t>
      </w:r>
      <w:r w:rsidR="00290A7D" w:rsidRPr="000661BA">
        <w:rPr>
          <w:rFonts w:ascii="Verdana" w:hAnsi="Verdana"/>
          <w:color w:val="1D2129"/>
          <w:sz w:val="20"/>
          <w:szCs w:val="20"/>
          <w:lang w:val="es-ES"/>
        </w:rPr>
        <w:t xml:space="preserve">aprobación </w:t>
      </w:r>
      <w:r w:rsidR="00347759">
        <w:rPr>
          <w:rFonts w:ascii="Verdana" w:hAnsi="Verdana"/>
          <w:color w:val="1D2129"/>
          <w:sz w:val="20"/>
          <w:szCs w:val="20"/>
          <w:lang w:val="es-ES"/>
        </w:rPr>
        <w:t xml:space="preserve">del proyecto de ley </w:t>
      </w:r>
      <w:r w:rsidR="00290A7D" w:rsidRPr="000661BA">
        <w:rPr>
          <w:rFonts w:ascii="Verdana" w:hAnsi="Verdana"/>
          <w:color w:val="1D2129"/>
          <w:sz w:val="20"/>
          <w:szCs w:val="20"/>
          <w:lang w:val="es-ES"/>
        </w:rPr>
        <w:t>ha ido avanzando</w:t>
      </w:r>
      <w:r w:rsidR="004654F6" w:rsidRPr="000661BA">
        <w:rPr>
          <w:rFonts w:ascii="Verdana" w:hAnsi="Verdana"/>
          <w:color w:val="1D2129"/>
          <w:sz w:val="20"/>
          <w:szCs w:val="20"/>
          <w:lang w:val="es-ES"/>
        </w:rPr>
        <w:t xml:space="preserve"> </w:t>
      </w:r>
      <w:r w:rsidR="00AF11ED" w:rsidRPr="000661BA">
        <w:rPr>
          <w:rFonts w:ascii="Verdana" w:hAnsi="Verdana"/>
          <w:color w:val="1D2129"/>
          <w:sz w:val="20"/>
          <w:szCs w:val="20"/>
          <w:lang w:val="es-ES"/>
        </w:rPr>
        <w:t xml:space="preserve">muy </w:t>
      </w:r>
      <w:r w:rsidR="004654F6" w:rsidRPr="000661BA">
        <w:rPr>
          <w:rFonts w:ascii="Verdana" w:hAnsi="Verdana"/>
          <w:color w:val="1D2129"/>
          <w:sz w:val="20"/>
          <w:szCs w:val="20"/>
          <w:lang w:val="es-ES"/>
        </w:rPr>
        <w:t>rápidamente en las últimas dos semanas</w:t>
      </w:r>
      <w:r w:rsidR="00AF11ED" w:rsidRPr="000661BA">
        <w:rPr>
          <w:rFonts w:ascii="Verdana" w:hAnsi="Verdana"/>
          <w:color w:val="1D2129"/>
          <w:sz w:val="20"/>
          <w:szCs w:val="20"/>
          <w:lang w:val="es-ES"/>
        </w:rPr>
        <w:t>,</w:t>
      </w:r>
      <w:r w:rsidR="004654F6" w:rsidRPr="000661BA">
        <w:rPr>
          <w:rFonts w:ascii="Verdana" w:hAnsi="Verdana"/>
          <w:color w:val="1D2129"/>
          <w:sz w:val="20"/>
          <w:szCs w:val="20"/>
          <w:lang w:val="es-ES"/>
        </w:rPr>
        <w:t xml:space="preserve"> </w:t>
      </w:r>
      <w:r w:rsidR="00AF11ED" w:rsidRPr="000661BA">
        <w:rPr>
          <w:rFonts w:ascii="Verdana" w:hAnsi="Verdana"/>
          <w:color w:val="1D2129"/>
          <w:sz w:val="20"/>
          <w:szCs w:val="20"/>
          <w:lang w:val="es-ES"/>
        </w:rPr>
        <w:t>pues el objetivo sería aprobar dich</w:t>
      </w:r>
      <w:r w:rsidR="00DF1269">
        <w:rPr>
          <w:rFonts w:ascii="Verdana" w:hAnsi="Verdana"/>
          <w:color w:val="1D2129"/>
          <w:sz w:val="20"/>
          <w:szCs w:val="20"/>
          <w:lang w:val="es-ES"/>
        </w:rPr>
        <w:t>o</w:t>
      </w:r>
      <w:r w:rsidR="00AF11ED" w:rsidRPr="000661BA">
        <w:rPr>
          <w:rFonts w:ascii="Verdana" w:hAnsi="Verdana"/>
          <w:color w:val="1D2129"/>
          <w:sz w:val="20"/>
          <w:szCs w:val="20"/>
          <w:lang w:val="es-ES"/>
        </w:rPr>
        <w:t xml:space="preserve"> </w:t>
      </w:r>
      <w:r w:rsidR="00DF1269">
        <w:rPr>
          <w:rFonts w:ascii="Verdana" w:hAnsi="Verdana"/>
          <w:color w:val="1D2129"/>
          <w:sz w:val="20"/>
          <w:szCs w:val="20"/>
          <w:lang w:val="es-ES"/>
        </w:rPr>
        <w:t>proyecto</w:t>
      </w:r>
      <w:r w:rsidR="00AF11ED" w:rsidRPr="000661BA">
        <w:rPr>
          <w:rFonts w:ascii="Verdana" w:hAnsi="Verdana"/>
          <w:color w:val="1D2129"/>
          <w:sz w:val="20"/>
          <w:szCs w:val="20"/>
          <w:lang w:val="es-ES"/>
        </w:rPr>
        <w:t xml:space="preserve"> de ley con la composición actual del Congreso</w:t>
      </w:r>
      <w:r w:rsidR="00AF11ED" w:rsidRPr="00F951EE">
        <w:rPr>
          <w:rFonts w:ascii="Verdana" w:hAnsi="Verdana"/>
          <w:color w:val="1D2129"/>
          <w:sz w:val="20"/>
          <w:szCs w:val="20"/>
          <w:lang w:val="es-ES"/>
        </w:rPr>
        <w:t xml:space="preserve">, cuyo mandato culmina el 31 de mayo de 2019, para lo cual podría recurrirse incluso a un mecanismo reglamentario interno </w:t>
      </w:r>
      <w:r w:rsidR="00DF1269" w:rsidRPr="00F951EE">
        <w:rPr>
          <w:rFonts w:ascii="Verdana" w:hAnsi="Verdana"/>
          <w:color w:val="1D2129"/>
          <w:sz w:val="20"/>
          <w:szCs w:val="20"/>
          <w:lang w:val="es-ES"/>
        </w:rPr>
        <w:t xml:space="preserve">de la Asamblea </w:t>
      </w:r>
      <w:r w:rsidR="00AF11ED" w:rsidRPr="00F951EE">
        <w:rPr>
          <w:rFonts w:ascii="Verdana" w:hAnsi="Verdana"/>
          <w:color w:val="1D2129"/>
          <w:sz w:val="20"/>
          <w:szCs w:val="20"/>
          <w:lang w:val="es-ES"/>
        </w:rPr>
        <w:t>que exime el seguimiento del trámite legislativo regular</w:t>
      </w:r>
      <w:r w:rsidR="006B17C2" w:rsidRPr="00F951EE">
        <w:rPr>
          <w:rFonts w:ascii="Verdana" w:hAnsi="Verdana"/>
          <w:color w:val="1D2129"/>
          <w:sz w:val="20"/>
          <w:szCs w:val="20"/>
          <w:lang w:val="es-ES"/>
        </w:rPr>
        <w:t xml:space="preserve"> (</w:t>
      </w:r>
      <w:r w:rsidR="006B17C2" w:rsidRPr="00F951EE">
        <w:rPr>
          <w:rFonts w:ascii="Verdana" w:hAnsi="Verdana"/>
          <w:i/>
          <w:color w:val="1D2129"/>
          <w:sz w:val="20"/>
          <w:szCs w:val="20"/>
          <w:lang w:val="es-ES"/>
        </w:rPr>
        <w:t>supra</w:t>
      </w:r>
      <w:r w:rsidR="006B17C2" w:rsidRPr="00F951EE">
        <w:rPr>
          <w:rFonts w:ascii="Verdana" w:hAnsi="Verdana"/>
          <w:color w:val="1D2129"/>
          <w:sz w:val="20"/>
          <w:szCs w:val="20"/>
          <w:lang w:val="es-ES"/>
        </w:rPr>
        <w:t xml:space="preserve"> Considerando </w:t>
      </w:r>
      <w:r w:rsidR="009C7A4B" w:rsidRPr="00F951EE">
        <w:rPr>
          <w:rFonts w:ascii="Verdana" w:hAnsi="Verdana"/>
          <w:color w:val="1D2129"/>
          <w:sz w:val="20"/>
          <w:szCs w:val="20"/>
          <w:lang w:val="es-ES"/>
        </w:rPr>
        <w:t>1</w:t>
      </w:r>
      <w:r w:rsidR="00F2269B">
        <w:rPr>
          <w:rFonts w:ascii="Verdana" w:hAnsi="Verdana"/>
          <w:color w:val="1D2129"/>
          <w:sz w:val="20"/>
          <w:szCs w:val="20"/>
          <w:lang w:val="es-ES"/>
        </w:rPr>
        <w:t>2</w:t>
      </w:r>
      <w:r w:rsidR="006B17C2" w:rsidRPr="00F951EE">
        <w:rPr>
          <w:rFonts w:ascii="Verdana" w:hAnsi="Verdana"/>
          <w:color w:val="1D2129"/>
          <w:sz w:val="20"/>
          <w:szCs w:val="20"/>
          <w:lang w:val="es-ES"/>
        </w:rPr>
        <w:t>)</w:t>
      </w:r>
      <w:r w:rsidR="00AF11ED" w:rsidRPr="00F951EE">
        <w:rPr>
          <w:rFonts w:ascii="Verdana" w:hAnsi="Verdana"/>
          <w:color w:val="1D2129"/>
          <w:sz w:val="20"/>
          <w:szCs w:val="20"/>
          <w:lang w:val="es-ES"/>
        </w:rPr>
        <w:t xml:space="preserve">. </w:t>
      </w:r>
      <w:r w:rsidR="00F951EE" w:rsidRPr="00F951EE">
        <w:rPr>
          <w:rFonts w:ascii="Verdana" w:hAnsi="Verdana"/>
          <w:color w:val="1D2129"/>
          <w:sz w:val="20"/>
          <w:szCs w:val="20"/>
          <w:lang w:val="es-ES"/>
        </w:rPr>
        <w:t>Además, según lo indicado por el Estado, el conocimiento de dicho proyecto de ley por parte de la Comisión Política de la Asamblea inició el 27 de mayo de 2019 (</w:t>
      </w:r>
      <w:r w:rsidR="00F951EE" w:rsidRPr="00F951EE">
        <w:rPr>
          <w:rFonts w:ascii="Verdana" w:hAnsi="Verdana"/>
          <w:i/>
          <w:color w:val="1D2129"/>
          <w:sz w:val="20"/>
          <w:szCs w:val="20"/>
          <w:lang w:val="es-ES"/>
        </w:rPr>
        <w:t>supra</w:t>
      </w:r>
      <w:r w:rsidR="00473671">
        <w:rPr>
          <w:rFonts w:ascii="Verdana" w:hAnsi="Verdana"/>
          <w:color w:val="1D2129"/>
          <w:sz w:val="20"/>
          <w:szCs w:val="20"/>
          <w:lang w:val="es-ES"/>
        </w:rPr>
        <w:t xml:space="preserve"> Considerando 14</w:t>
      </w:r>
      <w:r w:rsidR="00F951EE" w:rsidRPr="00F951EE">
        <w:rPr>
          <w:rFonts w:ascii="Verdana" w:hAnsi="Verdana"/>
          <w:color w:val="1D2129"/>
          <w:sz w:val="20"/>
          <w:szCs w:val="20"/>
          <w:lang w:val="es-ES"/>
        </w:rPr>
        <w:t>)</w:t>
      </w:r>
      <w:r w:rsidR="00473671">
        <w:rPr>
          <w:rFonts w:ascii="Verdana" w:hAnsi="Verdana"/>
          <w:color w:val="1D2129"/>
          <w:sz w:val="20"/>
          <w:szCs w:val="20"/>
          <w:lang w:val="es-ES"/>
        </w:rPr>
        <w:t>.</w:t>
      </w:r>
    </w:p>
    <w:p w14:paraId="06BC34CE" w14:textId="7ED80551" w:rsidR="002B3579" w:rsidRDefault="006D27C7" w:rsidP="002B3579">
      <w:pPr>
        <w:pStyle w:val="Prrafodelista"/>
        <w:numPr>
          <w:ilvl w:val="0"/>
          <w:numId w:val="35"/>
        </w:numPr>
        <w:tabs>
          <w:tab w:val="left" w:pos="0"/>
        </w:tabs>
        <w:autoSpaceDE w:val="0"/>
        <w:autoSpaceDN w:val="0"/>
        <w:adjustRightInd w:val="0"/>
        <w:spacing w:before="120" w:after="120" w:line="240" w:lineRule="auto"/>
        <w:ind w:left="0" w:right="99" w:firstLine="0"/>
        <w:contextualSpacing w:val="0"/>
        <w:jc w:val="both"/>
        <w:rPr>
          <w:rFonts w:ascii="Verdana" w:hAnsi="Verdana"/>
          <w:sz w:val="20"/>
          <w:szCs w:val="20"/>
          <w:u w:val="single"/>
        </w:rPr>
      </w:pPr>
      <w:r w:rsidRPr="00CE41A5">
        <w:rPr>
          <w:rFonts w:ascii="Verdana" w:hAnsi="Verdana"/>
          <w:sz w:val="20"/>
          <w:szCs w:val="20"/>
        </w:rPr>
        <w:t>El requisito de irreparabilidad del daño se c</w:t>
      </w:r>
      <w:r w:rsidR="000061DB" w:rsidRPr="00CE41A5">
        <w:rPr>
          <w:rFonts w:ascii="Verdana" w:hAnsi="Verdana"/>
          <w:sz w:val="20"/>
          <w:szCs w:val="20"/>
        </w:rPr>
        <w:t xml:space="preserve">umple debido a que, </w:t>
      </w:r>
      <w:r w:rsidR="00526B2D" w:rsidRPr="00CE41A5">
        <w:rPr>
          <w:rFonts w:ascii="Verdana" w:hAnsi="Verdana"/>
          <w:sz w:val="20"/>
          <w:szCs w:val="20"/>
        </w:rPr>
        <w:t xml:space="preserve">con </w:t>
      </w:r>
      <w:r w:rsidR="000061DB" w:rsidRPr="00CE41A5">
        <w:rPr>
          <w:rFonts w:ascii="Verdana" w:hAnsi="Verdana"/>
          <w:sz w:val="20"/>
          <w:szCs w:val="20"/>
        </w:rPr>
        <w:t>la eventual aprobación del referido proyecto de ley</w:t>
      </w:r>
      <w:r w:rsidR="00526B2D" w:rsidRPr="00CE41A5">
        <w:rPr>
          <w:rFonts w:ascii="Verdana" w:hAnsi="Verdana"/>
          <w:sz w:val="20"/>
          <w:szCs w:val="20"/>
        </w:rPr>
        <w:t xml:space="preserve"> </w:t>
      </w:r>
      <w:r w:rsidR="00347759">
        <w:rPr>
          <w:rFonts w:ascii="Verdana" w:hAnsi="Verdana"/>
          <w:sz w:val="20"/>
          <w:szCs w:val="20"/>
        </w:rPr>
        <w:t>se podría incurrir</w:t>
      </w:r>
      <w:r w:rsidR="00282F49" w:rsidRPr="00CE41A5">
        <w:rPr>
          <w:rFonts w:ascii="Verdana" w:hAnsi="Verdana"/>
          <w:sz w:val="20"/>
          <w:szCs w:val="20"/>
        </w:rPr>
        <w:t>, por las razones que esta Presidencia ha expuesto</w:t>
      </w:r>
      <w:r w:rsidR="00CE41A5" w:rsidRPr="00CE41A5">
        <w:rPr>
          <w:rFonts w:ascii="Verdana" w:hAnsi="Verdana"/>
          <w:sz w:val="20"/>
          <w:szCs w:val="20"/>
        </w:rPr>
        <w:t xml:space="preserve"> (</w:t>
      </w:r>
      <w:r w:rsidR="00CE41A5" w:rsidRPr="00F2269B">
        <w:rPr>
          <w:rFonts w:ascii="Verdana" w:hAnsi="Verdana"/>
          <w:i/>
          <w:sz w:val="20"/>
          <w:szCs w:val="20"/>
        </w:rPr>
        <w:t>supra</w:t>
      </w:r>
      <w:r w:rsidR="00CE41A5" w:rsidRPr="00CE41A5">
        <w:rPr>
          <w:rFonts w:ascii="Verdana" w:hAnsi="Verdana"/>
          <w:sz w:val="20"/>
          <w:szCs w:val="20"/>
        </w:rPr>
        <w:t xml:space="preserve"> Considerandos </w:t>
      </w:r>
      <w:r w:rsidR="00473671">
        <w:rPr>
          <w:rFonts w:ascii="Verdana" w:hAnsi="Verdana"/>
          <w:sz w:val="20"/>
          <w:szCs w:val="20"/>
        </w:rPr>
        <w:t>20</w:t>
      </w:r>
      <w:r w:rsidR="00F2269B">
        <w:rPr>
          <w:rFonts w:ascii="Verdana" w:hAnsi="Verdana"/>
          <w:sz w:val="20"/>
          <w:szCs w:val="20"/>
        </w:rPr>
        <w:t xml:space="preserve"> a 3</w:t>
      </w:r>
      <w:r w:rsidR="00473671">
        <w:rPr>
          <w:rFonts w:ascii="Verdana" w:hAnsi="Verdana"/>
          <w:sz w:val="20"/>
          <w:szCs w:val="20"/>
        </w:rPr>
        <w:t>5</w:t>
      </w:r>
      <w:r w:rsidR="00CE41A5" w:rsidRPr="00CE41A5">
        <w:rPr>
          <w:rFonts w:ascii="Verdana" w:hAnsi="Verdana"/>
          <w:sz w:val="20"/>
          <w:szCs w:val="20"/>
        </w:rPr>
        <w:t>)</w:t>
      </w:r>
      <w:r w:rsidR="00282F49" w:rsidRPr="00CE41A5">
        <w:rPr>
          <w:rFonts w:ascii="Verdana" w:hAnsi="Verdana"/>
          <w:sz w:val="20"/>
          <w:szCs w:val="20"/>
        </w:rPr>
        <w:t>,</w:t>
      </w:r>
      <w:r w:rsidR="00526B2D" w:rsidRPr="00CE41A5">
        <w:rPr>
          <w:rFonts w:ascii="Verdana" w:hAnsi="Verdana"/>
          <w:sz w:val="20"/>
          <w:szCs w:val="20"/>
        </w:rPr>
        <w:t xml:space="preserve"> en una afectación al derecho al acceso a la justicia de las </w:t>
      </w:r>
      <w:r w:rsidR="00282F49" w:rsidRPr="00CE41A5">
        <w:rPr>
          <w:rFonts w:ascii="Verdana" w:hAnsi="Verdana"/>
          <w:sz w:val="20"/>
          <w:szCs w:val="20"/>
        </w:rPr>
        <w:t xml:space="preserve">víctimas </w:t>
      </w:r>
      <w:r w:rsidR="00347759">
        <w:rPr>
          <w:rFonts w:ascii="Verdana" w:hAnsi="Verdana"/>
          <w:sz w:val="20"/>
          <w:szCs w:val="20"/>
        </w:rPr>
        <w:t>del caso Masacres de El Mozote y lugares aledaños, y podría crear un marco de impunidad que haría ilusorio el acceso a la justicia en éste y otros casos.</w:t>
      </w:r>
      <w:r w:rsidR="00360CCA" w:rsidRPr="00347759">
        <w:rPr>
          <w:rFonts w:ascii="Verdana" w:hAnsi="Verdana"/>
          <w:sz w:val="20"/>
          <w:szCs w:val="20"/>
          <w:lang w:val="es-AR"/>
        </w:rPr>
        <w:t xml:space="preserve"> </w:t>
      </w:r>
    </w:p>
    <w:p w14:paraId="7500CCBF" w14:textId="6ACE92CB" w:rsidR="00282F49" w:rsidRPr="00BA2839" w:rsidRDefault="00813471" w:rsidP="00951F78">
      <w:pPr>
        <w:pStyle w:val="Prrafodelista"/>
        <w:numPr>
          <w:ilvl w:val="0"/>
          <w:numId w:val="35"/>
        </w:numPr>
        <w:tabs>
          <w:tab w:val="left" w:pos="0"/>
        </w:tabs>
        <w:autoSpaceDE w:val="0"/>
        <w:autoSpaceDN w:val="0"/>
        <w:adjustRightInd w:val="0"/>
        <w:spacing w:before="120" w:after="120" w:line="240" w:lineRule="auto"/>
        <w:ind w:left="0" w:right="99" w:firstLine="0"/>
        <w:contextualSpacing w:val="0"/>
        <w:jc w:val="both"/>
        <w:rPr>
          <w:rFonts w:ascii="Verdana" w:hAnsi="Verdana"/>
          <w:color w:val="7030A0"/>
          <w:sz w:val="20"/>
          <w:szCs w:val="20"/>
          <w:u w:val="single"/>
        </w:rPr>
      </w:pPr>
      <w:r>
        <w:rPr>
          <w:rFonts w:ascii="Verdana" w:hAnsi="Verdana"/>
          <w:sz w:val="20"/>
          <w:szCs w:val="20"/>
        </w:rPr>
        <w:t>E</w:t>
      </w:r>
      <w:r w:rsidR="00951F78">
        <w:rPr>
          <w:rFonts w:ascii="Verdana" w:hAnsi="Verdana"/>
          <w:sz w:val="20"/>
          <w:szCs w:val="20"/>
        </w:rPr>
        <w:t>sta Presidencia recuerda que la Corte Interamericana</w:t>
      </w:r>
      <w:r w:rsidR="00A32BC4" w:rsidRPr="00282F49">
        <w:rPr>
          <w:rFonts w:ascii="Verdana" w:hAnsi="Verdana"/>
          <w:sz w:val="20"/>
          <w:szCs w:val="20"/>
        </w:rPr>
        <w:t xml:space="preserve"> ha indicado que “[e]n el ámbito del Derecho Internacional de los Derechos Humanos las medidas que se adopten de acuerdo a las potestades conferidas en el artículo 63.2 de la Convención Americana pueden tener un amplio ámbito de protección tutelar por la materia que se trata cual es la protección de derechos humanos”</w:t>
      </w:r>
      <w:r w:rsidR="00A32BC4" w:rsidRPr="00A32BC4">
        <w:rPr>
          <w:rStyle w:val="Refdenotaalpie"/>
          <w:rFonts w:ascii="Verdana" w:hAnsi="Verdana"/>
          <w:sz w:val="20"/>
          <w:szCs w:val="20"/>
        </w:rPr>
        <w:footnoteReference w:id="51"/>
      </w:r>
      <w:r w:rsidR="00A32BC4" w:rsidRPr="00282F49">
        <w:rPr>
          <w:rFonts w:ascii="Verdana" w:hAnsi="Verdana"/>
          <w:sz w:val="20"/>
          <w:szCs w:val="20"/>
        </w:rPr>
        <w:t xml:space="preserve">. </w:t>
      </w:r>
      <w:r w:rsidR="00951F78">
        <w:rPr>
          <w:rFonts w:ascii="Verdana" w:hAnsi="Verdana"/>
          <w:sz w:val="20"/>
          <w:szCs w:val="20"/>
        </w:rPr>
        <w:t>Asimismo, esta Presidencia recuerda que</w:t>
      </w:r>
      <w:r w:rsidR="00951F78" w:rsidRPr="002053AC">
        <w:rPr>
          <w:rFonts w:ascii="Verdana" w:hAnsi="Verdana"/>
          <w:sz w:val="20"/>
          <w:szCs w:val="20"/>
        </w:rPr>
        <w:t xml:space="preserve"> la disposición establecida en el artículo 63.2 de la Convención confiere un carácter obligatorio a la adopción, por parte del Estado, de las medidas provisionales que le ordena este Tribunal o </w:t>
      </w:r>
      <w:r w:rsidR="00F2269B">
        <w:rPr>
          <w:rFonts w:ascii="Verdana" w:hAnsi="Verdana"/>
          <w:sz w:val="20"/>
          <w:szCs w:val="20"/>
        </w:rPr>
        <w:t xml:space="preserve">las medidas urgentes de </w:t>
      </w:r>
      <w:r w:rsidR="00951F78" w:rsidRPr="002053AC">
        <w:rPr>
          <w:rFonts w:ascii="Verdana" w:hAnsi="Verdana"/>
          <w:sz w:val="20"/>
          <w:szCs w:val="20"/>
        </w:rPr>
        <w:t>su Presidente, ya que, de acuerdo a un principio básico del Derecho Internacional, los Estados deben cumplir sus obligaciones de buena fe (</w:t>
      </w:r>
      <w:r w:rsidR="00951F78" w:rsidRPr="002053AC">
        <w:rPr>
          <w:rFonts w:ascii="Verdana" w:hAnsi="Verdana"/>
          <w:i/>
          <w:sz w:val="20"/>
          <w:szCs w:val="20"/>
        </w:rPr>
        <w:t>pacta sunt servanda</w:t>
      </w:r>
      <w:r w:rsidR="00951F78" w:rsidRPr="002053AC">
        <w:rPr>
          <w:rFonts w:ascii="Verdana" w:hAnsi="Verdana"/>
          <w:sz w:val="20"/>
          <w:szCs w:val="20"/>
        </w:rPr>
        <w:t xml:space="preserve">). El incumplimiento de una orden </w:t>
      </w:r>
      <w:r w:rsidR="00951F78" w:rsidRPr="00D75C50">
        <w:rPr>
          <w:rFonts w:ascii="Verdana" w:hAnsi="Verdana"/>
          <w:sz w:val="20"/>
          <w:szCs w:val="20"/>
        </w:rPr>
        <w:t xml:space="preserve">de adopción de medidas provisionales dictada por el Tribunal o </w:t>
      </w:r>
      <w:r w:rsidR="00F2269B">
        <w:rPr>
          <w:rFonts w:ascii="Verdana" w:hAnsi="Verdana"/>
          <w:sz w:val="20"/>
          <w:szCs w:val="20"/>
        </w:rPr>
        <w:t xml:space="preserve">las medidas urgentes de </w:t>
      </w:r>
      <w:r w:rsidR="00951F78" w:rsidRPr="00D75C50">
        <w:rPr>
          <w:rFonts w:ascii="Verdana" w:hAnsi="Verdana"/>
          <w:sz w:val="20"/>
          <w:szCs w:val="20"/>
        </w:rPr>
        <w:t>su Presidente durante el procedimiento ante la Comisión y ante la Corte puede generar la responsabilidad internacional del Estado</w:t>
      </w:r>
      <w:r w:rsidR="00951F78" w:rsidRPr="00340E64">
        <w:rPr>
          <w:rStyle w:val="Refdenotaalpie"/>
          <w:rFonts w:ascii="Verdana" w:hAnsi="Verdana"/>
          <w:sz w:val="20"/>
          <w:szCs w:val="20"/>
        </w:rPr>
        <w:footnoteReference w:id="52"/>
      </w:r>
      <w:r w:rsidR="00951F78" w:rsidRPr="00D75C50">
        <w:rPr>
          <w:rFonts w:ascii="Verdana" w:hAnsi="Verdana"/>
          <w:sz w:val="20"/>
          <w:szCs w:val="20"/>
        </w:rPr>
        <w:t>.</w:t>
      </w:r>
    </w:p>
    <w:p w14:paraId="325A2614" w14:textId="57362E76" w:rsidR="00D75C50" w:rsidRPr="00BB707C" w:rsidRDefault="00BB707C" w:rsidP="00BB707C">
      <w:pPr>
        <w:pStyle w:val="Prrafodelista"/>
        <w:numPr>
          <w:ilvl w:val="0"/>
          <w:numId w:val="35"/>
        </w:numPr>
        <w:tabs>
          <w:tab w:val="left" w:pos="0"/>
        </w:tabs>
        <w:autoSpaceDE w:val="0"/>
        <w:autoSpaceDN w:val="0"/>
        <w:adjustRightInd w:val="0"/>
        <w:spacing w:before="120" w:after="120" w:line="240" w:lineRule="auto"/>
        <w:ind w:left="0" w:right="99" w:firstLine="0"/>
        <w:contextualSpacing w:val="0"/>
        <w:jc w:val="both"/>
        <w:rPr>
          <w:rFonts w:ascii="Verdana" w:hAnsi="Verdana"/>
          <w:sz w:val="20"/>
          <w:szCs w:val="20"/>
          <w:u w:val="single"/>
        </w:rPr>
      </w:pPr>
      <w:r w:rsidRPr="00BB707C">
        <w:rPr>
          <w:rFonts w:ascii="Verdana" w:hAnsi="Verdana"/>
          <w:sz w:val="20"/>
          <w:szCs w:val="20"/>
        </w:rPr>
        <w:t xml:space="preserve"> En conclusión, e</w:t>
      </w:r>
      <w:r w:rsidR="002B3579" w:rsidRPr="00BB707C">
        <w:rPr>
          <w:rFonts w:ascii="Verdana" w:hAnsi="Verdana"/>
          <w:sz w:val="20"/>
          <w:szCs w:val="20"/>
        </w:rPr>
        <w:t xml:space="preserve">sta Presidencia considera que para evitar que el Estado incumpla con </w:t>
      </w:r>
      <w:r w:rsidRPr="00BB707C">
        <w:rPr>
          <w:rFonts w:ascii="Verdana" w:hAnsi="Verdana"/>
          <w:sz w:val="20"/>
          <w:szCs w:val="20"/>
        </w:rPr>
        <w:t xml:space="preserve">garantizar el derecho de acceso a la justicia de las víctimas del presente caso y con sus obligaciones internacionales derivadas de la Convención Americana, otros instrumentos internacionales y de la Sentencia del presente caso, mediante la </w:t>
      </w:r>
      <w:r w:rsidR="002B3579" w:rsidRPr="00BB707C">
        <w:rPr>
          <w:rFonts w:ascii="Verdana" w:hAnsi="Verdana"/>
          <w:sz w:val="20"/>
          <w:szCs w:val="20"/>
        </w:rPr>
        <w:t xml:space="preserve">eventual aprobación de </w:t>
      </w:r>
      <w:r w:rsidRPr="00BB707C">
        <w:rPr>
          <w:rFonts w:ascii="Verdana" w:hAnsi="Verdana"/>
          <w:sz w:val="20"/>
          <w:szCs w:val="20"/>
        </w:rPr>
        <w:t>un proyecto de</w:t>
      </w:r>
      <w:r w:rsidR="002B3579" w:rsidRPr="00BB707C">
        <w:rPr>
          <w:rFonts w:ascii="Verdana" w:hAnsi="Verdana"/>
          <w:sz w:val="20"/>
          <w:szCs w:val="20"/>
        </w:rPr>
        <w:t xml:space="preserve"> ley que, </w:t>
      </w:r>
      <w:r w:rsidR="002B3579" w:rsidRPr="00BB707C">
        <w:rPr>
          <w:rFonts w:ascii="Verdana" w:hAnsi="Verdana"/>
          <w:i/>
          <w:sz w:val="20"/>
          <w:szCs w:val="20"/>
        </w:rPr>
        <w:t>prima facie</w:t>
      </w:r>
      <w:r w:rsidR="002B3579" w:rsidRPr="00BB707C">
        <w:rPr>
          <w:rFonts w:ascii="Verdana" w:hAnsi="Verdana"/>
          <w:sz w:val="20"/>
          <w:szCs w:val="20"/>
        </w:rPr>
        <w:t xml:space="preserve">, parece incompatible con </w:t>
      </w:r>
      <w:r w:rsidRPr="00BB707C">
        <w:rPr>
          <w:rFonts w:ascii="Verdana" w:hAnsi="Verdana"/>
          <w:sz w:val="20"/>
          <w:szCs w:val="20"/>
        </w:rPr>
        <w:t>las referidas obligaciones</w:t>
      </w:r>
      <w:r w:rsidR="002B3579" w:rsidRPr="00BB707C">
        <w:rPr>
          <w:rFonts w:ascii="Verdana" w:hAnsi="Verdana"/>
          <w:sz w:val="20"/>
          <w:szCs w:val="20"/>
        </w:rPr>
        <w:t xml:space="preserve">, </w:t>
      </w:r>
      <w:r w:rsidR="00A32BC4" w:rsidRPr="00BB707C">
        <w:rPr>
          <w:rFonts w:ascii="Verdana" w:hAnsi="Verdana"/>
          <w:sz w:val="20"/>
          <w:szCs w:val="20"/>
        </w:rPr>
        <w:t xml:space="preserve">y de acuerdo a las facultades que le otorga el artículo 63.2 de la Convención Americana, </w:t>
      </w:r>
      <w:r w:rsidR="002B3579" w:rsidRPr="00BB707C">
        <w:rPr>
          <w:rFonts w:ascii="Verdana" w:hAnsi="Verdana"/>
          <w:sz w:val="20"/>
          <w:szCs w:val="20"/>
        </w:rPr>
        <w:t xml:space="preserve">se requiere, </w:t>
      </w:r>
      <w:r w:rsidRPr="00BB707C">
        <w:rPr>
          <w:rFonts w:ascii="Verdana" w:hAnsi="Verdana"/>
          <w:sz w:val="20"/>
          <w:szCs w:val="20"/>
        </w:rPr>
        <w:t>al</w:t>
      </w:r>
      <w:r w:rsidR="00A32BC4" w:rsidRPr="00BB707C">
        <w:rPr>
          <w:rFonts w:ascii="Verdana" w:hAnsi="Verdana" w:cs="Verdana"/>
          <w:sz w:val="20"/>
          <w:szCs w:val="20"/>
        </w:rPr>
        <w:t xml:space="preserve"> Estado</w:t>
      </w:r>
      <w:r w:rsidRPr="00BB707C">
        <w:rPr>
          <w:rFonts w:ascii="Verdana" w:hAnsi="Verdana" w:cs="Verdana"/>
          <w:sz w:val="20"/>
          <w:szCs w:val="20"/>
        </w:rPr>
        <w:t xml:space="preserve"> de El Salvador que</w:t>
      </w:r>
      <w:r w:rsidR="00A32BC4" w:rsidRPr="00BB707C">
        <w:rPr>
          <w:rFonts w:ascii="Verdana" w:hAnsi="Verdana" w:cs="Verdana"/>
          <w:sz w:val="20"/>
          <w:szCs w:val="20"/>
        </w:rPr>
        <w:t xml:space="preserve"> </w:t>
      </w:r>
      <w:r w:rsidR="00813471" w:rsidRPr="00BB707C">
        <w:rPr>
          <w:rFonts w:ascii="Verdana" w:hAnsi="Verdana" w:cs="Verdana"/>
          <w:sz w:val="20"/>
          <w:szCs w:val="20"/>
        </w:rPr>
        <w:t>suspenda inmediatamente</w:t>
      </w:r>
      <w:r w:rsidR="00BC701E" w:rsidRPr="00BB707C">
        <w:rPr>
          <w:rFonts w:ascii="Verdana" w:hAnsi="Verdana" w:cs="Verdana"/>
          <w:sz w:val="20"/>
          <w:szCs w:val="20"/>
        </w:rPr>
        <w:t xml:space="preserve"> el trá</w:t>
      </w:r>
      <w:r w:rsidR="00BB3EC6" w:rsidRPr="00BB707C">
        <w:rPr>
          <w:rFonts w:ascii="Verdana" w:hAnsi="Verdana" w:cs="Verdana"/>
          <w:sz w:val="20"/>
          <w:szCs w:val="20"/>
        </w:rPr>
        <w:t xml:space="preserve">mite </w:t>
      </w:r>
      <w:r w:rsidR="00C618F7" w:rsidRPr="00BB707C">
        <w:rPr>
          <w:rFonts w:ascii="Verdana" w:hAnsi="Verdana" w:cs="Verdana"/>
          <w:sz w:val="20"/>
          <w:szCs w:val="20"/>
        </w:rPr>
        <w:t xml:space="preserve">legislativo </w:t>
      </w:r>
      <w:r w:rsidR="00282F49" w:rsidRPr="00BB707C">
        <w:rPr>
          <w:rFonts w:ascii="Verdana" w:hAnsi="Verdana" w:cs="Verdana"/>
          <w:sz w:val="20"/>
          <w:szCs w:val="20"/>
        </w:rPr>
        <w:t>del proyecto de “Ley Especial de Justicia Transicional y Restaurativa para la Reconciliación Nacional” que se encuentra actualmente en la Comisión Política de la Asamblea Legislativa</w:t>
      </w:r>
      <w:r w:rsidR="00D75C50" w:rsidRPr="00BB707C">
        <w:rPr>
          <w:rFonts w:ascii="Verdana" w:hAnsi="Verdana" w:cs="Verdana"/>
          <w:sz w:val="20"/>
          <w:szCs w:val="20"/>
        </w:rPr>
        <w:t xml:space="preserve">, </w:t>
      </w:r>
      <w:r w:rsidR="00282F49" w:rsidRPr="00BB707C">
        <w:rPr>
          <w:rFonts w:ascii="Verdana" w:hAnsi="Verdana" w:cs="Verdana"/>
          <w:sz w:val="20"/>
          <w:szCs w:val="20"/>
        </w:rPr>
        <w:t xml:space="preserve">hasta que el Pleno de la Corte </w:t>
      </w:r>
      <w:r w:rsidR="00924C4E">
        <w:rPr>
          <w:rFonts w:ascii="Verdana" w:hAnsi="Verdana" w:cs="Verdana"/>
          <w:sz w:val="20"/>
          <w:szCs w:val="20"/>
        </w:rPr>
        <w:t xml:space="preserve">Interamericana </w:t>
      </w:r>
      <w:r w:rsidR="00282F49" w:rsidRPr="00BB707C">
        <w:rPr>
          <w:rFonts w:ascii="Verdana" w:hAnsi="Verdana" w:cs="Verdana"/>
          <w:sz w:val="20"/>
          <w:szCs w:val="20"/>
        </w:rPr>
        <w:t>conozca</w:t>
      </w:r>
      <w:r w:rsidR="00813471" w:rsidRPr="00BB707C">
        <w:rPr>
          <w:rFonts w:ascii="Verdana" w:hAnsi="Verdana" w:cs="Verdana"/>
          <w:sz w:val="20"/>
          <w:szCs w:val="20"/>
        </w:rPr>
        <w:t xml:space="preserve"> y se pronuncie sobre</w:t>
      </w:r>
      <w:r w:rsidR="00282F49" w:rsidRPr="00BB707C">
        <w:rPr>
          <w:rFonts w:ascii="Verdana" w:hAnsi="Verdana" w:cs="Verdana"/>
          <w:sz w:val="20"/>
          <w:szCs w:val="20"/>
        </w:rPr>
        <w:t xml:space="preserve"> </w:t>
      </w:r>
      <w:r w:rsidR="00924C4E">
        <w:rPr>
          <w:rFonts w:ascii="Verdana" w:hAnsi="Verdana" w:cs="Verdana"/>
          <w:sz w:val="20"/>
          <w:szCs w:val="20"/>
        </w:rPr>
        <w:t>esta</w:t>
      </w:r>
      <w:r w:rsidR="00282F49" w:rsidRPr="00BB707C">
        <w:rPr>
          <w:rFonts w:ascii="Verdana" w:hAnsi="Verdana" w:cs="Verdana"/>
          <w:sz w:val="20"/>
          <w:szCs w:val="20"/>
        </w:rPr>
        <w:t xml:space="preserve"> solicitud de medidas provisionales durante su </w:t>
      </w:r>
      <w:r w:rsidR="00813471" w:rsidRPr="00BB707C">
        <w:rPr>
          <w:rFonts w:ascii="Verdana" w:hAnsi="Verdana" w:cs="Verdana"/>
          <w:sz w:val="20"/>
          <w:szCs w:val="20"/>
        </w:rPr>
        <w:t>próximo</w:t>
      </w:r>
      <w:r w:rsidR="00282F49" w:rsidRPr="00BB707C">
        <w:rPr>
          <w:rFonts w:ascii="Verdana" w:hAnsi="Verdana" w:cs="Verdana"/>
          <w:sz w:val="20"/>
          <w:szCs w:val="20"/>
        </w:rPr>
        <w:t xml:space="preserve"> </w:t>
      </w:r>
      <w:r w:rsidR="003B5CCC">
        <w:rPr>
          <w:rFonts w:ascii="Verdana" w:hAnsi="Verdana" w:cs="Verdana"/>
          <w:sz w:val="20"/>
          <w:szCs w:val="20"/>
        </w:rPr>
        <w:t>p</w:t>
      </w:r>
      <w:r w:rsidR="00282F49" w:rsidRPr="00BB707C">
        <w:rPr>
          <w:rFonts w:ascii="Verdana" w:hAnsi="Verdana" w:cs="Verdana"/>
          <w:sz w:val="20"/>
          <w:szCs w:val="20"/>
        </w:rPr>
        <w:t xml:space="preserve">eríodo de </w:t>
      </w:r>
      <w:r w:rsidR="003B5CCC">
        <w:rPr>
          <w:rFonts w:ascii="Verdana" w:hAnsi="Verdana" w:cs="Verdana"/>
          <w:sz w:val="20"/>
          <w:szCs w:val="20"/>
        </w:rPr>
        <w:t>s</w:t>
      </w:r>
      <w:r w:rsidR="00282F49" w:rsidRPr="00BB707C">
        <w:rPr>
          <w:rFonts w:ascii="Verdana" w:hAnsi="Verdana" w:cs="Verdana"/>
          <w:sz w:val="20"/>
          <w:szCs w:val="20"/>
        </w:rPr>
        <w:t>esiones</w:t>
      </w:r>
      <w:bookmarkStart w:id="10" w:name="_Ref3292027"/>
      <w:r w:rsidR="00813471" w:rsidRPr="00BB707C">
        <w:rPr>
          <w:rFonts w:ascii="Verdana" w:hAnsi="Verdana" w:cs="Verdana"/>
          <w:sz w:val="20"/>
          <w:szCs w:val="20"/>
        </w:rPr>
        <w:t>.</w:t>
      </w:r>
    </w:p>
    <w:p w14:paraId="53541BAA" w14:textId="0BF07506" w:rsidR="00813471" w:rsidRPr="00064925" w:rsidRDefault="00813471" w:rsidP="00064925">
      <w:pPr>
        <w:pStyle w:val="Prrafodelista"/>
        <w:numPr>
          <w:ilvl w:val="0"/>
          <w:numId w:val="35"/>
        </w:numPr>
        <w:tabs>
          <w:tab w:val="left" w:pos="0"/>
        </w:tabs>
        <w:autoSpaceDE w:val="0"/>
        <w:autoSpaceDN w:val="0"/>
        <w:adjustRightInd w:val="0"/>
        <w:spacing w:before="120" w:after="120" w:line="240" w:lineRule="auto"/>
        <w:ind w:left="0" w:right="99" w:firstLine="0"/>
        <w:contextualSpacing w:val="0"/>
        <w:jc w:val="both"/>
        <w:rPr>
          <w:rFonts w:ascii="Verdana" w:hAnsi="Verdana"/>
          <w:sz w:val="20"/>
          <w:szCs w:val="20"/>
          <w:u w:val="single"/>
        </w:rPr>
      </w:pPr>
      <w:r w:rsidRPr="0006208B">
        <w:rPr>
          <w:rFonts w:ascii="Verdana" w:hAnsi="Verdana"/>
          <w:sz w:val="20"/>
          <w:szCs w:val="20"/>
        </w:rPr>
        <w:lastRenderedPageBreak/>
        <w:t xml:space="preserve">Esta Presidencia recuerda que todas las autoridades– incluido el Poder Legislativo- de un Estado Parte en la Convención Americana tienen la obligación de ejercer un control de “control de convencionalidad” </w:t>
      </w:r>
      <w:r w:rsidRPr="0006208B">
        <w:rPr>
          <w:rFonts w:ascii="Verdana" w:hAnsi="Verdana"/>
          <w:i/>
          <w:sz w:val="20"/>
          <w:szCs w:val="20"/>
        </w:rPr>
        <w:t>ex officio</w:t>
      </w:r>
      <w:r w:rsidRPr="0006208B">
        <w:rPr>
          <w:rFonts w:ascii="Verdana" w:hAnsi="Verdana"/>
          <w:sz w:val="20"/>
          <w:szCs w:val="20"/>
        </w:rPr>
        <w:t>, evidentemente en el marco de sus respectivas competencias y de las regulaciones procesales correspondientes, de forma tal que la interpretación y aplicación del derecho nacional sea consistente con las obligaciones internacionales del Estado en materia de derechos humanos. En esta tarea deben tener</w:t>
      </w:r>
      <w:r w:rsidRPr="002B3579">
        <w:rPr>
          <w:rFonts w:ascii="Verdana" w:hAnsi="Verdana"/>
          <w:sz w:val="20"/>
          <w:szCs w:val="20"/>
        </w:rPr>
        <w:t xml:space="preserve"> en cuenta no solamente la Convención Americana y demás instrumentos interamericanos, sino también la interpretación que de estos ha hecho la Corte Interamericana</w:t>
      </w:r>
      <w:r w:rsidRPr="00EA0940">
        <w:rPr>
          <w:rStyle w:val="Refdenotaalpie"/>
          <w:rFonts w:ascii="Verdana" w:hAnsi="Verdana"/>
        </w:rPr>
        <w:footnoteReference w:id="53"/>
      </w:r>
      <w:r w:rsidRPr="002B3579">
        <w:rPr>
          <w:rFonts w:ascii="Verdana" w:hAnsi="Verdana"/>
          <w:sz w:val="20"/>
          <w:szCs w:val="20"/>
        </w:rPr>
        <w:t>. Adicionalmente la Corte ha sostenido que el control de convencionalidad debe ejercerse tanto en la emisión y aplicación de normas, en cuanto a su validez y compatibilidad con la Convención, así como en la determinación, juzgamiento y resolución de situaciones particulares y casos concretos</w:t>
      </w:r>
      <w:r w:rsidRPr="00EA0940">
        <w:rPr>
          <w:rStyle w:val="Refdenotaalpie"/>
          <w:rFonts w:ascii="Verdana" w:hAnsi="Verdana"/>
        </w:rPr>
        <w:footnoteReference w:id="54"/>
      </w:r>
      <w:r w:rsidRPr="002B3579">
        <w:rPr>
          <w:rFonts w:ascii="Verdana" w:hAnsi="Verdana"/>
          <w:sz w:val="20"/>
          <w:szCs w:val="20"/>
        </w:rPr>
        <w:t xml:space="preserve">. </w:t>
      </w:r>
    </w:p>
    <w:p w14:paraId="469093F9" w14:textId="5A38DA06" w:rsidR="00BA2839" w:rsidRPr="00BA2839" w:rsidRDefault="00BA2839" w:rsidP="00D75C50">
      <w:pPr>
        <w:pStyle w:val="Prrafodelista"/>
        <w:numPr>
          <w:ilvl w:val="0"/>
          <w:numId w:val="35"/>
        </w:numPr>
        <w:tabs>
          <w:tab w:val="left" w:pos="0"/>
        </w:tabs>
        <w:autoSpaceDE w:val="0"/>
        <w:autoSpaceDN w:val="0"/>
        <w:adjustRightInd w:val="0"/>
        <w:spacing w:before="120" w:after="120" w:line="240" w:lineRule="auto"/>
        <w:ind w:left="0" w:right="99" w:firstLine="0"/>
        <w:contextualSpacing w:val="0"/>
        <w:jc w:val="both"/>
        <w:rPr>
          <w:rFonts w:ascii="Verdana" w:hAnsi="Verdana"/>
          <w:sz w:val="20"/>
          <w:szCs w:val="20"/>
          <w:u w:val="single"/>
        </w:rPr>
      </w:pPr>
      <w:r w:rsidRPr="00BA2839">
        <w:rPr>
          <w:rFonts w:ascii="Verdana" w:hAnsi="Verdana"/>
          <w:sz w:val="20"/>
          <w:szCs w:val="20"/>
        </w:rPr>
        <w:t xml:space="preserve">A fin de que el Pleno de la Corte cuente con mayores elementos para pronunciarse sobre la referida solicitud, </w:t>
      </w:r>
      <w:r w:rsidR="00CD0D1F">
        <w:rPr>
          <w:rFonts w:ascii="Verdana" w:hAnsi="Verdana"/>
          <w:sz w:val="20"/>
          <w:szCs w:val="20"/>
        </w:rPr>
        <w:t>esta Presidencia requiere</w:t>
      </w:r>
      <w:r w:rsidRPr="00BA2839">
        <w:rPr>
          <w:rFonts w:ascii="Verdana" w:hAnsi="Verdana"/>
          <w:sz w:val="20"/>
          <w:szCs w:val="20"/>
        </w:rPr>
        <w:t xml:space="preserve"> al Estado que</w:t>
      </w:r>
      <w:r w:rsidR="00CD0D1F">
        <w:rPr>
          <w:rFonts w:ascii="Verdana" w:hAnsi="Verdana"/>
          <w:sz w:val="20"/>
          <w:szCs w:val="20"/>
        </w:rPr>
        <w:t xml:space="preserve"> en el plazo indicado en el punto resolutivo </w:t>
      </w:r>
      <w:r w:rsidR="00F951EE" w:rsidRPr="007E6F12">
        <w:rPr>
          <w:rFonts w:ascii="Verdana" w:hAnsi="Verdana"/>
          <w:sz w:val="20"/>
          <w:szCs w:val="20"/>
        </w:rPr>
        <w:t>segundo</w:t>
      </w:r>
      <w:r w:rsidR="00CD0D1F">
        <w:rPr>
          <w:rFonts w:ascii="Verdana" w:hAnsi="Verdana"/>
          <w:sz w:val="20"/>
          <w:szCs w:val="20"/>
        </w:rPr>
        <w:t xml:space="preserve"> de la </w:t>
      </w:r>
      <w:r w:rsidRPr="00BA2839">
        <w:rPr>
          <w:rFonts w:ascii="Verdana" w:hAnsi="Verdana"/>
          <w:sz w:val="20"/>
          <w:szCs w:val="20"/>
        </w:rPr>
        <w:t>presente</w:t>
      </w:r>
      <w:r w:rsidR="00CD0D1F">
        <w:rPr>
          <w:rFonts w:ascii="Verdana" w:hAnsi="Verdana"/>
          <w:sz w:val="20"/>
          <w:szCs w:val="20"/>
        </w:rPr>
        <w:t xml:space="preserve"> Resolución, aporte</w:t>
      </w:r>
      <w:r w:rsidRPr="00BA2839">
        <w:rPr>
          <w:rFonts w:ascii="Verdana" w:hAnsi="Verdana"/>
          <w:sz w:val="20"/>
          <w:szCs w:val="20"/>
        </w:rPr>
        <w:t xml:space="preserve"> un informe en el cual </w:t>
      </w:r>
      <w:r w:rsidR="00F2269B">
        <w:rPr>
          <w:rFonts w:ascii="Verdana" w:hAnsi="Verdana"/>
          <w:sz w:val="20"/>
          <w:szCs w:val="20"/>
        </w:rPr>
        <w:t xml:space="preserve">se refiera al impacto que tendría este proyecto de ley respecto del cumplimiento de la obligación de investigar derivada de la Sentencia del caso Masacres de El Mozote y lugares aledaños, así como que  </w:t>
      </w:r>
      <w:r w:rsidRPr="00BA2839">
        <w:rPr>
          <w:rFonts w:ascii="Verdana" w:hAnsi="Verdana"/>
          <w:sz w:val="20"/>
          <w:szCs w:val="20"/>
        </w:rPr>
        <w:t xml:space="preserve">explique si dentro de su ordenamiento jurídico la Sala de lo Constitucional podría realizar un control previo de constitucionalidad de proyectos de ley, o bien, si en el marco de las audiencias y resoluciones de seguimiento que dicha Sala está realizando respecto al cumplimiento de su sentencia de 13 de julio de 2016 podría valorar si el contenido del proyecto de </w:t>
      </w:r>
      <w:r w:rsidR="00F2269B" w:rsidRPr="00BB707C">
        <w:rPr>
          <w:rFonts w:ascii="Verdana" w:hAnsi="Verdana" w:cs="Verdana"/>
          <w:sz w:val="20"/>
          <w:szCs w:val="20"/>
        </w:rPr>
        <w:t xml:space="preserve">“Ley Especial de Justicia Transicional y Restaurativa para la Reconciliación Nacional” </w:t>
      </w:r>
      <w:r w:rsidRPr="00BA2839">
        <w:rPr>
          <w:rFonts w:ascii="Verdana" w:hAnsi="Verdana"/>
          <w:sz w:val="20"/>
          <w:szCs w:val="20"/>
        </w:rPr>
        <w:t>cumple con las disposiciones que realizó en dicha decisión.</w:t>
      </w:r>
      <w:r w:rsidR="00AC5C17" w:rsidRPr="00AC5C17">
        <w:rPr>
          <w:rFonts w:ascii="Verdana" w:hAnsi="Verdana"/>
          <w:sz w:val="18"/>
          <w:szCs w:val="18"/>
        </w:rPr>
        <w:t xml:space="preserve"> </w:t>
      </w:r>
    </w:p>
    <w:p w14:paraId="1DF1C6DB" w14:textId="77777777" w:rsidR="00BA2839" w:rsidRDefault="00BA2839" w:rsidP="00953771">
      <w:pPr>
        <w:spacing w:before="120" w:after="120" w:line="240" w:lineRule="auto"/>
        <w:jc w:val="center"/>
        <w:rPr>
          <w:rFonts w:ascii="Verdana" w:hAnsi="Verdana"/>
          <w:b/>
          <w:smallCaps/>
          <w:sz w:val="20"/>
          <w:szCs w:val="20"/>
        </w:rPr>
      </w:pPr>
    </w:p>
    <w:p w14:paraId="039D00D7" w14:textId="77777777" w:rsidR="00F03A4C" w:rsidRDefault="00F03A4C" w:rsidP="00953771">
      <w:pPr>
        <w:spacing w:before="120" w:after="120" w:line="240" w:lineRule="auto"/>
        <w:jc w:val="center"/>
        <w:rPr>
          <w:rFonts w:ascii="Verdana" w:hAnsi="Verdana"/>
          <w:b/>
          <w:smallCaps/>
          <w:sz w:val="20"/>
          <w:szCs w:val="20"/>
        </w:rPr>
      </w:pPr>
    </w:p>
    <w:p w14:paraId="6EFD1E98" w14:textId="3A9E8871" w:rsidR="00953771" w:rsidRPr="001F717D" w:rsidRDefault="00953771" w:rsidP="00953771">
      <w:pPr>
        <w:spacing w:before="120" w:after="120" w:line="240" w:lineRule="auto"/>
        <w:jc w:val="center"/>
        <w:rPr>
          <w:rFonts w:ascii="Verdana" w:hAnsi="Verdana"/>
          <w:b/>
          <w:smallCaps/>
          <w:sz w:val="20"/>
          <w:szCs w:val="20"/>
        </w:rPr>
      </w:pPr>
      <w:r>
        <w:rPr>
          <w:rFonts w:ascii="Verdana" w:hAnsi="Verdana"/>
          <w:b/>
          <w:smallCaps/>
          <w:sz w:val="20"/>
          <w:szCs w:val="20"/>
        </w:rPr>
        <w:t>II. Supervisión de Cumplimiento</w:t>
      </w:r>
    </w:p>
    <w:p w14:paraId="6D5DD2D8" w14:textId="4422CA99" w:rsidR="00F865F1" w:rsidRDefault="00AC5C17" w:rsidP="002053AC">
      <w:pPr>
        <w:pStyle w:val="Prrafodelista"/>
        <w:numPr>
          <w:ilvl w:val="0"/>
          <w:numId w:val="35"/>
        </w:numPr>
        <w:tabs>
          <w:tab w:val="left" w:pos="0"/>
        </w:tabs>
        <w:autoSpaceDE w:val="0"/>
        <w:autoSpaceDN w:val="0"/>
        <w:adjustRightInd w:val="0"/>
        <w:spacing w:before="120" w:after="120" w:line="240" w:lineRule="auto"/>
        <w:ind w:left="0" w:right="99" w:firstLine="0"/>
        <w:contextualSpacing w:val="0"/>
        <w:jc w:val="both"/>
        <w:rPr>
          <w:rFonts w:ascii="Verdana" w:hAnsi="Verdana"/>
          <w:sz w:val="20"/>
          <w:szCs w:val="20"/>
        </w:rPr>
      </w:pPr>
      <w:r w:rsidRPr="00AC5C17">
        <w:rPr>
          <w:rFonts w:ascii="Verdana" w:hAnsi="Verdana"/>
          <w:sz w:val="20"/>
          <w:szCs w:val="20"/>
        </w:rPr>
        <w:t xml:space="preserve">Debido a que todo lo indicado por esta Presidencia en los Considerandos </w:t>
      </w:r>
      <w:r w:rsidR="00E73289">
        <w:rPr>
          <w:rFonts w:ascii="Verdana" w:hAnsi="Verdana"/>
          <w:sz w:val="20"/>
          <w:szCs w:val="20"/>
        </w:rPr>
        <w:t>17</w:t>
      </w:r>
      <w:r w:rsidRPr="00AC5C17">
        <w:rPr>
          <w:rFonts w:ascii="Verdana" w:hAnsi="Verdana"/>
          <w:sz w:val="20"/>
          <w:szCs w:val="20"/>
        </w:rPr>
        <w:t xml:space="preserve"> a </w:t>
      </w:r>
      <w:r w:rsidR="00E73289">
        <w:rPr>
          <w:rFonts w:ascii="Verdana" w:hAnsi="Verdana"/>
          <w:sz w:val="20"/>
          <w:szCs w:val="20"/>
        </w:rPr>
        <w:t>44</w:t>
      </w:r>
      <w:r>
        <w:rPr>
          <w:rFonts w:ascii="Verdana" w:hAnsi="Verdana"/>
          <w:sz w:val="20"/>
          <w:szCs w:val="20"/>
        </w:rPr>
        <w:t xml:space="preserve"> concierne al cumplimiento de la sentencia</w:t>
      </w:r>
      <w:r w:rsidR="0006208B">
        <w:rPr>
          <w:rFonts w:ascii="Verdana" w:hAnsi="Verdana"/>
          <w:sz w:val="20"/>
          <w:szCs w:val="20"/>
        </w:rPr>
        <w:t xml:space="preserve"> del</w:t>
      </w:r>
      <w:r>
        <w:rPr>
          <w:rFonts w:ascii="Verdana" w:hAnsi="Verdana"/>
          <w:sz w:val="20"/>
          <w:szCs w:val="20"/>
        </w:rPr>
        <w:t xml:space="preserve"> </w:t>
      </w:r>
      <w:r w:rsidRPr="00AC5C17">
        <w:rPr>
          <w:rFonts w:ascii="Verdana" w:hAnsi="Verdana"/>
          <w:i/>
          <w:sz w:val="20"/>
          <w:szCs w:val="20"/>
        </w:rPr>
        <w:t>caso Masacres de El Mozote y lugares aledaños</w:t>
      </w:r>
      <w:r>
        <w:rPr>
          <w:rFonts w:ascii="Verdana" w:hAnsi="Verdana"/>
          <w:sz w:val="20"/>
          <w:szCs w:val="20"/>
        </w:rPr>
        <w:t xml:space="preserve">, </w:t>
      </w:r>
      <w:bookmarkEnd w:id="10"/>
      <w:r w:rsidRPr="00AC5C17">
        <w:rPr>
          <w:rFonts w:ascii="Verdana" w:hAnsi="Verdana"/>
          <w:sz w:val="20"/>
          <w:szCs w:val="20"/>
        </w:rPr>
        <w:t xml:space="preserve">respecto de la obligación de investigar, juzgar y, en su caso, sancionar, la información que las partes y la Comisión aporten al respecto se incluirá también en </w:t>
      </w:r>
      <w:r w:rsidR="0006208B">
        <w:rPr>
          <w:rFonts w:ascii="Verdana" w:hAnsi="Verdana"/>
          <w:sz w:val="20"/>
          <w:szCs w:val="20"/>
        </w:rPr>
        <w:t>el expediente</w:t>
      </w:r>
      <w:r w:rsidRPr="00AC5C17">
        <w:rPr>
          <w:rFonts w:ascii="Verdana" w:hAnsi="Verdana"/>
          <w:sz w:val="20"/>
          <w:szCs w:val="20"/>
        </w:rPr>
        <w:t xml:space="preserve"> relativo</w:t>
      </w:r>
      <w:r w:rsidR="0006208B">
        <w:rPr>
          <w:rFonts w:ascii="Verdana" w:hAnsi="Verdana"/>
          <w:sz w:val="20"/>
          <w:szCs w:val="20"/>
        </w:rPr>
        <w:t xml:space="preserve"> a dicha etapa de supervisión.</w:t>
      </w:r>
    </w:p>
    <w:p w14:paraId="535B167A" w14:textId="77777777" w:rsidR="003C39AF" w:rsidRDefault="003C39AF" w:rsidP="002053AC">
      <w:pPr>
        <w:autoSpaceDE w:val="0"/>
        <w:autoSpaceDN w:val="0"/>
        <w:adjustRightInd w:val="0"/>
        <w:spacing w:before="120" w:after="120" w:line="240" w:lineRule="auto"/>
        <w:jc w:val="both"/>
        <w:rPr>
          <w:rFonts w:ascii="Verdana" w:hAnsi="Verdana"/>
          <w:b/>
          <w:sz w:val="4"/>
          <w:szCs w:val="4"/>
        </w:rPr>
      </w:pPr>
    </w:p>
    <w:p w14:paraId="2F557BFB" w14:textId="77777777" w:rsidR="00B657F9" w:rsidRPr="003C39AF" w:rsidRDefault="00B657F9" w:rsidP="002053AC">
      <w:pPr>
        <w:autoSpaceDE w:val="0"/>
        <w:autoSpaceDN w:val="0"/>
        <w:adjustRightInd w:val="0"/>
        <w:spacing w:before="120" w:after="120" w:line="240" w:lineRule="auto"/>
        <w:jc w:val="both"/>
        <w:rPr>
          <w:rFonts w:ascii="Verdana" w:hAnsi="Verdana"/>
          <w:b/>
          <w:sz w:val="4"/>
          <w:szCs w:val="4"/>
        </w:rPr>
      </w:pPr>
    </w:p>
    <w:p w14:paraId="46E440E8" w14:textId="77777777" w:rsidR="002053AC" w:rsidRPr="002053AC" w:rsidRDefault="002053AC" w:rsidP="002053AC">
      <w:pPr>
        <w:autoSpaceDE w:val="0"/>
        <w:autoSpaceDN w:val="0"/>
        <w:adjustRightInd w:val="0"/>
        <w:spacing w:before="120" w:after="120" w:line="240" w:lineRule="auto"/>
        <w:jc w:val="both"/>
        <w:rPr>
          <w:rFonts w:ascii="Verdana" w:hAnsi="Verdana"/>
          <w:b/>
          <w:sz w:val="20"/>
          <w:szCs w:val="20"/>
        </w:rPr>
      </w:pPr>
      <w:r w:rsidRPr="002053AC">
        <w:rPr>
          <w:rFonts w:ascii="Verdana" w:hAnsi="Verdana"/>
          <w:b/>
          <w:sz w:val="20"/>
          <w:szCs w:val="20"/>
        </w:rPr>
        <w:t xml:space="preserve">POR TANTO: </w:t>
      </w:r>
    </w:p>
    <w:p w14:paraId="780BEB28" w14:textId="77777777" w:rsidR="002053AC" w:rsidRPr="002053AC" w:rsidRDefault="002053AC" w:rsidP="002053AC">
      <w:pPr>
        <w:autoSpaceDE w:val="0"/>
        <w:autoSpaceDN w:val="0"/>
        <w:adjustRightInd w:val="0"/>
        <w:spacing w:before="120" w:after="120" w:line="240" w:lineRule="auto"/>
        <w:jc w:val="both"/>
        <w:rPr>
          <w:rFonts w:ascii="Verdana" w:hAnsi="Verdana"/>
          <w:b/>
          <w:sz w:val="20"/>
          <w:szCs w:val="20"/>
        </w:rPr>
      </w:pPr>
      <w:r w:rsidRPr="002053AC">
        <w:rPr>
          <w:rFonts w:ascii="Verdana" w:hAnsi="Verdana"/>
          <w:b/>
          <w:sz w:val="20"/>
          <w:szCs w:val="20"/>
        </w:rPr>
        <w:t xml:space="preserve">EL PRESIDENTE LA CORTE INTERAMERICANA DE DERECHOS HUMANOS, </w:t>
      </w:r>
    </w:p>
    <w:p w14:paraId="4C1838D1" w14:textId="05C32A40" w:rsidR="00373854" w:rsidRPr="002053AC" w:rsidRDefault="002053AC" w:rsidP="002053AC">
      <w:pPr>
        <w:autoSpaceDE w:val="0"/>
        <w:autoSpaceDN w:val="0"/>
        <w:adjustRightInd w:val="0"/>
        <w:spacing w:before="120" w:after="120" w:line="240" w:lineRule="auto"/>
        <w:jc w:val="both"/>
        <w:rPr>
          <w:rFonts w:ascii="Verdana" w:hAnsi="Verdana"/>
          <w:sz w:val="20"/>
          <w:szCs w:val="20"/>
        </w:rPr>
      </w:pPr>
      <w:r w:rsidRPr="002053AC">
        <w:rPr>
          <w:rFonts w:ascii="Verdana" w:hAnsi="Verdana"/>
          <w:sz w:val="20"/>
          <w:szCs w:val="20"/>
        </w:rPr>
        <w:t xml:space="preserve">en uso de las atribuciones que le confieren los artículos 63.2 de la Convención Americana, y 24.1 y 25.2 del Estatuto de la Corte, y los artículos 4, 27, y 31.2 del Reglamento del Tribunal, </w:t>
      </w:r>
    </w:p>
    <w:p w14:paraId="247E53FA" w14:textId="77777777" w:rsidR="002053AC" w:rsidRDefault="002053AC" w:rsidP="002053AC">
      <w:pPr>
        <w:autoSpaceDE w:val="0"/>
        <w:autoSpaceDN w:val="0"/>
        <w:adjustRightInd w:val="0"/>
        <w:spacing w:before="120" w:after="120" w:line="240" w:lineRule="auto"/>
        <w:jc w:val="both"/>
        <w:rPr>
          <w:rFonts w:ascii="Verdana" w:hAnsi="Verdana"/>
          <w:b/>
          <w:sz w:val="4"/>
          <w:szCs w:val="4"/>
        </w:rPr>
      </w:pPr>
    </w:p>
    <w:p w14:paraId="2340E88D" w14:textId="77777777" w:rsidR="00692C8F" w:rsidRDefault="00692C8F" w:rsidP="002053AC">
      <w:pPr>
        <w:autoSpaceDE w:val="0"/>
        <w:autoSpaceDN w:val="0"/>
        <w:adjustRightInd w:val="0"/>
        <w:spacing w:before="120" w:after="120" w:line="240" w:lineRule="auto"/>
        <w:jc w:val="both"/>
        <w:rPr>
          <w:rFonts w:ascii="Verdana" w:hAnsi="Verdana"/>
          <w:b/>
          <w:sz w:val="4"/>
          <w:szCs w:val="4"/>
        </w:rPr>
      </w:pPr>
    </w:p>
    <w:p w14:paraId="0C262FF5" w14:textId="77777777" w:rsidR="00692C8F" w:rsidRDefault="00692C8F" w:rsidP="002053AC">
      <w:pPr>
        <w:autoSpaceDE w:val="0"/>
        <w:autoSpaceDN w:val="0"/>
        <w:adjustRightInd w:val="0"/>
        <w:spacing w:before="120" w:after="120" w:line="240" w:lineRule="auto"/>
        <w:jc w:val="both"/>
        <w:rPr>
          <w:rFonts w:ascii="Verdana" w:hAnsi="Verdana"/>
          <w:b/>
          <w:sz w:val="4"/>
          <w:szCs w:val="4"/>
        </w:rPr>
      </w:pPr>
    </w:p>
    <w:p w14:paraId="300A8F77" w14:textId="77777777" w:rsidR="00692C8F" w:rsidRDefault="00692C8F" w:rsidP="002053AC">
      <w:pPr>
        <w:autoSpaceDE w:val="0"/>
        <w:autoSpaceDN w:val="0"/>
        <w:adjustRightInd w:val="0"/>
        <w:spacing w:before="120" w:after="120" w:line="240" w:lineRule="auto"/>
        <w:jc w:val="both"/>
        <w:rPr>
          <w:rFonts w:ascii="Verdana" w:hAnsi="Verdana"/>
          <w:b/>
          <w:sz w:val="4"/>
          <w:szCs w:val="4"/>
        </w:rPr>
      </w:pPr>
    </w:p>
    <w:p w14:paraId="38C66D22" w14:textId="77777777" w:rsidR="00B657F9" w:rsidRDefault="00B657F9" w:rsidP="002053AC">
      <w:pPr>
        <w:autoSpaceDE w:val="0"/>
        <w:autoSpaceDN w:val="0"/>
        <w:adjustRightInd w:val="0"/>
        <w:spacing w:before="120" w:after="120" w:line="240" w:lineRule="auto"/>
        <w:jc w:val="both"/>
        <w:rPr>
          <w:rFonts w:ascii="Verdana" w:hAnsi="Verdana"/>
          <w:b/>
          <w:sz w:val="4"/>
          <w:szCs w:val="4"/>
        </w:rPr>
      </w:pPr>
    </w:p>
    <w:p w14:paraId="4867556B" w14:textId="77777777" w:rsidR="00A426BC" w:rsidRPr="003C39AF" w:rsidRDefault="00A426BC" w:rsidP="002053AC">
      <w:pPr>
        <w:autoSpaceDE w:val="0"/>
        <w:autoSpaceDN w:val="0"/>
        <w:adjustRightInd w:val="0"/>
        <w:spacing w:before="120" w:after="120" w:line="240" w:lineRule="auto"/>
        <w:jc w:val="both"/>
        <w:rPr>
          <w:rFonts w:ascii="Verdana" w:hAnsi="Verdana"/>
          <w:b/>
          <w:sz w:val="4"/>
          <w:szCs w:val="4"/>
        </w:rPr>
      </w:pPr>
    </w:p>
    <w:p w14:paraId="7BCB54FE" w14:textId="77777777" w:rsidR="003436C3" w:rsidRPr="002053AC" w:rsidRDefault="003436C3" w:rsidP="002053AC">
      <w:pPr>
        <w:autoSpaceDE w:val="0"/>
        <w:autoSpaceDN w:val="0"/>
        <w:adjustRightInd w:val="0"/>
        <w:spacing w:before="120" w:after="120" w:line="240" w:lineRule="auto"/>
        <w:jc w:val="both"/>
        <w:rPr>
          <w:rFonts w:ascii="Verdana" w:hAnsi="Verdana"/>
          <w:b/>
          <w:sz w:val="20"/>
          <w:szCs w:val="20"/>
        </w:rPr>
      </w:pPr>
      <w:r w:rsidRPr="002053AC">
        <w:rPr>
          <w:rFonts w:ascii="Verdana" w:hAnsi="Verdana"/>
          <w:b/>
          <w:sz w:val="20"/>
          <w:szCs w:val="20"/>
        </w:rPr>
        <w:lastRenderedPageBreak/>
        <w:t xml:space="preserve">RESUELVE: </w:t>
      </w:r>
    </w:p>
    <w:p w14:paraId="10CA5172" w14:textId="3E0311A0" w:rsidR="00F910A5" w:rsidRPr="00692C8F" w:rsidRDefault="00EE6909" w:rsidP="00F910A5">
      <w:pPr>
        <w:pStyle w:val="Prrafodelista"/>
        <w:numPr>
          <w:ilvl w:val="0"/>
          <w:numId w:val="36"/>
        </w:numPr>
        <w:tabs>
          <w:tab w:val="left" w:pos="0"/>
        </w:tabs>
        <w:autoSpaceDE w:val="0"/>
        <w:autoSpaceDN w:val="0"/>
        <w:adjustRightInd w:val="0"/>
        <w:spacing w:before="120" w:after="120" w:line="240" w:lineRule="auto"/>
        <w:ind w:left="0" w:right="99" w:firstLine="0"/>
        <w:contextualSpacing w:val="0"/>
        <w:jc w:val="both"/>
        <w:rPr>
          <w:rFonts w:ascii="Verdana" w:hAnsi="Verdana"/>
          <w:sz w:val="20"/>
          <w:szCs w:val="20"/>
          <w:u w:val="single"/>
        </w:rPr>
      </w:pPr>
      <w:r w:rsidRPr="002053AC">
        <w:rPr>
          <w:rFonts w:ascii="Verdana" w:hAnsi="Verdana"/>
          <w:sz w:val="20"/>
          <w:szCs w:val="20"/>
        </w:rPr>
        <w:t xml:space="preserve">Requerir al Estado de </w:t>
      </w:r>
      <w:r w:rsidR="002053AC" w:rsidRPr="002053AC">
        <w:rPr>
          <w:rFonts w:ascii="Verdana" w:hAnsi="Verdana"/>
          <w:sz w:val="20"/>
          <w:szCs w:val="20"/>
        </w:rPr>
        <w:t>El Salvador</w:t>
      </w:r>
      <w:r w:rsidR="00893EE1">
        <w:rPr>
          <w:rFonts w:ascii="Verdana" w:hAnsi="Verdana"/>
          <w:sz w:val="20"/>
          <w:szCs w:val="20"/>
        </w:rPr>
        <w:t xml:space="preserve">, de conformidad con lo dispuesto en el Considerando </w:t>
      </w:r>
      <w:r w:rsidR="00983954">
        <w:rPr>
          <w:rFonts w:ascii="Verdana" w:hAnsi="Verdana"/>
          <w:sz w:val="20"/>
          <w:szCs w:val="20"/>
        </w:rPr>
        <w:t>42</w:t>
      </w:r>
      <w:r w:rsidR="00893EE1">
        <w:rPr>
          <w:rFonts w:ascii="Verdana" w:hAnsi="Verdana"/>
          <w:sz w:val="20"/>
          <w:szCs w:val="20"/>
        </w:rPr>
        <w:t xml:space="preserve"> de la presente Resolución,</w:t>
      </w:r>
      <w:r w:rsidR="002053AC" w:rsidRPr="002053AC">
        <w:rPr>
          <w:rFonts w:ascii="Verdana" w:hAnsi="Verdana"/>
          <w:sz w:val="20"/>
          <w:szCs w:val="20"/>
        </w:rPr>
        <w:t xml:space="preserve"> que</w:t>
      </w:r>
      <w:r w:rsidR="00893EE1">
        <w:rPr>
          <w:rFonts w:ascii="Verdana" w:hAnsi="Verdana"/>
          <w:sz w:val="20"/>
          <w:szCs w:val="20"/>
        </w:rPr>
        <w:t>,</w:t>
      </w:r>
      <w:r w:rsidR="002053AC">
        <w:rPr>
          <w:rFonts w:ascii="Verdana" w:hAnsi="Verdana"/>
          <w:sz w:val="20"/>
          <w:szCs w:val="20"/>
        </w:rPr>
        <w:t xml:space="preserve"> </w:t>
      </w:r>
      <w:r w:rsidR="000A0EFD" w:rsidRPr="002053AC">
        <w:rPr>
          <w:rFonts w:ascii="Verdana" w:hAnsi="Verdana"/>
          <w:sz w:val="20"/>
          <w:szCs w:val="20"/>
        </w:rPr>
        <w:t xml:space="preserve">para garantizar </w:t>
      </w:r>
      <w:r w:rsidR="000A0EFD" w:rsidRPr="002053AC">
        <w:rPr>
          <w:rFonts w:ascii="Verdana" w:hAnsi="Verdana" w:cs="Verdana"/>
          <w:sz w:val="20"/>
          <w:szCs w:val="20"/>
        </w:rPr>
        <w:t xml:space="preserve">el derecho </w:t>
      </w:r>
      <w:r w:rsidR="00883310" w:rsidRPr="002053AC">
        <w:rPr>
          <w:rFonts w:ascii="Verdana" w:hAnsi="Verdana" w:cs="Verdana"/>
          <w:sz w:val="20"/>
          <w:szCs w:val="20"/>
        </w:rPr>
        <w:t xml:space="preserve">al acceso a la justicia </w:t>
      </w:r>
      <w:r w:rsidR="000A0EFD" w:rsidRPr="002053AC">
        <w:rPr>
          <w:rFonts w:ascii="Verdana" w:hAnsi="Verdana" w:cs="Verdana"/>
          <w:sz w:val="20"/>
          <w:szCs w:val="20"/>
        </w:rPr>
        <w:t>de las víctimas</w:t>
      </w:r>
      <w:r w:rsidR="00C67780" w:rsidRPr="002053AC">
        <w:rPr>
          <w:rFonts w:ascii="Verdana" w:hAnsi="Verdana" w:cs="Verdana"/>
          <w:sz w:val="20"/>
          <w:szCs w:val="20"/>
        </w:rPr>
        <w:t xml:space="preserve"> </w:t>
      </w:r>
      <w:r w:rsidR="008E4E2B">
        <w:rPr>
          <w:rFonts w:ascii="Verdana" w:hAnsi="Verdana"/>
          <w:sz w:val="20"/>
          <w:szCs w:val="20"/>
        </w:rPr>
        <w:t xml:space="preserve">del caso </w:t>
      </w:r>
      <w:r w:rsidR="008E4E2B" w:rsidRPr="00CE23CC">
        <w:rPr>
          <w:rFonts w:ascii="Verdana" w:hAnsi="Verdana"/>
          <w:i/>
          <w:sz w:val="20"/>
          <w:szCs w:val="20"/>
        </w:rPr>
        <w:t>Masacres de El Mozote y lugares aledaños</w:t>
      </w:r>
      <w:r w:rsidR="000A0EFD" w:rsidRPr="002053AC">
        <w:rPr>
          <w:rFonts w:ascii="Verdana" w:hAnsi="Verdana" w:cs="Verdana"/>
          <w:sz w:val="20"/>
          <w:szCs w:val="20"/>
        </w:rPr>
        <w:t xml:space="preserve">, </w:t>
      </w:r>
      <w:r w:rsidR="008E4E2B">
        <w:rPr>
          <w:rFonts w:ascii="Verdana" w:hAnsi="Verdana" w:cs="Verdana"/>
          <w:sz w:val="20"/>
          <w:szCs w:val="20"/>
        </w:rPr>
        <w:t>suspenda inmediatamente</w:t>
      </w:r>
      <w:r w:rsidR="00495496" w:rsidRPr="002053AC">
        <w:rPr>
          <w:rFonts w:ascii="Verdana" w:hAnsi="Verdana" w:cs="Verdana"/>
          <w:sz w:val="20"/>
          <w:szCs w:val="20"/>
        </w:rPr>
        <w:t xml:space="preserve"> el trámite </w:t>
      </w:r>
      <w:r w:rsidR="00C67780" w:rsidRPr="002053AC">
        <w:rPr>
          <w:rFonts w:ascii="Verdana" w:hAnsi="Verdana" w:cs="Verdana"/>
          <w:sz w:val="20"/>
          <w:szCs w:val="20"/>
        </w:rPr>
        <w:t xml:space="preserve">legislativo </w:t>
      </w:r>
      <w:r w:rsidR="002053AC" w:rsidRPr="002053AC">
        <w:rPr>
          <w:rFonts w:ascii="Verdana" w:hAnsi="Verdana" w:cs="Verdana"/>
          <w:sz w:val="20"/>
          <w:szCs w:val="20"/>
        </w:rPr>
        <w:t>del proyecto de “Ley Especial de Justicia Transicional y Restaurativa para la Reconciliación Nacional” que se encuentra actualmente en la Comisión Polí</w:t>
      </w:r>
      <w:r w:rsidR="00A16365">
        <w:rPr>
          <w:rFonts w:ascii="Verdana" w:hAnsi="Verdana" w:cs="Verdana"/>
          <w:sz w:val="20"/>
          <w:szCs w:val="20"/>
        </w:rPr>
        <w:t>tica de la Asamblea Legislativa</w:t>
      </w:r>
      <w:r w:rsidR="002053AC" w:rsidRPr="002053AC">
        <w:rPr>
          <w:rFonts w:ascii="Verdana" w:hAnsi="Verdana" w:cs="Verdana"/>
          <w:sz w:val="20"/>
          <w:szCs w:val="20"/>
        </w:rPr>
        <w:t xml:space="preserve">, hasta que el Pleno </w:t>
      </w:r>
      <w:r w:rsidR="002053AC" w:rsidRPr="003C39AF">
        <w:rPr>
          <w:rFonts w:ascii="Verdana" w:hAnsi="Verdana" w:cs="Verdana"/>
          <w:sz w:val="20"/>
          <w:szCs w:val="20"/>
        </w:rPr>
        <w:t xml:space="preserve">de la Corte </w:t>
      </w:r>
      <w:r w:rsidR="00924C4E">
        <w:rPr>
          <w:rFonts w:ascii="Verdana" w:hAnsi="Verdana" w:cs="Verdana"/>
          <w:sz w:val="20"/>
          <w:szCs w:val="20"/>
        </w:rPr>
        <w:t xml:space="preserve">Interamericana </w:t>
      </w:r>
      <w:r w:rsidR="002053AC" w:rsidRPr="003C39AF">
        <w:rPr>
          <w:rFonts w:ascii="Verdana" w:hAnsi="Verdana" w:cs="Verdana"/>
          <w:sz w:val="20"/>
          <w:szCs w:val="20"/>
        </w:rPr>
        <w:t xml:space="preserve">conozca </w:t>
      </w:r>
      <w:r w:rsidR="008E4E2B" w:rsidRPr="003C39AF">
        <w:rPr>
          <w:rFonts w:ascii="Verdana" w:hAnsi="Verdana" w:cs="Verdana"/>
          <w:sz w:val="20"/>
          <w:szCs w:val="20"/>
        </w:rPr>
        <w:t xml:space="preserve">y se pronuncie sobre </w:t>
      </w:r>
      <w:r w:rsidR="00924C4E">
        <w:rPr>
          <w:rFonts w:ascii="Verdana" w:hAnsi="Verdana" w:cs="Verdana"/>
          <w:sz w:val="20"/>
          <w:szCs w:val="20"/>
        </w:rPr>
        <w:t>esta</w:t>
      </w:r>
      <w:r w:rsidR="002053AC" w:rsidRPr="003C39AF">
        <w:rPr>
          <w:rFonts w:ascii="Verdana" w:hAnsi="Verdana" w:cs="Verdana"/>
          <w:sz w:val="20"/>
          <w:szCs w:val="20"/>
        </w:rPr>
        <w:t xml:space="preserve"> solicitud de medidas provisionales durante su </w:t>
      </w:r>
      <w:r w:rsidR="008E4E2B" w:rsidRPr="003C39AF">
        <w:rPr>
          <w:rFonts w:ascii="Verdana" w:hAnsi="Verdana" w:cs="Verdana"/>
          <w:sz w:val="20"/>
          <w:szCs w:val="20"/>
        </w:rPr>
        <w:t xml:space="preserve">próximo </w:t>
      </w:r>
      <w:r w:rsidR="003B5CCC">
        <w:rPr>
          <w:rFonts w:ascii="Verdana" w:hAnsi="Verdana" w:cs="Verdana"/>
          <w:sz w:val="20"/>
          <w:szCs w:val="20"/>
        </w:rPr>
        <w:t>p</w:t>
      </w:r>
      <w:r w:rsidR="002053AC" w:rsidRPr="003C39AF">
        <w:rPr>
          <w:rFonts w:ascii="Verdana" w:hAnsi="Verdana" w:cs="Verdana"/>
          <w:sz w:val="20"/>
          <w:szCs w:val="20"/>
        </w:rPr>
        <w:t xml:space="preserve">eríodo de </w:t>
      </w:r>
      <w:r w:rsidR="003B5CCC">
        <w:rPr>
          <w:rFonts w:ascii="Verdana" w:hAnsi="Verdana" w:cs="Verdana"/>
          <w:sz w:val="20"/>
          <w:szCs w:val="20"/>
        </w:rPr>
        <w:t>s</w:t>
      </w:r>
      <w:r w:rsidR="002053AC" w:rsidRPr="003C39AF">
        <w:rPr>
          <w:rFonts w:ascii="Verdana" w:hAnsi="Verdana" w:cs="Verdana"/>
          <w:sz w:val="20"/>
          <w:szCs w:val="20"/>
        </w:rPr>
        <w:t>esiones.</w:t>
      </w:r>
    </w:p>
    <w:p w14:paraId="202E8A52" w14:textId="77777777" w:rsidR="00692C8F" w:rsidRPr="00F03A4C" w:rsidRDefault="00692C8F" w:rsidP="00692C8F">
      <w:pPr>
        <w:pStyle w:val="Prrafodelista"/>
        <w:tabs>
          <w:tab w:val="left" w:pos="0"/>
        </w:tabs>
        <w:autoSpaceDE w:val="0"/>
        <w:autoSpaceDN w:val="0"/>
        <w:adjustRightInd w:val="0"/>
        <w:spacing w:before="120" w:after="120" w:line="240" w:lineRule="auto"/>
        <w:ind w:left="0" w:right="99"/>
        <w:contextualSpacing w:val="0"/>
        <w:jc w:val="both"/>
        <w:rPr>
          <w:rFonts w:ascii="Verdana" w:hAnsi="Verdana"/>
          <w:sz w:val="20"/>
          <w:szCs w:val="20"/>
          <w:u w:val="single"/>
        </w:rPr>
      </w:pPr>
    </w:p>
    <w:p w14:paraId="17503D05" w14:textId="3601B23E" w:rsidR="00381E3C" w:rsidRPr="00F03A4C" w:rsidRDefault="00AF1DD0" w:rsidP="00381E3C">
      <w:pPr>
        <w:pStyle w:val="Prrafodelista"/>
        <w:numPr>
          <w:ilvl w:val="0"/>
          <w:numId w:val="36"/>
        </w:numPr>
        <w:tabs>
          <w:tab w:val="left" w:pos="0"/>
        </w:tabs>
        <w:autoSpaceDE w:val="0"/>
        <w:autoSpaceDN w:val="0"/>
        <w:adjustRightInd w:val="0"/>
        <w:spacing w:before="120" w:after="120" w:line="240" w:lineRule="auto"/>
        <w:ind w:left="0" w:right="99" w:firstLine="0"/>
        <w:contextualSpacing w:val="0"/>
        <w:jc w:val="both"/>
        <w:rPr>
          <w:rFonts w:ascii="Verdana" w:hAnsi="Verdana"/>
          <w:sz w:val="20"/>
          <w:szCs w:val="20"/>
          <w:u w:val="single"/>
        </w:rPr>
      </w:pPr>
      <w:r>
        <w:rPr>
          <w:rFonts w:ascii="Verdana" w:hAnsi="Verdana"/>
          <w:sz w:val="20"/>
          <w:szCs w:val="20"/>
        </w:rPr>
        <w:t xml:space="preserve">Requerir </w:t>
      </w:r>
      <w:r w:rsidR="00F910A5" w:rsidRPr="003C39AF">
        <w:rPr>
          <w:rFonts w:ascii="Verdana" w:hAnsi="Verdana"/>
          <w:sz w:val="20"/>
          <w:szCs w:val="20"/>
        </w:rPr>
        <w:t>al Estado</w:t>
      </w:r>
      <w:r w:rsidR="00B657F9">
        <w:rPr>
          <w:rFonts w:ascii="Verdana" w:hAnsi="Verdana"/>
          <w:sz w:val="20"/>
          <w:szCs w:val="20"/>
        </w:rPr>
        <w:t xml:space="preserve"> de El Salvador</w:t>
      </w:r>
      <w:r w:rsidR="00F910A5" w:rsidRPr="003C39AF">
        <w:rPr>
          <w:rFonts w:ascii="Verdana" w:hAnsi="Verdana"/>
          <w:sz w:val="20"/>
          <w:szCs w:val="20"/>
        </w:rPr>
        <w:t xml:space="preserve"> que presente, a más tardar el </w:t>
      </w:r>
      <w:r w:rsidR="00103650">
        <w:rPr>
          <w:rFonts w:ascii="Verdana" w:hAnsi="Verdana"/>
          <w:sz w:val="20"/>
          <w:szCs w:val="20"/>
        </w:rPr>
        <w:t>14</w:t>
      </w:r>
      <w:r w:rsidR="00A5533B">
        <w:rPr>
          <w:rFonts w:ascii="Verdana" w:hAnsi="Verdana"/>
          <w:sz w:val="20"/>
          <w:szCs w:val="20"/>
        </w:rPr>
        <w:t xml:space="preserve"> </w:t>
      </w:r>
      <w:r w:rsidR="00F910A5" w:rsidRPr="003C39AF">
        <w:rPr>
          <w:rFonts w:ascii="Verdana" w:hAnsi="Verdana"/>
          <w:sz w:val="20"/>
          <w:szCs w:val="20"/>
        </w:rPr>
        <w:t xml:space="preserve">de </w:t>
      </w:r>
      <w:r w:rsidR="003C39AF" w:rsidRPr="003C39AF">
        <w:rPr>
          <w:rFonts w:ascii="Verdana" w:hAnsi="Verdana"/>
          <w:sz w:val="20"/>
          <w:szCs w:val="20"/>
        </w:rPr>
        <w:t>junio</w:t>
      </w:r>
      <w:r w:rsidR="00F910A5" w:rsidRPr="003C39AF">
        <w:rPr>
          <w:rFonts w:ascii="Verdana" w:hAnsi="Verdana"/>
          <w:sz w:val="20"/>
          <w:szCs w:val="20"/>
        </w:rPr>
        <w:t xml:space="preserve"> de 2019, un informe </w:t>
      </w:r>
      <w:r w:rsidR="008D1D09" w:rsidRPr="003C39AF">
        <w:rPr>
          <w:rFonts w:ascii="Verdana" w:hAnsi="Verdana"/>
          <w:sz w:val="20"/>
          <w:szCs w:val="20"/>
        </w:rPr>
        <w:t xml:space="preserve">sobre </w:t>
      </w:r>
      <w:r w:rsidR="003B5CCC">
        <w:rPr>
          <w:rFonts w:ascii="Verdana" w:hAnsi="Verdana"/>
          <w:sz w:val="20"/>
          <w:szCs w:val="20"/>
        </w:rPr>
        <w:t>el</w:t>
      </w:r>
      <w:r w:rsidR="008D1D09" w:rsidRPr="003C39AF">
        <w:rPr>
          <w:rFonts w:ascii="Verdana" w:hAnsi="Verdana"/>
          <w:sz w:val="20"/>
          <w:szCs w:val="20"/>
        </w:rPr>
        <w:t xml:space="preserve"> cumplimiento </w:t>
      </w:r>
      <w:r w:rsidR="003B5CCC">
        <w:rPr>
          <w:rFonts w:ascii="Verdana" w:hAnsi="Verdana"/>
          <w:sz w:val="20"/>
          <w:szCs w:val="20"/>
        </w:rPr>
        <w:t>de</w:t>
      </w:r>
      <w:r w:rsidR="008D1D09" w:rsidRPr="003C39AF">
        <w:rPr>
          <w:rFonts w:ascii="Verdana" w:hAnsi="Verdana"/>
          <w:sz w:val="20"/>
          <w:szCs w:val="20"/>
        </w:rPr>
        <w:t xml:space="preserve"> esta decisión, así como </w:t>
      </w:r>
      <w:r w:rsidR="00F910A5" w:rsidRPr="003C39AF">
        <w:rPr>
          <w:rFonts w:ascii="Verdana" w:hAnsi="Verdana"/>
          <w:sz w:val="20"/>
          <w:szCs w:val="20"/>
        </w:rPr>
        <w:t xml:space="preserve">sobre lo dispuesto en </w:t>
      </w:r>
      <w:r w:rsidR="00381E3C" w:rsidRPr="003C39AF">
        <w:rPr>
          <w:rFonts w:ascii="Verdana" w:hAnsi="Verdana"/>
          <w:sz w:val="20"/>
          <w:szCs w:val="20"/>
        </w:rPr>
        <w:t xml:space="preserve">el Considerando </w:t>
      </w:r>
      <w:r w:rsidR="00983954">
        <w:rPr>
          <w:rFonts w:ascii="Verdana" w:hAnsi="Verdana"/>
          <w:sz w:val="20"/>
          <w:szCs w:val="20"/>
        </w:rPr>
        <w:t>44</w:t>
      </w:r>
      <w:r w:rsidR="00381E3C" w:rsidRPr="003C39AF">
        <w:rPr>
          <w:rFonts w:ascii="Verdana" w:hAnsi="Verdana"/>
          <w:sz w:val="20"/>
          <w:szCs w:val="20"/>
        </w:rPr>
        <w:t xml:space="preserve"> de la presente Resolución, a fin de que el Pleno de la Corte Interamericana cuente con mayores elementos para pronunciarse sobre esta</w:t>
      </w:r>
      <w:r w:rsidR="00381E3C" w:rsidRPr="008D1D09">
        <w:rPr>
          <w:rFonts w:ascii="Verdana" w:hAnsi="Verdana"/>
          <w:sz w:val="20"/>
          <w:szCs w:val="20"/>
        </w:rPr>
        <w:t xml:space="preserve"> solicitud de medidas provisionales.</w:t>
      </w:r>
    </w:p>
    <w:p w14:paraId="0B818F75" w14:textId="77777777" w:rsidR="00F03A4C" w:rsidRPr="00F03A4C" w:rsidRDefault="00F03A4C" w:rsidP="00F03A4C">
      <w:pPr>
        <w:pStyle w:val="Prrafodelista"/>
        <w:rPr>
          <w:rFonts w:ascii="Verdana" w:hAnsi="Verdana"/>
          <w:sz w:val="20"/>
          <w:szCs w:val="20"/>
          <w:u w:val="single"/>
        </w:rPr>
      </w:pPr>
    </w:p>
    <w:p w14:paraId="28EB4DE6" w14:textId="7D8222B9" w:rsidR="00381E3C" w:rsidRPr="00F03A4C" w:rsidRDefault="00381E3C" w:rsidP="00381E3C">
      <w:pPr>
        <w:pStyle w:val="Prrafodelista"/>
        <w:numPr>
          <w:ilvl w:val="0"/>
          <w:numId w:val="36"/>
        </w:numPr>
        <w:tabs>
          <w:tab w:val="left" w:pos="0"/>
        </w:tabs>
        <w:autoSpaceDE w:val="0"/>
        <w:autoSpaceDN w:val="0"/>
        <w:adjustRightInd w:val="0"/>
        <w:spacing w:before="120" w:after="120" w:line="240" w:lineRule="auto"/>
        <w:ind w:left="0" w:right="99" w:firstLine="0"/>
        <w:contextualSpacing w:val="0"/>
        <w:jc w:val="both"/>
        <w:rPr>
          <w:rFonts w:ascii="Verdana" w:hAnsi="Verdana"/>
          <w:sz w:val="20"/>
          <w:szCs w:val="20"/>
          <w:u w:val="single"/>
        </w:rPr>
      </w:pPr>
      <w:r w:rsidRPr="00381E3C">
        <w:rPr>
          <w:rFonts w:ascii="Verdana" w:hAnsi="Verdana"/>
          <w:sz w:val="20"/>
          <w:szCs w:val="20"/>
        </w:rPr>
        <w:t>Requerir a l</w:t>
      </w:r>
      <w:r>
        <w:rPr>
          <w:rFonts w:ascii="Verdana" w:hAnsi="Verdana"/>
          <w:sz w:val="20"/>
          <w:szCs w:val="20"/>
        </w:rPr>
        <w:t>os</w:t>
      </w:r>
      <w:r w:rsidRPr="00381E3C">
        <w:rPr>
          <w:rFonts w:ascii="Verdana" w:hAnsi="Verdana"/>
          <w:sz w:val="20"/>
          <w:szCs w:val="20"/>
        </w:rPr>
        <w:t xml:space="preserve"> representantes de las víctimas que presenten sus observaciones dentro de un plazo de cuatro semanas</w:t>
      </w:r>
      <w:r w:rsidR="00B657F9">
        <w:rPr>
          <w:rFonts w:ascii="Verdana" w:hAnsi="Verdana"/>
          <w:sz w:val="20"/>
          <w:szCs w:val="20"/>
        </w:rPr>
        <w:t>,</w:t>
      </w:r>
      <w:r w:rsidRPr="00381E3C">
        <w:rPr>
          <w:rFonts w:ascii="Verdana" w:hAnsi="Verdana"/>
          <w:sz w:val="20"/>
          <w:szCs w:val="20"/>
        </w:rPr>
        <w:t xml:space="preserve"> contadas a partir de la notificación </w:t>
      </w:r>
      <w:r>
        <w:rPr>
          <w:rFonts w:ascii="Verdana" w:hAnsi="Verdana"/>
          <w:sz w:val="20"/>
          <w:szCs w:val="20"/>
        </w:rPr>
        <w:t>del</w:t>
      </w:r>
      <w:r w:rsidRPr="00381E3C">
        <w:rPr>
          <w:rFonts w:ascii="Verdana" w:hAnsi="Verdana"/>
          <w:sz w:val="20"/>
          <w:szCs w:val="20"/>
        </w:rPr>
        <w:t xml:space="preserve"> informe del Estado, así como a la Comisión Interamericana de Derechos Humanos que presente sus observaciones a dicho informe del Estado dentro de un plazo de dos semanas contadas a partir de la recepción de las observaciones de los representantes. </w:t>
      </w:r>
    </w:p>
    <w:p w14:paraId="69511B6C" w14:textId="77777777" w:rsidR="00F03A4C" w:rsidRPr="00F03A4C" w:rsidRDefault="00F03A4C" w:rsidP="00F03A4C">
      <w:pPr>
        <w:pStyle w:val="Prrafodelista"/>
        <w:rPr>
          <w:rFonts w:ascii="Verdana" w:hAnsi="Verdana"/>
          <w:sz w:val="20"/>
          <w:szCs w:val="20"/>
          <w:u w:val="single"/>
        </w:rPr>
      </w:pPr>
    </w:p>
    <w:p w14:paraId="7A3B5306" w14:textId="5526974E" w:rsidR="003436C3" w:rsidRPr="002053AC" w:rsidRDefault="00EE6909" w:rsidP="002053AC">
      <w:pPr>
        <w:pStyle w:val="Prrafodelista"/>
        <w:numPr>
          <w:ilvl w:val="0"/>
          <w:numId w:val="36"/>
        </w:numPr>
        <w:tabs>
          <w:tab w:val="left" w:pos="0"/>
        </w:tabs>
        <w:autoSpaceDE w:val="0"/>
        <w:autoSpaceDN w:val="0"/>
        <w:adjustRightInd w:val="0"/>
        <w:spacing w:before="120" w:after="120" w:line="240" w:lineRule="auto"/>
        <w:ind w:left="0" w:right="99" w:firstLine="0"/>
        <w:contextualSpacing w:val="0"/>
        <w:jc w:val="both"/>
        <w:rPr>
          <w:rFonts w:ascii="Verdana" w:hAnsi="Verdana"/>
          <w:sz w:val="20"/>
          <w:szCs w:val="20"/>
          <w:u w:val="single"/>
        </w:rPr>
      </w:pPr>
      <w:r w:rsidRPr="002053AC">
        <w:rPr>
          <w:rFonts w:ascii="Verdana" w:hAnsi="Verdana"/>
          <w:sz w:val="20"/>
          <w:szCs w:val="20"/>
        </w:rPr>
        <w:t>Disponer que la Secretaría de la Corte notifique la pr</w:t>
      </w:r>
      <w:r w:rsidR="00983954">
        <w:rPr>
          <w:rFonts w:ascii="Verdana" w:hAnsi="Verdana"/>
          <w:sz w:val="20"/>
          <w:szCs w:val="20"/>
        </w:rPr>
        <w:t>esente Resolución al Estado de El Salvador</w:t>
      </w:r>
      <w:r w:rsidRPr="002053AC">
        <w:rPr>
          <w:rFonts w:ascii="Verdana" w:hAnsi="Verdana"/>
          <w:sz w:val="20"/>
          <w:szCs w:val="20"/>
        </w:rPr>
        <w:t xml:space="preserve">, a las representantes de las </w:t>
      </w:r>
      <w:r w:rsidR="007471FC" w:rsidRPr="002053AC">
        <w:rPr>
          <w:rFonts w:ascii="Verdana" w:hAnsi="Verdana"/>
          <w:sz w:val="20"/>
          <w:szCs w:val="20"/>
        </w:rPr>
        <w:t xml:space="preserve">víctimas </w:t>
      </w:r>
      <w:r w:rsidRPr="002053AC">
        <w:rPr>
          <w:rFonts w:ascii="Verdana" w:hAnsi="Verdana"/>
          <w:sz w:val="20"/>
          <w:szCs w:val="20"/>
        </w:rPr>
        <w:t>y a la Comisión Interamericana Derechos Humanos.</w:t>
      </w:r>
    </w:p>
    <w:p w14:paraId="331B6D6B" w14:textId="77777777" w:rsidR="004A25AF" w:rsidRPr="00FC7D8B" w:rsidRDefault="004A25AF" w:rsidP="004A25AF">
      <w:pPr>
        <w:spacing w:after="0" w:line="240" w:lineRule="auto"/>
        <w:rPr>
          <w:rFonts w:ascii="Verdana" w:hAnsi="Verdana"/>
          <w:sz w:val="20"/>
        </w:rPr>
      </w:pPr>
    </w:p>
    <w:p w14:paraId="482F0BF6" w14:textId="77777777" w:rsidR="004A25AF" w:rsidRDefault="004A25AF" w:rsidP="004A25AF">
      <w:pPr>
        <w:pStyle w:val="Prrafodelista"/>
        <w:autoSpaceDE w:val="0"/>
        <w:autoSpaceDN w:val="0"/>
        <w:adjustRightInd w:val="0"/>
        <w:spacing w:after="0" w:line="240" w:lineRule="auto"/>
        <w:ind w:left="0"/>
        <w:jc w:val="both"/>
        <w:rPr>
          <w:rFonts w:ascii="Verdana" w:hAnsi="Verdana"/>
          <w:sz w:val="20"/>
          <w:szCs w:val="20"/>
        </w:rPr>
      </w:pPr>
    </w:p>
    <w:p w14:paraId="47B7F132" w14:textId="77777777" w:rsidR="00C85E65" w:rsidRDefault="00C85E65" w:rsidP="004A25AF">
      <w:pPr>
        <w:pStyle w:val="Prrafodelista"/>
        <w:autoSpaceDE w:val="0"/>
        <w:autoSpaceDN w:val="0"/>
        <w:adjustRightInd w:val="0"/>
        <w:spacing w:after="0" w:line="240" w:lineRule="auto"/>
        <w:ind w:left="0"/>
        <w:jc w:val="both"/>
        <w:rPr>
          <w:rFonts w:ascii="Verdana" w:hAnsi="Verdana"/>
          <w:sz w:val="20"/>
          <w:szCs w:val="20"/>
        </w:rPr>
      </w:pPr>
    </w:p>
    <w:p w14:paraId="2F1A87AF" w14:textId="5764FB28" w:rsidR="00103650" w:rsidRDefault="00103650">
      <w:pPr>
        <w:rPr>
          <w:rFonts w:ascii="Verdana" w:hAnsi="Verdana"/>
          <w:sz w:val="20"/>
          <w:szCs w:val="20"/>
        </w:rPr>
      </w:pPr>
      <w:r>
        <w:rPr>
          <w:rFonts w:ascii="Verdana" w:hAnsi="Verdana"/>
          <w:sz w:val="20"/>
          <w:szCs w:val="20"/>
        </w:rPr>
        <w:br w:type="page"/>
      </w:r>
    </w:p>
    <w:p w14:paraId="08B643EF" w14:textId="77777777" w:rsidR="00103650" w:rsidRPr="00531199" w:rsidRDefault="00103650" w:rsidP="00103650">
      <w:pPr>
        <w:spacing w:after="0" w:line="240" w:lineRule="auto"/>
        <w:jc w:val="both"/>
        <w:rPr>
          <w:rFonts w:ascii="Verdana" w:hAnsi="Verdana"/>
          <w:sz w:val="20"/>
          <w:szCs w:val="20"/>
        </w:rPr>
      </w:pPr>
      <w:r w:rsidRPr="00531199">
        <w:rPr>
          <w:rFonts w:ascii="Verdana" w:hAnsi="Verdana"/>
          <w:sz w:val="20"/>
          <w:szCs w:val="20"/>
        </w:rPr>
        <w:lastRenderedPageBreak/>
        <w:t xml:space="preserve">Corte IDH. </w:t>
      </w:r>
      <w:r w:rsidRPr="00531199">
        <w:rPr>
          <w:rFonts w:ascii="Verdana" w:hAnsi="Verdana"/>
          <w:i/>
          <w:sz w:val="20"/>
          <w:szCs w:val="20"/>
        </w:rPr>
        <w:t xml:space="preserve">Caso Masacres de El Mozote y </w:t>
      </w:r>
      <w:r>
        <w:rPr>
          <w:rFonts w:ascii="Verdana" w:hAnsi="Verdana"/>
          <w:i/>
          <w:sz w:val="20"/>
          <w:szCs w:val="20"/>
        </w:rPr>
        <w:t>lugares a</w:t>
      </w:r>
      <w:r w:rsidRPr="00531199">
        <w:rPr>
          <w:rFonts w:ascii="Verdana" w:hAnsi="Verdana"/>
          <w:i/>
          <w:sz w:val="20"/>
          <w:szCs w:val="20"/>
        </w:rPr>
        <w:t xml:space="preserve">ledaños </w:t>
      </w:r>
      <w:r>
        <w:rPr>
          <w:rFonts w:ascii="Verdana" w:hAnsi="Verdana"/>
          <w:i/>
          <w:sz w:val="20"/>
          <w:szCs w:val="20"/>
        </w:rPr>
        <w:t>V</w:t>
      </w:r>
      <w:r w:rsidRPr="00531199">
        <w:rPr>
          <w:rFonts w:ascii="Verdana" w:hAnsi="Verdana"/>
          <w:i/>
          <w:sz w:val="20"/>
          <w:szCs w:val="20"/>
        </w:rPr>
        <w:t>s. El Salvador.</w:t>
      </w:r>
      <w:r w:rsidRPr="00531199">
        <w:rPr>
          <w:rFonts w:ascii="Verdana" w:hAnsi="Verdana"/>
          <w:sz w:val="20"/>
          <w:szCs w:val="20"/>
        </w:rPr>
        <w:t xml:space="preserve"> Solicitud de Medidas Provisionales.  Resolución de adopción de </w:t>
      </w:r>
      <w:r>
        <w:rPr>
          <w:rFonts w:ascii="Verdana" w:hAnsi="Verdana"/>
          <w:sz w:val="20"/>
          <w:szCs w:val="20"/>
        </w:rPr>
        <w:t xml:space="preserve">medidas urgentes y supervisión de cumplimiento de Sentencia del </w:t>
      </w:r>
      <w:r w:rsidRPr="00531199">
        <w:rPr>
          <w:rFonts w:ascii="Verdana" w:hAnsi="Verdana"/>
          <w:sz w:val="20"/>
          <w:szCs w:val="20"/>
        </w:rPr>
        <w:t>Presidente de la Corte Interamericana de Derechos Humanos de 28 de mayo de 2019.</w:t>
      </w:r>
    </w:p>
    <w:p w14:paraId="5358EEEE" w14:textId="77777777" w:rsidR="00103650" w:rsidRDefault="00103650" w:rsidP="00103650">
      <w:pPr>
        <w:spacing w:after="0" w:line="240" w:lineRule="auto"/>
        <w:jc w:val="both"/>
      </w:pPr>
    </w:p>
    <w:p w14:paraId="15D308C4" w14:textId="77777777" w:rsidR="00103650" w:rsidRDefault="00103650" w:rsidP="00103650">
      <w:pPr>
        <w:spacing w:after="0" w:line="240" w:lineRule="auto"/>
        <w:jc w:val="both"/>
      </w:pPr>
    </w:p>
    <w:p w14:paraId="5C03F4AF" w14:textId="77777777" w:rsidR="00103650" w:rsidRDefault="00103650" w:rsidP="00103650">
      <w:pPr>
        <w:spacing w:after="0" w:line="240" w:lineRule="auto"/>
        <w:jc w:val="both"/>
      </w:pPr>
    </w:p>
    <w:p w14:paraId="1ECEC13B" w14:textId="77777777" w:rsidR="00103650" w:rsidRDefault="00103650" w:rsidP="00103650">
      <w:pPr>
        <w:spacing w:after="0" w:line="240" w:lineRule="auto"/>
        <w:jc w:val="both"/>
      </w:pPr>
    </w:p>
    <w:p w14:paraId="7CD7BE3C" w14:textId="77777777" w:rsidR="00103650" w:rsidRDefault="00103650" w:rsidP="00103650">
      <w:pPr>
        <w:spacing w:after="0" w:line="240" w:lineRule="auto"/>
        <w:jc w:val="both"/>
      </w:pPr>
    </w:p>
    <w:p w14:paraId="7BAA00C6" w14:textId="77777777" w:rsidR="00103650" w:rsidRDefault="00103650" w:rsidP="00103650">
      <w:pPr>
        <w:spacing w:after="0" w:line="240" w:lineRule="auto"/>
        <w:jc w:val="both"/>
      </w:pPr>
    </w:p>
    <w:p w14:paraId="43ECAB3C" w14:textId="77777777" w:rsidR="00103650" w:rsidRDefault="00103650" w:rsidP="00103650">
      <w:pPr>
        <w:spacing w:after="0" w:line="240" w:lineRule="auto"/>
        <w:jc w:val="both"/>
      </w:pPr>
    </w:p>
    <w:p w14:paraId="6971E7A6" w14:textId="77777777" w:rsidR="00103650" w:rsidRDefault="00103650" w:rsidP="00103650">
      <w:pPr>
        <w:spacing w:after="0" w:line="240" w:lineRule="auto"/>
        <w:jc w:val="both"/>
      </w:pPr>
    </w:p>
    <w:p w14:paraId="51D0B6C0" w14:textId="77777777" w:rsidR="00103650" w:rsidRDefault="00103650" w:rsidP="00103650">
      <w:pPr>
        <w:spacing w:after="0" w:line="240" w:lineRule="auto"/>
        <w:jc w:val="both"/>
      </w:pPr>
    </w:p>
    <w:p w14:paraId="4EFFCFB9" w14:textId="77777777" w:rsidR="00103650" w:rsidRDefault="00103650" w:rsidP="00103650">
      <w:pPr>
        <w:spacing w:after="0" w:line="240" w:lineRule="auto"/>
        <w:jc w:val="both"/>
      </w:pPr>
    </w:p>
    <w:p w14:paraId="46D0BC3B" w14:textId="77777777" w:rsidR="00103650" w:rsidRDefault="00103650" w:rsidP="00103650">
      <w:pPr>
        <w:spacing w:after="0" w:line="240" w:lineRule="auto"/>
        <w:jc w:val="both"/>
      </w:pPr>
    </w:p>
    <w:p w14:paraId="50D1FCF9" w14:textId="77777777" w:rsidR="00103650" w:rsidRDefault="00103650" w:rsidP="00103650">
      <w:pPr>
        <w:spacing w:after="0" w:line="240" w:lineRule="auto"/>
        <w:ind w:left="4248" w:firstLine="708"/>
        <w:jc w:val="both"/>
      </w:pPr>
      <w:r>
        <w:t>Eduardo Ferrer Mac-Gregor Poisot</w:t>
      </w:r>
    </w:p>
    <w:p w14:paraId="22E2B89F" w14:textId="77777777" w:rsidR="00103650" w:rsidRDefault="00103650" w:rsidP="00103650">
      <w:pPr>
        <w:spacing w:after="0" w:line="240" w:lineRule="auto"/>
        <w:ind w:left="4956" w:firstLine="708"/>
        <w:jc w:val="both"/>
      </w:pPr>
      <w:r>
        <w:t xml:space="preserve">    Presidente</w:t>
      </w:r>
    </w:p>
    <w:p w14:paraId="6ED16F45" w14:textId="77777777" w:rsidR="00103650" w:rsidRDefault="00103650" w:rsidP="00103650">
      <w:pPr>
        <w:spacing w:after="0" w:line="240" w:lineRule="auto"/>
        <w:ind w:left="4956" w:firstLine="708"/>
        <w:jc w:val="both"/>
      </w:pPr>
    </w:p>
    <w:p w14:paraId="73A69D27" w14:textId="77777777" w:rsidR="00103650" w:rsidRDefault="00103650" w:rsidP="00103650">
      <w:pPr>
        <w:spacing w:after="0" w:line="240" w:lineRule="auto"/>
        <w:ind w:left="4956" w:firstLine="708"/>
        <w:jc w:val="both"/>
      </w:pPr>
    </w:p>
    <w:p w14:paraId="59E7E15E" w14:textId="77777777" w:rsidR="00103650" w:rsidRDefault="00103650" w:rsidP="00103650">
      <w:pPr>
        <w:spacing w:after="0" w:line="240" w:lineRule="auto"/>
        <w:ind w:left="4956" w:firstLine="708"/>
        <w:jc w:val="both"/>
      </w:pPr>
    </w:p>
    <w:p w14:paraId="2FBDCB43" w14:textId="77777777" w:rsidR="00103650" w:rsidRDefault="00103650" w:rsidP="00103650">
      <w:pPr>
        <w:spacing w:after="0" w:line="240" w:lineRule="auto"/>
        <w:ind w:left="4956" w:firstLine="708"/>
        <w:jc w:val="both"/>
      </w:pPr>
    </w:p>
    <w:p w14:paraId="1F2B8356" w14:textId="77777777" w:rsidR="00103650" w:rsidRDefault="00103650" w:rsidP="00103650">
      <w:pPr>
        <w:spacing w:after="0" w:line="240" w:lineRule="auto"/>
      </w:pPr>
      <w:r>
        <w:t>Pablo Saavedra Alessandri</w:t>
      </w:r>
    </w:p>
    <w:p w14:paraId="635A4458" w14:textId="77777777" w:rsidR="00103650" w:rsidRDefault="00103650" w:rsidP="00103650">
      <w:pPr>
        <w:spacing w:after="0" w:line="240" w:lineRule="auto"/>
      </w:pPr>
      <w:r>
        <w:t xml:space="preserve">            Secretario</w:t>
      </w:r>
    </w:p>
    <w:p w14:paraId="18FCD676" w14:textId="77777777" w:rsidR="00103650" w:rsidRDefault="00103650" w:rsidP="00103650">
      <w:pPr>
        <w:spacing w:after="0" w:line="240" w:lineRule="auto"/>
      </w:pPr>
    </w:p>
    <w:p w14:paraId="36BC3553" w14:textId="77777777" w:rsidR="00103650" w:rsidRDefault="00103650" w:rsidP="00103650">
      <w:pPr>
        <w:spacing w:after="0" w:line="240" w:lineRule="auto"/>
      </w:pPr>
    </w:p>
    <w:p w14:paraId="6D567D6D" w14:textId="77777777" w:rsidR="00103650" w:rsidRDefault="00103650" w:rsidP="00103650">
      <w:pPr>
        <w:spacing w:after="0" w:line="240" w:lineRule="auto"/>
      </w:pPr>
    </w:p>
    <w:p w14:paraId="2A16BB5B" w14:textId="77777777" w:rsidR="00103650" w:rsidRDefault="00103650" w:rsidP="00103650">
      <w:pPr>
        <w:spacing w:after="0" w:line="240" w:lineRule="auto"/>
      </w:pPr>
    </w:p>
    <w:p w14:paraId="451E562B" w14:textId="77777777" w:rsidR="00103650" w:rsidRDefault="00103650" w:rsidP="00103650">
      <w:pPr>
        <w:spacing w:after="0" w:line="240" w:lineRule="auto"/>
      </w:pPr>
      <w:r>
        <w:t>Comuníquese y ejecútese,</w:t>
      </w:r>
    </w:p>
    <w:p w14:paraId="37DC8DBB" w14:textId="77777777" w:rsidR="00103650" w:rsidRDefault="00103650" w:rsidP="00103650">
      <w:pPr>
        <w:spacing w:after="0" w:line="240" w:lineRule="auto"/>
      </w:pPr>
    </w:p>
    <w:p w14:paraId="23361E2B" w14:textId="77777777" w:rsidR="00103650" w:rsidRDefault="00103650" w:rsidP="00103650">
      <w:pPr>
        <w:spacing w:after="0" w:line="240" w:lineRule="auto"/>
        <w:ind w:left="4248" w:firstLine="708"/>
        <w:jc w:val="both"/>
      </w:pPr>
    </w:p>
    <w:p w14:paraId="6E302C4A" w14:textId="77777777" w:rsidR="00103650" w:rsidRDefault="00103650" w:rsidP="00103650">
      <w:pPr>
        <w:spacing w:after="0" w:line="240" w:lineRule="auto"/>
        <w:ind w:left="4248" w:firstLine="708"/>
        <w:jc w:val="both"/>
      </w:pPr>
    </w:p>
    <w:p w14:paraId="491FF676" w14:textId="77777777" w:rsidR="00103650" w:rsidRDefault="00103650" w:rsidP="00103650">
      <w:pPr>
        <w:spacing w:after="0" w:line="240" w:lineRule="auto"/>
        <w:ind w:left="4248" w:firstLine="708"/>
        <w:jc w:val="both"/>
      </w:pPr>
    </w:p>
    <w:p w14:paraId="6A3EF624" w14:textId="77777777" w:rsidR="00103650" w:rsidRDefault="00103650" w:rsidP="00103650">
      <w:pPr>
        <w:spacing w:after="0" w:line="240" w:lineRule="auto"/>
        <w:ind w:left="4248" w:firstLine="708"/>
        <w:jc w:val="both"/>
      </w:pPr>
    </w:p>
    <w:p w14:paraId="0C75A4CA" w14:textId="77777777" w:rsidR="00103650" w:rsidRDefault="00103650" w:rsidP="00103650">
      <w:pPr>
        <w:spacing w:after="0" w:line="240" w:lineRule="auto"/>
        <w:ind w:left="4248" w:firstLine="708"/>
        <w:jc w:val="both"/>
      </w:pPr>
      <w:r>
        <w:t>Eduardo Ferrer Mac-Gregor Poisot</w:t>
      </w:r>
    </w:p>
    <w:p w14:paraId="183F8777" w14:textId="77777777" w:rsidR="00103650" w:rsidRDefault="00103650" w:rsidP="00103650">
      <w:pPr>
        <w:spacing w:after="0" w:line="240" w:lineRule="auto"/>
        <w:ind w:left="4956" w:firstLine="708"/>
        <w:jc w:val="both"/>
      </w:pPr>
      <w:r>
        <w:t xml:space="preserve">    Presidente</w:t>
      </w:r>
    </w:p>
    <w:p w14:paraId="583CAEE7" w14:textId="77777777" w:rsidR="00103650" w:rsidRDefault="00103650" w:rsidP="00103650">
      <w:pPr>
        <w:spacing w:after="0" w:line="240" w:lineRule="auto"/>
        <w:ind w:left="4956" w:firstLine="708"/>
        <w:jc w:val="both"/>
      </w:pPr>
    </w:p>
    <w:p w14:paraId="2B0EC97B" w14:textId="77777777" w:rsidR="00103650" w:rsidRDefault="00103650" w:rsidP="00103650">
      <w:pPr>
        <w:spacing w:after="0" w:line="240" w:lineRule="auto"/>
        <w:ind w:left="4956" w:firstLine="708"/>
        <w:jc w:val="both"/>
      </w:pPr>
    </w:p>
    <w:p w14:paraId="71544D4C" w14:textId="77777777" w:rsidR="00103650" w:rsidRDefault="00103650" w:rsidP="00103650">
      <w:pPr>
        <w:spacing w:after="0" w:line="240" w:lineRule="auto"/>
        <w:ind w:left="4956" w:firstLine="708"/>
        <w:jc w:val="both"/>
      </w:pPr>
    </w:p>
    <w:p w14:paraId="4A263FBD" w14:textId="77777777" w:rsidR="00103650" w:rsidRDefault="00103650" w:rsidP="00103650">
      <w:pPr>
        <w:spacing w:after="0" w:line="240" w:lineRule="auto"/>
        <w:ind w:left="4956" w:firstLine="708"/>
        <w:jc w:val="both"/>
      </w:pPr>
    </w:p>
    <w:p w14:paraId="38681B7D" w14:textId="77777777" w:rsidR="00103650" w:rsidRDefault="00103650" w:rsidP="00103650">
      <w:pPr>
        <w:spacing w:after="0" w:line="240" w:lineRule="auto"/>
        <w:ind w:left="4956" w:firstLine="708"/>
        <w:jc w:val="both"/>
      </w:pPr>
    </w:p>
    <w:p w14:paraId="0CF35E7C" w14:textId="77777777" w:rsidR="00103650" w:rsidRDefault="00103650" w:rsidP="00103650">
      <w:pPr>
        <w:spacing w:after="0" w:line="240" w:lineRule="auto"/>
        <w:ind w:left="4956" w:firstLine="708"/>
        <w:jc w:val="both"/>
      </w:pPr>
    </w:p>
    <w:p w14:paraId="6F7C66E1" w14:textId="77777777" w:rsidR="00103650" w:rsidRDefault="00103650" w:rsidP="00103650">
      <w:pPr>
        <w:spacing w:after="0" w:line="240" w:lineRule="auto"/>
        <w:ind w:left="4956" w:firstLine="708"/>
        <w:jc w:val="both"/>
      </w:pPr>
    </w:p>
    <w:p w14:paraId="1283A98C" w14:textId="77777777" w:rsidR="00103650" w:rsidRDefault="00103650" w:rsidP="00103650">
      <w:pPr>
        <w:spacing w:after="0" w:line="240" w:lineRule="auto"/>
        <w:ind w:left="4956" w:firstLine="708"/>
        <w:jc w:val="both"/>
      </w:pPr>
    </w:p>
    <w:p w14:paraId="600C113C" w14:textId="77777777" w:rsidR="00103650" w:rsidRDefault="00103650" w:rsidP="00103650">
      <w:pPr>
        <w:spacing w:after="0" w:line="240" w:lineRule="auto"/>
        <w:ind w:left="4956" w:firstLine="708"/>
        <w:jc w:val="both"/>
      </w:pPr>
    </w:p>
    <w:p w14:paraId="49FE1F89" w14:textId="77777777" w:rsidR="00103650" w:rsidRDefault="00103650" w:rsidP="00103650">
      <w:pPr>
        <w:spacing w:after="0" w:line="240" w:lineRule="auto"/>
      </w:pPr>
      <w:r>
        <w:t>Pablo Saavedra Alessandri</w:t>
      </w:r>
    </w:p>
    <w:p w14:paraId="350CA476" w14:textId="77777777" w:rsidR="00103650" w:rsidRDefault="00103650" w:rsidP="00103650">
      <w:pPr>
        <w:spacing w:after="0" w:line="240" w:lineRule="auto"/>
      </w:pPr>
      <w:r>
        <w:t xml:space="preserve">            Secretario</w:t>
      </w:r>
    </w:p>
    <w:p w14:paraId="410E069A" w14:textId="77777777" w:rsidR="00103650" w:rsidRPr="002A1FDB" w:rsidRDefault="00103650" w:rsidP="00103650">
      <w:pPr>
        <w:spacing w:after="0" w:line="240" w:lineRule="auto"/>
      </w:pPr>
    </w:p>
    <w:p w14:paraId="0D7D72C1" w14:textId="77777777" w:rsidR="00C85E65" w:rsidRPr="007471FC" w:rsidRDefault="00C85E65" w:rsidP="00103650">
      <w:pPr>
        <w:pStyle w:val="Prrafodelista"/>
        <w:autoSpaceDE w:val="0"/>
        <w:autoSpaceDN w:val="0"/>
        <w:adjustRightInd w:val="0"/>
        <w:spacing w:after="0" w:line="240" w:lineRule="auto"/>
        <w:ind w:left="0"/>
        <w:rPr>
          <w:rFonts w:ascii="Verdana" w:hAnsi="Verdana"/>
          <w:sz w:val="20"/>
          <w:szCs w:val="20"/>
        </w:rPr>
      </w:pPr>
    </w:p>
    <w:sectPr w:rsidR="00C85E65" w:rsidRPr="007471FC" w:rsidSect="0004237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997D2" w14:textId="77777777" w:rsidR="00972211" w:rsidRDefault="00972211" w:rsidP="00B31009">
      <w:pPr>
        <w:spacing w:after="0" w:line="240" w:lineRule="auto"/>
      </w:pPr>
      <w:r>
        <w:separator/>
      </w:r>
    </w:p>
  </w:endnote>
  <w:endnote w:type="continuationSeparator" w:id="0">
    <w:p w14:paraId="75F5A064" w14:textId="77777777" w:rsidR="00972211" w:rsidRDefault="00972211" w:rsidP="00B31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Italic">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56ABF" w14:textId="77777777" w:rsidR="00972211" w:rsidRDefault="00972211" w:rsidP="00B31009">
      <w:pPr>
        <w:spacing w:after="0" w:line="240" w:lineRule="auto"/>
      </w:pPr>
      <w:r>
        <w:separator/>
      </w:r>
    </w:p>
  </w:footnote>
  <w:footnote w:type="continuationSeparator" w:id="0">
    <w:p w14:paraId="3C9B6C33" w14:textId="77777777" w:rsidR="00972211" w:rsidRDefault="00972211" w:rsidP="00B31009">
      <w:pPr>
        <w:spacing w:after="0" w:line="240" w:lineRule="auto"/>
      </w:pPr>
      <w:r>
        <w:continuationSeparator/>
      </w:r>
    </w:p>
  </w:footnote>
  <w:footnote w:id="1">
    <w:p w14:paraId="5FB9D1C9" w14:textId="6E21B5C0" w:rsidR="00972211" w:rsidRPr="00032D30" w:rsidRDefault="00972211" w:rsidP="00032D30">
      <w:pPr>
        <w:pStyle w:val="Textonotapie"/>
        <w:jc w:val="both"/>
        <w:rPr>
          <w:rFonts w:ascii="Verdana" w:hAnsi="Verdana"/>
          <w:sz w:val="16"/>
          <w:szCs w:val="16"/>
        </w:rPr>
      </w:pPr>
      <w:r w:rsidRPr="00032D30">
        <w:rPr>
          <w:rStyle w:val="Refdenotaalpie"/>
          <w:rFonts w:ascii="Verdana" w:hAnsi="Verdana"/>
          <w:sz w:val="16"/>
          <w:szCs w:val="16"/>
        </w:rPr>
        <w:footnoteRef/>
      </w:r>
      <w:r w:rsidRPr="00032D30">
        <w:rPr>
          <w:rFonts w:ascii="Verdana" w:hAnsi="Verdana"/>
          <w:sz w:val="16"/>
          <w:szCs w:val="16"/>
        </w:rPr>
        <w:t xml:space="preserve"> </w:t>
      </w:r>
      <w:r w:rsidRPr="00032D30">
        <w:rPr>
          <w:rFonts w:ascii="Verdana" w:hAnsi="Verdana"/>
          <w:sz w:val="16"/>
          <w:szCs w:val="16"/>
        </w:rPr>
        <w:tab/>
      </w:r>
      <w:r w:rsidRPr="00032D30">
        <w:rPr>
          <w:rFonts w:ascii="Verdana" w:hAnsi="Verdana"/>
          <w:i/>
          <w:sz w:val="16"/>
          <w:szCs w:val="16"/>
        </w:rPr>
        <w:t xml:space="preserve">Cfr. Caso Masacres de El Mozote y lugares aledaños Vs. El Salvador. Fondo, Reparaciones y Costas. </w:t>
      </w:r>
      <w:r w:rsidRPr="00032D30">
        <w:rPr>
          <w:rFonts w:ascii="Verdana" w:hAnsi="Verdana"/>
          <w:sz w:val="16"/>
          <w:szCs w:val="16"/>
        </w:rPr>
        <w:t xml:space="preserve">Sentencia de 25 de octubre de 2012. Serie C No. 252. El texto íntegro de la Sentencia se encuentra disponible en: </w:t>
      </w:r>
      <w:hyperlink r:id="rId1" w:history="1">
        <w:r w:rsidRPr="00032D30">
          <w:rPr>
            <w:rStyle w:val="Hipervnculo"/>
            <w:rFonts w:ascii="Verdana" w:hAnsi="Verdana"/>
            <w:sz w:val="16"/>
            <w:szCs w:val="16"/>
          </w:rPr>
          <w:t>http://corteidh.or.cr/docs/casos/articulos/seriec_252_esp.pdf</w:t>
        </w:r>
      </w:hyperlink>
      <w:r w:rsidRPr="00032D30">
        <w:rPr>
          <w:rFonts w:ascii="Verdana" w:hAnsi="Verdana"/>
          <w:sz w:val="16"/>
          <w:szCs w:val="16"/>
        </w:rPr>
        <w:t>. La Sentencia fue notificada al Estado el 10 de diciembre de 2012.</w:t>
      </w:r>
    </w:p>
  </w:footnote>
  <w:footnote w:id="2">
    <w:p w14:paraId="76B1E7F4" w14:textId="77777777" w:rsidR="00972211" w:rsidRPr="00032D30" w:rsidRDefault="00972211" w:rsidP="00032D30">
      <w:pPr>
        <w:pStyle w:val="Textonotapie"/>
        <w:jc w:val="both"/>
        <w:rPr>
          <w:rFonts w:ascii="Verdana" w:hAnsi="Verdana"/>
          <w:sz w:val="16"/>
          <w:szCs w:val="16"/>
        </w:rPr>
      </w:pPr>
      <w:r w:rsidRPr="00032D30">
        <w:rPr>
          <w:rStyle w:val="Refdenotaalpie"/>
          <w:rFonts w:ascii="Verdana" w:hAnsi="Verdana"/>
          <w:sz w:val="16"/>
          <w:szCs w:val="16"/>
        </w:rPr>
        <w:footnoteRef/>
      </w:r>
      <w:r w:rsidRPr="00032D30">
        <w:rPr>
          <w:rFonts w:ascii="Verdana" w:hAnsi="Verdana"/>
          <w:sz w:val="16"/>
          <w:szCs w:val="16"/>
        </w:rPr>
        <w:t xml:space="preserve"> </w:t>
      </w:r>
      <w:r w:rsidRPr="00032D30">
        <w:rPr>
          <w:rFonts w:ascii="Verdana" w:hAnsi="Verdana"/>
          <w:sz w:val="16"/>
          <w:szCs w:val="16"/>
        </w:rPr>
        <w:tab/>
        <w:t xml:space="preserve">Según los listados de víctimas confeccionados por la Oficina de Tutela Legal del Arzobispado de San Salvador. Conforme al punto resolutivo segundo de la Sentencia, el Estado debe continuar con la puesta en funcionamiento de un Registro Único de Víctimas y Familiares de Víctimas de Graves Violaciones de Derechos Humanos durante la Masacre de El Mozote. </w:t>
      </w:r>
      <w:r w:rsidRPr="00032D30">
        <w:rPr>
          <w:rFonts w:ascii="Verdana" w:hAnsi="Verdana"/>
          <w:i/>
          <w:sz w:val="16"/>
          <w:szCs w:val="16"/>
        </w:rPr>
        <w:t>Cfr. Caso Masacres de El Mozote y lugares aledaños Vs. El Salvador, supra</w:t>
      </w:r>
      <w:r w:rsidRPr="00032D30">
        <w:rPr>
          <w:rFonts w:ascii="Verdana" w:hAnsi="Verdana"/>
          <w:sz w:val="16"/>
          <w:szCs w:val="16"/>
        </w:rPr>
        <w:t xml:space="preserve"> nota 1, párrs. 97, 105, 109, 112, 116, 121 y punto resolutivo segundo.</w:t>
      </w:r>
    </w:p>
  </w:footnote>
  <w:footnote w:id="3">
    <w:p w14:paraId="2EF2F538" w14:textId="77777777" w:rsidR="00972211" w:rsidRPr="00032D30" w:rsidRDefault="00972211" w:rsidP="00032D30">
      <w:pPr>
        <w:pStyle w:val="Textonotapie"/>
        <w:jc w:val="both"/>
        <w:rPr>
          <w:rFonts w:ascii="Verdana" w:hAnsi="Verdana"/>
          <w:sz w:val="16"/>
          <w:szCs w:val="16"/>
        </w:rPr>
      </w:pPr>
      <w:r w:rsidRPr="00032D30">
        <w:rPr>
          <w:rStyle w:val="Refdenotaalpie"/>
          <w:rFonts w:ascii="Verdana" w:hAnsi="Verdana"/>
          <w:sz w:val="16"/>
          <w:szCs w:val="16"/>
        </w:rPr>
        <w:footnoteRef/>
      </w:r>
      <w:r w:rsidRPr="00032D30">
        <w:rPr>
          <w:rFonts w:ascii="Verdana" w:hAnsi="Verdana"/>
          <w:sz w:val="16"/>
          <w:szCs w:val="16"/>
        </w:rPr>
        <w:t xml:space="preserve"> </w:t>
      </w:r>
      <w:r w:rsidRPr="00032D30">
        <w:rPr>
          <w:rFonts w:ascii="Verdana" w:hAnsi="Verdana"/>
          <w:sz w:val="16"/>
          <w:szCs w:val="16"/>
        </w:rPr>
        <w:tab/>
        <w:t xml:space="preserve">Disponible en: </w:t>
      </w:r>
      <w:hyperlink r:id="rId2" w:history="1">
        <w:r w:rsidRPr="00032D30">
          <w:rPr>
            <w:rStyle w:val="Hipervnculo"/>
            <w:rFonts w:ascii="Verdana" w:hAnsi="Verdana"/>
            <w:sz w:val="16"/>
            <w:szCs w:val="16"/>
          </w:rPr>
          <w:t>http://www.corteidh.or.cr/docs/supervisiones/mozote_03_05_16.pdf</w:t>
        </w:r>
      </w:hyperlink>
      <w:r w:rsidRPr="00032D30">
        <w:rPr>
          <w:rFonts w:ascii="Verdana" w:hAnsi="Verdana"/>
          <w:sz w:val="16"/>
          <w:szCs w:val="16"/>
        </w:rPr>
        <w:t xml:space="preserve">. </w:t>
      </w:r>
    </w:p>
  </w:footnote>
  <w:footnote w:id="4">
    <w:p w14:paraId="39B62170" w14:textId="77777777" w:rsidR="00972211" w:rsidRPr="00032D30" w:rsidRDefault="00972211" w:rsidP="00032D30">
      <w:pPr>
        <w:pStyle w:val="Textonotapie"/>
        <w:jc w:val="both"/>
        <w:rPr>
          <w:rFonts w:ascii="Verdana" w:hAnsi="Verdana"/>
          <w:sz w:val="16"/>
          <w:szCs w:val="16"/>
        </w:rPr>
      </w:pPr>
      <w:r w:rsidRPr="00032D30">
        <w:rPr>
          <w:rStyle w:val="Refdenotaalpie"/>
          <w:rFonts w:ascii="Verdana" w:hAnsi="Verdana"/>
          <w:sz w:val="16"/>
          <w:szCs w:val="16"/>
        </w:rPr>
        <w:footnoteRef/>
      </w:r>
      <w:r w:rsidRPr="00032D30">
        <w:rPr>
          <w:rFonts w:ascii="Verdana" w:hAnsi="Verdana"/>
          <w:sz w:val="16"/>
          <w:szCs w:val="16"/>
        </w:rPr>
        <w:t xml:space="preserve"> </w:t>
      </w:r>
      <w:r w:rsidRPr="00032D30">
        <w:rPr>
          <w:rFonts w:ascii="Verdana" w:hAnsi="Verdana"/>
          <w:sz w:val="16"/>
          <w:szCs w:val="16"/>
        </w:rPr>
        <w:tab/>
        <w:t xml:space="preserve">Disponible en: </w:t>
      </w:r>
      <w:hyperlink r:id="rId3" w:history="1">
        <w:r w:rsidRPr="00032D30">
          <w:rPr>
            <w:rStyle w:val="Hipervnculo"/>
            <w:rFonts w:ascii="Verdana" w:hAnsi="Verdana"/>
            <w:sz w:val="16"/>
            <w:szCs w:val="16"/>
          </w:rPr>
          <w:t>http://www.corteidh.or.cr/docs/supervisiones/mozote_31_08_17.pdf</w:t>
        </w:r>
      </w:hyperlink>
      <w:r w:rsidRPr="00032D30">
        <w:rPr>
          <w:rFonts w:ascii="Verdana" w:hAnsi="Verdana"/>
          <w:sz w:val="16"/>
          <w:szCs w:val="16"/>
        </w:rPr>
        <w:t xml:space="preserve">. </w:t>
      </w:r>
    </w:p>
  </w:footnote>
  <w:footnote w:id="5">
    <w:p w14:paraId="29C19B30" w14:textId="77777777" w:rsidR="00972211" w:rsidRPr="00032D30" w:rsidRDefault="00972211" w:rsidP="00032D30">
      <w:pPr>
        <w:pStyle w:val="Textonotapie"/>
        <w:jc w:val="both"/>
        <w:rPr>
          <w:rFonts w:ascii="Verdana" w:hAnsi="Verdana"/>
          <w:sz w:val="16"/>
          <w:szCs w:val="16"/>
        </w:rPr>
      </w:pPr>
      <w:r w:rsidRPr="00032D30">
        <w:rPr>
          <w:rStyle w:val="Refdenotaalpie"/>
          <w:rFonts w:ascii="Verdana" w:hAnsi="Verdana"/>
          <w:sz w:val="16"/>
          <w:szCs w:val="16"/>
        </w:rPr>
        <w:footnoteRef/>
      </w:r>
      <w:r w:rsidRPr="00032D30">
        <w:rPr>
          <w:rFonts w:ascii="Verdana" w:hAnsi="Verdana"/>
          <w:sz w:val="16"/>
          <w:szCs w:val="16"/>
        </w:rPr>
        <w:t xml:space="preserve"> </w:t>
      </w:r>
      <w:r w:rsidRPr="00032D30">
        <w:rPr>
          <w:rFonts w:ascii="Verdana" w:hAnsi="Verdana"/>
          <w:sz w:val="16"/>
          <w:szCs w:val="16"/>
        </w:rPr>
        <w:tab/>
        <w:t xml:space="preserve">Disponible en: </w:t>
      </w:r>
      <w:hyperlink r:id="rId4" w:history="1">
        <w:r w:rsidRPr="00032D30">
          <w:rPr>
            <w:rStyle w:val="Hipervnculo"/>
            <w:rFonts w:ascii="Verdana" w:hAnsi="Verdana"/>
            <w:sz w:val="16"/>
            <w:szCs w:val="16"/>
            <w:lang w:val="es-CO"/>
          </w:rPr>
          <w:t>http://www.corteidh.or.cr/docs/supervisiones/mozote_30_05_18.pdf</w:t>
        </w:r>
      </w:hyperlink>
      <w:r w:rsidRPr="00032D30">
        <w:rPr>
          <w:rFonts w:ascii="Verdana" w:hAnsi="Verdana"/>
          <w:sz w:val="16"/>
          <w:szCs w:val="16"/>
          <w:lang w:val="es-CO"/>
        </w:rPr>
        <w:t xml:space="preserve">. </w:t>
      </w:r>
      <w:r w:rsidRPr="00032D30">
        <w:rPr>
          <w:rFonts w:ascii="Verdana" w:hAnsi="Verdana"/>
          <w:sz w:val="16"/>
          <w:szCs w:val="16"/>
        </w:rPr>
        <w:t xml:space="preserve"> </w:t>
      </w:r>
    </w:p>
  </w:footnote>
  <w:footnote w:id="6">
    <w:p w14:paraId="38962D1F" w14:textId="7EBF7D64" w:rsidR="00972211" w:rsidRPr="00032D30" w:rsidRDefault="00972211" w:rsidP="00032D30">
      <w:pPr>
        <w:pStyle w:val="Textonotapie"/>
        <w:jc w:val="both"/>
        <w:rPr>
          <w:rFonts w:ascii="Verdana" w:hAnsi="Verdana"/>
          <w:sz w:val="16"/>
          <w:szCs w:val="16"/>
        </w:rPr>
      </w:pPr>
      <w:r w:rsidRPr="00032D30">
        <w:rPr>
          <w:rStyle w:val="Refdenotaalpie"/>
          <w:rFonts w:ascii="Verdana" w:hAnsi="Verdana"/>
          <w:sz w:val="16"/>
          <w:szCs w:val="16"/>
        </w:rPr>
        <w:footnoteRef/>
      </w:r>
      <w:r w:rsidRPr="00032D30">
        <w:rPr>
          <w:rFonts w:ascii="Verdana" w:hAnsi="Verdana"/>
          <w:sz w:val="16"/>
          <w:szCs w:val="16"/>
        </w:rPr>
        <w:t xml:space="preserve"> </w:t>
      </w:r>
      <w:r w:rsidRPr="00032D30">
        <w:rPr>
          <w:rFonts w:ascii="Verdana" w:hAnsi="Verdana"/>
          <w:sz w:val="16"/>
          <w:szCs w:val="16"/>
        </w:rPr>
        <w:tab/>
        <w:t xml:space="preserve">Disponible en: </w:t>
      </w:r>
      <w:hyperlink r:id="rId5" w:history="1">
        <w:r w:rsidRPr="00032D30">
          <w:rPr>
            <w:rStyle w:val="Hipervnculo"/>
            <w:rFonts w:ascii="Verdana" w:hAnsi="Verdana"/>
            <w:sz w:val="16"/>
            <w:szCs w:val="16"/>
          </w:rPr>
          <w:t>http://www.corteidh.or.cr/docs/supervisiones/mozote_28_11_18.pdf</w:t>
        </w:r>
      </w:hyperlink>
      <w:r w:rsidRPr="00032D30">
        <w:rPr>
          <w:rFonts w:ascii="Verdana" w:hAnsi="Verdana"/>
          <w:sz w:val="16"/>
          <w:szCs w:val="16"/>
        </w:rPr>
        <w:t xml:space="preserve">. </w:t>
      </w:r>
    </w:p>
  </w:footnote>
  <w:footnote w:id="7">
    <w:p w14:paraId="251A2974" w14:textId="77777777" w:rsidR="00972211" w:rsidRPr="00032D30" w:rsidRDefault="00972211" w:rsidP="00032D30">
      <w:pPr>
        <w:pStyle w:val="Textonotapie"/>
        <w:jc w:val="both"/>
        <w:rPr>
          <w:rFonts w:ascii="Verdana" w:hAnsi="Verdana"/>
          <w:sz w:val="16"/>
          <w:szCs w:val="16"/>
          <w:lang w:val="es-ES"/>
        </w:rPr>
      </w:pPr>
      <w:r w:rsidRPr="00032D30">
        <w:rPr>
          <w:rStyle w:val="Refdenotaalpie"/>
          <w:rFonts w:ascii="Verdana" w:hAnsi="Verdana"/>
          <w:sz w:val="16"/>
          <w:szCs w:val="16"/>
        </w:rPr>
        <w:footnoteRef/>
      </w:r>
      <w:r w:rsidRPr="00032D30">
        <w:rPr>
          <w:rFonts w:ascii="Verdana" w:hAnsi="Verdana"/>
          <w:sz w:val="16"/>
          <w:szCs w:val="16"/>
        </w:rPr>
        <w:tab/>
        <w:t>El Centro por la Justicia y el Derecho Internacional (CEJIL) y la Asociación de Derechos Humanos Tutela Legal “Dra. María Julia Hernández”.</w:t>
      </w:r>
    </w:p>
  </w:footnote>
  <w:footnote w:id="8">
    <w:p w14:paraId="5D7ED4F9" w14:textId="32154A3E" w:rsidR="00972211" w:rsidRPr="00032D30" w:rsidRDefault="00972211" w:rsidP="00032D30">
      <w:pPr>
        <w:spacing w:after="0" w:line="240" w:lineRule="auto"/>
        <w:jc w:val="both"/>
        <w:rPr>
          <w:rFonts w:ascii="Verdana" w:hAnsi="Verdana"/>
          <w:sz w:val="16"/>
          <w:szCs w:val="16"/>
        </w:rPr>
      </w:pPr>
      <w:r w:rsidRPr="00032D30">
        <w:rPr>
          <w:rStyle w:val="Refdenotaalpie"/>
          <w:rFonts w:ascii="Verdana" w:hAnsi="Verdana"/>
          <w:sz w:val="16"/>
          <w:szCs w:val="16"/>
        </w:rPr>
        <w:footnoteRef/>
      </w:r>
      <w:r w:rsidRPr="00032D30">
        <w:rPr>
          <w:rFonts w:ascii="Verdana" w:hAnsi="Verdana"/>
          <w:sz w:val="16"/>
          <w:szCs w:val="16"/>
        </w:rPr>
        <w:t xml:space="preserve"> </w:t>
      </w:r>
      <w:r w:rsidRPr="00032D30">
        <w:rPr>
          <w:rFonts w:ascii="Verdana" w:hAnsi="Verdana"/>
          <w:sz w:val="16"/>
          <w:szCs w:val="16"/>
        </w:rPr>
        <w:tab/>
        <w:t xml:space="preserve">Se solicitó al Estado que informe sobre: i) el contenido del anteproyecto de Ley de Reconciliación Nacional y su compatibilidad con lo ordenado en el punto resolutivo tercero y el párrafo 319 de la Sentencia en cuanto al deber del Estado de abstenerse de recurrir a figuras como la amnistía en beneficio de los autores, disposiciones análogas, la prescripción, irretroactividad de la ley penal, cosa juzgada, </w:t>
      </w:r>
      <w:r w:rsidRPr="00032D30">
        <w:rPr>
          <w:rFonts w:ascii="Verdana" w:hAnsi="Verdana"/>
          <w:i/>
          <w:sz w:val="16"/>
          <w:szCs w:val="16"/>
        </w:rPr>
        <w:t>ne bis in idem</w:t>
      </w:r>
      <w:r w:rsidRPr="00032D30">
        <w:rPr>
          <w:rFonts w:ascii="Verdana" w:hAnsi="Verdana"/>
          <w:sz w:val="16"/>
          <w:szCs w:val="16"/>
        </w:rPr>
        <w:t xml:space="preserve"> o cualquier eximente similar de responsabilidad, para excusarse de la obligación de investigar las graves violaciones ocurridas en el presente caso; ii) el actual estado de avance del trámite legislativo del referido anteproyecto de ley y, explique, de acuerdo a su normativa interna, el procedimiento que seguiría, y iii) la posición que ha asumido el Poder Ejecutivo ante al Poder Legislativo en cuanto al contenido del referido anteproyecto de ley y su posible incompatibilidad con lo ordenado en la Sentencia del presente caso.</w:t>
      </w:r>
    </w:p>
    <w:p w14:paraId="35044CFB" w14:textId="4F507442" w:rsidR="00972211" w:rsidRPr="00032D30" w:rsidRDefault="00972211" w:rsidP="00032D30">
      <w:pPr>
        <w:pStyle w:val="Textonotapie"/>
        <w:rPr>
          <w:rFonts w:ascii="Verdana" w:hAnsi="Verdana"/>
          <w:sz w:val="16"/>
          <w:szCs w:val="16"/>
        </w:rPr>
      </w:pPr>
      <w:r w:rsidRPr="00032D30">
        <w:rPr>
          <w:rFonts w:ascii="Verdana" w:hAnsi="Verdana"/>
          <w:sz w:val="16"/>
          <w:szCs w:val="16"/>
        </w:rPr>
        <w:tab/>
      </w:r>
    </w:p>
  </w:footnote>
  <w:footnote w:id="9">
    <w:p w14:paraId="3BFEEFD6" w14:textId="6FC9F01D" w:rsidR="00972211" w:rsidRPr="00032D30" w:rsidRDefault="00972211" w:rsidP="00032D30">
      <w:pPr>
        <w:pStyle w:val="Textonotapie"/>
        <w:jc w:val="both"/>
        <w:rPr>
          <w:rFonts w:ascii="Verdana" w:hAnsi="Verdana"/>
          <w:sz w:val="16"/>
          <w:szCs w:val="16"/>
        </w:rPr>
      </w:pPr>
      <w:r w:rsidRPr="00032D30">
        <w:rPr>
          <w:rStyle w:val="Refdenotaalpie"/>
          <w:rFonts w:ascii="Verdana" w:hAnsi="Verdana"/>
          <w:sz w:val="16"/>
          <w:szCs w:val="16"/>
        </w:rPr>
        <w:footnoteRef/>
      </w:r>
      <w:r w:rsidRPr="00032D30">
        <w:rPr>
          <w:rFonts w:ascii="Verdana" w:hAnsi="Verdana"/>
          <w:sz w:val="16"/>
          <w:szCs w:val="16"/>
        </w:rPr>
        <w:t xml:space="preserve"> </w:t>
      </w:r>
      <w:r w:rsidRPr="00032D30">
        <w:rPr>
          <w:rFonts w:ascii="Verdana" w:hAnsi="Verdana"/>
          <w:sz w:val="16"/>
          <w:szCs w:val="16"/>
        </w:rPr>
        <w:tab/>
        <w:t>Considerandos 11 a 18.</w:t>
      </w:r>
    </w:p>
  </w:footnote>
  <w:footnote w:id="10">
    <w:p w14:paraId="7C2CA9E0" w14:textId="21D01C22" w:rsidR="00972211" w:rsidRPr="00032D30" w:rsidRDefault="00972211" w:rsidP="00032D30">
      <w:pPr>
        <w:pStyle w:val="Textonotapie"/>
        <w:jc w:val="both"/>
        <w:rPr>
          <w:rFonts w:ascii="Verdana" w:hAnsi="Verdana"/>
          <w:sz w:val="16"/>
          <w:szCs w:val="16"/>
        </w:rPr>
      </w:pPr>
      <w:r w:rsidRPr="00032D30">
        <w:rPr>
          <w:rStyle w:val="Refdenotaalpie"/>
          <w:rFonts w:ascii="Verdana" w:hAnsi="Verdana"/>
          <w:sz w:val="16"/>
          <w:szCs w:val="16"/>
        </w:rPr>
        <w:footnoteRef/>
      </w:r>
      <w:r w:rsidRPr="00032D30">
        <w:rPr>
          <w:rFonts w:ascii="Verdana" w:hAnsi="Verdana"/>
          <w:sz w:val="16"/>
          <w:szCs w:val="16"/>
        </w:rPr>
        <w:t xml:space="preserve"> </w:t>
      </w:r>
      <w:r w:rsidRPr="00032D30">
        <w:rPr>
          <w:rFonts w:ascii="Verdana" w:hAnsi="Verdana"/>
          <w:sz w:val="16"/>
          <w:szCs w:val="16"/>
        </w:rPr>
        <w:tab/>
        <w:t>Considerandos 21 a 26.</w:t>
      </w:r>
    </w:p>
  </w:footnote>
  <w:footnote w:id="11">
    <w:p w14:paraId="4683B698" w14:textId="489DCB81" w:rsidR="00972211" w:rsidRPr="00032D30" w:rsidRDefault="00972211" w:rsidP="00032D30">
      <w:pPr>
        <w:pStyle w:val="Textonotapie"/>
        <w:jc w:val="both"/>
        <w:rPr>
          <w:rFonts w:ascii="Verdana" w:hAnsi="Verdana"/>
          <w:sz w:val="16"/>
          <w:szCs w:val="16"/>
        </w:rPr>
      </w:pPr>
      <w:r w:rsidRPr="00032D30">
        <w:rPr>
          <w:rStyle w:val="Refdenotaalpie"/>
          <w:rFonts w:ascii="Verdana" w:hAnsi="Verdana"/>
          <w:sz w:val="16"/>
          <w:szCs w:val="16"/>
        </w:rPr>
        <w:footnoteRef/>
      </w:r>
      <w:r w:rsidRPr="00032D30">
        <w:rPr>
          <w:rFonts w:ascii="Verdana" w:hAnsi="Verdana"/>
          <w:sz w:val="16"/>
          <w:szCs w:val="16"/>
        </w:rPr>
        <w:t xml:space="preserve"> </w:t>
      </w:r>
      <w:r w:rsidRPr="00032D30">
        <w:rPr>
          <w:rFonts w:ascii="Verdana" w:hAnsi="Verdana"/>
          <w:sz w:val="16"/>
          <w:szCs w:val="16"/>
        </w:rPr>
        <w:tab/>
      </w:r>
      <w:r w:rsidRPr="00032D30">
        <w:rPr>
          <w:rFonts w:ascii="Verdana" w:hAnsi="Verdana"/>
          <w:i/>
          <w:sz w:val="16"/>
          <w:szCs w:val="16"/>
        </w:rPr>
        <w:t>Cfr.</w:t>
      </w:r>
      <w:r w:rsidRPr="00032D30">
        <w:rPr>
          <w:rFonts w:ascii="Verdana" w:hAnsi="Verdana"/>
          <w:sz w:val="16"/>
          <w:szCs w:val="16"/>
        </w:rPr>
        <w:t xml:space="preserve"> Sentencia de la Sala de lo Constitucional de El Salvador de 13 de julio de 2016, pág. 34</w:t>
      </w:r>
    </w:p>
  </w:footnote>
  <w:footnote w:id="12">
    <w:p w14:paraId="41A07CDB" w14:textId="2774D457" w:rsidR="00972211" w:rsidRPr="00032D30" w:rsidRDefault="00972211" w:rsidP="00032D30">
      <w:pPr>
        <w:pStyle w:val="Textonotapie"/>
        <w:jc w:val="both"/>
        <w:rPr>
          <w:rFonts w:ascii="Verdana" w:hAnsi="Verdana"/>
          <w:sz w:val="16"/>
          <w:szCs w:val="16"/>
        </w:rPr>
      </w:pPr>
      <w:r w:rsidRPr="00032D30">
        <w:rPr>
          <w:rStyle w:val="Refdenotaalpie"/>
          <w:rFonts w:ascii="Verdana" w:hAnsi="Verdana"/>
          <w:sz w:val="16"/>
          <w:szCs w:val="16"/>
        </w:rPr>
        <w:footnoteRef/>
      </w:r>
      <w:r w:rsidRPr="00032D30">
        <w:rPr>
          <w:rFonts w:ascii="Verdana" w:hAnsi="Verdana"/>
          <w:sz w:val="16"/>
          <w:szCs w:val="16"/>
        </w:rPr>
        <w:t xml:space="preserve"> </w:t>
      </w:r>
      <w:r w:rsidRPr="00032D30">
        <w:rPr>
          <w:rFonts w:ascii="Verdana" w:hAnsi="Verdana"/>
          <w:sz w:val="16"/>
          <w:szCs w:val="16"/>
        </w:rPr>
        <w:tab/>
      </w:r>
      <w:r w:rsidRPr="00032D30">
        <w:rPr>
          <w:rFonts w:ascii="Verdana" w:hAnsi="Verdana"/>
          <w:i/>
          <w:sz w:val="16"/>
          <w:szCs w:val="16"/>
        </w:rPr>
        <w:t>Cfr.</w:t>
      </w:r>
      <w:r w:rsidRPr="00032D30">
        <w:rPr>
          <w:rFonts w:ascii="Verdana" w:hAnsi="Verdana"/>
          <w:sz w:val="16"/>
          <w:szCs w:val="16"/>
        </w:rPr>
        <w:t xml:space="preserve"> Sentencia de la Sala de lo Constitucional, </w:t>
      </w:r>
      <w:r w:rsidRPr="00032D30">
        <w:rPr>
          <w:rFonts w:ascii="Verdana" w:hAnsi="Verdana"/>
          <w:i/>
          <w:sz w:val="16"/>
          <w:szCs w:val="16"/>
        </w:rPr>
        <w:t>supra</w:t>
      </w:r>
      <w:r w:rsidRPr="00032D30">
        <w:rPr>
          <w:rFonts w:ascii="Verdana" w:hAnsi="Verdana"/>
          <w:sz w:val="16"/>
          <w:szCs w:val="16"/>
        </w:rPr>
        <w:t xml:space="preserve"> nota, pág. 35.</w:t>
      </w:r>
    </w:p>
  </w:footnote>
  <w:footnote w:id="13">
    <w:p w14:paraId="4246F87E" w14:textId="74B7BA6F" w:rsidR="00F33802" w:rsidRDefault="00F33802">
      <w:pPr>
        <w:pStyle w:val="Textonotapie"/>
      </w:pPr>
      <w:r>
        <w:rPr>
          <w:rStyle w:val="Refdenotaalpie"/>
        </w:rPr>
        <w:footnoteRef/>
      </w:r>
      <w:r>
        <w:t xml:space="preserve"> </w:t>
      </w:r>
      <w:r>
        <w:tab/>
      </w:r>
      <w:r w:rsidRPr="00032D30">
        <w:rPr>
          <w:rFonts w:ascii="Verdana" w:hAnsi="Verdana"/>
          <w:i/>
          <w:sz w:val="16"/>
          <w:szCs w:val="16"/>
        </w:rPr>
        <w:t>Cfr.</w:t>
      </w:r>
      <w:r w:rsidRPr="00032D30">
        <w:rPr>
          <w:rFonts w:ascii="Verdana" w:hAnsi="Verdana"/>
          <w:sz w:val="16"/>
          <w:szCs w:val="16"/>
        </w:rPr>
        <w:t xml:space="preserve"> Sentencia de la Sala de lo Constitucional, </w:t>
      </w:r>
      <w:r w:rsidRPr="00032D30">
        <w:rPr>
          <w:rFonts w:ascii="Verdana" w:hAnsi="Verdana"/>
          <w:i/>
          <w:sz w:val="16"/>
          <w:szCs w:val="16"/>
        </w:rPr>
        <w:t>supra</w:t>
      </w:r>
      <w:r w:rsidRPr="00032D30">
        <w:rPr>
          <w:rFonts w:ascii="Verdana" w:hAnsi="Verdana"/>
          <w:sz w:val="16"/>
          <w:szCs w:val="16"/>
        </w:rPr>
        <w:t xml:space="preserve"> nota, pág. </w:t>
      </w:r>
      <w:r>
        <w:rPr>
          <w:rFonts w:ascii="Verdana" w:hAnsi="Verdana"/>
          <w:sz w:val="16"/>
          <w:szCs w:val="16"/>
        </w:rPr>
        <w:t>40</w:t>
      </w:r>
      <w:r w:rsidRPr="00032D30">
        <w:rPr>
          <w:rFonts w:ascii="Verdana" w:hAnsi="Verdana"/>
          <w:sz w:val="16"/>
          <w:szCs w:val="16"/>
        </w:rPr>
        <w:t>.</w:t>
      </w:r>
    </w:p>
  </w:footnote>
  <w:footnote w:id="14">
    <w:p w14:paraId="59550318" w14:textId="3A3C1A75" w:rsidR="00972211" w:rsidRPr="00032D30" w:rsidRDefault="00972211" w:rsidP="00032D30">
      <w:pPr>
        <w:pStyle w:val="Textonotapie"/>
        <w:jc w:val="both"/>
        <w:rPr>
          <w:rFonts w:ascii="Verdana" w:hAnsi="Verdana"/>
          <w:sz w:val="16"/>
          <w:szCs w:val="16"/>
        </w:rPr>
      </w:pPr>
      <w:r w:rsidRPr="00032D30">
        <w:rPr>
          <w:rStyle w:val="Refdenotaalpie"/>
          <w:rFonts w:ascii="Verdana" w:hAnsi="Verdana"/>
          <w:sz w:val="16"/>
          <w:szCs w:val="16"/>
        </w:rPr>
        <w:footnoteRef/>
      </w:r>
      <w:r w:rsidRPr="00032D30">
        <w:rPr>
          <w:rFonts w:ascii="Verdana" w:hAnsi="Verdana"/>
          <w:sz w:val="16"/>
          <w:szCs w:val="16"/>
        </w:rPr>
        <w:t xml:space="preserve"> </w:t>
      </w:r>
      <w:r w:rsidRPr="00032D30">
        <w:rPr>
          <w:rFonts w:ascii="Verdana" w:hAnsi="Verdana"/>
          <w:sz w:val="16"/>
          <w:szCs w:val="16"/>
        </w:rPr>
        <w:tab/>
      </w:r>
      <w:r w:rsidRPr="00032D30">
        <w:rPr>
          <w:rFonts w:ascii="Verdana" w:hAnsi="Verdana"/>
          <w:i/>
          <w:sz w:val="16"/>
          <w:szCs w:val="16"/>
        </w:rPr>
        <w:t xml:space="preserve">Cfr. Caso Herrera Ulloa respecto de Costa Rica. Medidas Provisionales. </w:t>
      </w:r>
      <w:r w:rsidRPr="00032D30">
        <w:rPr>
          <w:rFonts w:ascii="Verdana" w:hAnsi="Verdana"/>
          <w:sz w:val="16"/>
          <w:szCs w:val="16"/>
        </w:rPr>
        <w:t xml:space="preserve">Resolución de la Corte Interamericana de Derechos Humanos de 7 de septiembre de 2001, Considerando 4, y </w:t>
      </w:r>
      <w:r w:rsidRPr="00032D30">
        <w:rPr>
          <w:rStyle w:val="Textoennegrita"/>
          <w:rFonts w:ascii="Verdana" w:hAnsi="Verdana"/>
          <w:b w:val="0"/>
          <w:i/>
          <w:color w:val="000000"/>
          <w:sz w:val="16"/>
          <w:szCs w:val="16"/>
          <w:shd w:val="clear" w:color="auto" w:fill="FFFFFF"/>
        </w:rPr>
        <w:t xml:space="preserve">Asunto de diecisiete personas privadas de libertad respecto de Nicaragua. Medidas Provisionales. </w:t>
      </w:r>
      <w:r w:rsidRPr="00032D30">
        <w:rPr>
          <w:rStyle w:val="Textoennegrita"/>
          <w:rFonts w:ascii="Verdana" w:hAnsi="Verdana"/>
          <w:b w:val="0"/>
          <w:color w:val="000000"/>
          <w:sz w:val="16"/>
          <w:szCs w:val="16"/>
          <w:shd w:val="clear" w:color="auto" w:fill="FFFFFF"/>
        </w:rPr>
        <w:t>Adopción de Medidas Urgentes. Resolución del Presidente de la Corte Interamericana de Derechos Humanos de 21 de mayo de 2019, Considerando 4.</w:t>
      </w:r>
    </w:p>
  </w:footnote>
  <w:footnote w:id="15">
    <w:p w14:paraId="0E60A9F7" w14:textId="46F00C42" w:rsidR="00972211" w:rsidRPr="00032D30" w:rsidRDefault="00972211" w:rsidP="00032D30">
      <w:pPr>
        <w:pStyle w:val="Textonotapie"/>
        <w:jc w:val="both"/>
        <w:rPr>
          <w:rFonts w:ascii="Verdana" w:hAnsi="Verdana"/>
          <w:sz w:val="16"/>
          <w:szCs w:val="16"/>
        </w:rPr>
      </w:pPr>
      <w:r w:rsidRPr="00032D30">
        <w:rPr>
          <w:rStyle w:val="Refdenotaalpie"/>
          <w:rFonts w:ascii="Verdana" w:hAnsi="Verdana"/>
          <w:sz w:val="16"/>
          <w:szCs w:val="16"/>
        </w:rPr>
        <w:footnoteRef/>
      </w:r>
      <w:r w:rsidRPr="00032D30">
        <w:rPr>
          <w:rFonts w:ascii="Verdana" w:hAnsi="Verdana"/>
          <w:sz w:val="16"/>
          <w:szCs w:val="16"/>
        </w:rPr>
        <w:t xml:space="preserve"> </w:t>
      </w:r>
      <w:r w:rsidRPr="00032D30">
        <w:rPr>
          <w:rFonts w:ascii="Verdana" w:hAnsi="Verdana"/>
          <w:sz w:val="16"/>
          <w:szCs w:val="16"/>
        </w:rPr>
        <w:tab/>
        <w:t xml:space="preserve">Indicaron que “[l]a integración de la misma fue objetada ante el Tribunal de Ética Gubernamental y ante la propia Asamblea, por parte de víctimas y organizaciones de derechos humanos que denunciaron, sin recibir respuesta favorable”. Las objeciones se fundaban en que los diputados que la conformaban “habían sido severamente cuestionados por su participación directa en el conflicto armado y su involucramiento en graves violaciones de derechos humanos”. </w:t>
      </w:r>
    </w:p>
  </w:footnote>
  <w:footnote w:id="16">
    <w:p w14:paraId="6203C243" w14:textId="35697F8D" w:rsidR="00972211" w:rsidRPr="00032D30" w:rsidRDefault="00972211" w:rsidP="00032D30">
      <w:pPr>
        <w:pStyle w:val="Textonotapie"/>
        <w:jc w:val="both"/>
        <w:rPr>
          <w:rFonts w:ascii="Verdana" w:hAnsi="Verdana"/>
          <w:sz w:val="16"/>
          <w:szCs w:val="16"/>
        </w:rPr>
      </w:pPr>
      <w:r w:rsidRPr="00032D30">
        <w:rPr>
          <w:rStyle w:val="Refdenotaalpie"/>
          <w:rFonts w:ascii="Verdana" w:hAnsi="Verdana"/>
          <w:sz w:val="16"/>
          <w:szCs w:val="16"/>
        </w:rPr>
        <w:footnoteRef/>
      </w:r>
      <w:r w:rsidR="00605A99" w:rsidRPr="00032D30">
        <w:rPr>
          <w:rFonts w:ascii="Verdana" w:hAnsi="Verdana"/>
          <w:sz w:val="16"/>
          <w:szCs w:val="16"/>
        </w:rPr>
        <w:t xml:space="preserve"> </w:t>
      </w:r>
      <w:r w:rsidR="00605A99" w:rsidRPr="00032D30">
        <w:rPr>
          <w:rFonts w:ascii="Verdana" w:hAnsi="Verdana"/>
          <w:sz w:val="16"/>
          <w:szCs w:val="16"/>
        </w:rPr>
        <w:tab/>
        <w:t>Agregaron que “[e]l dañ</w:t>
      </w:r>
      <w:r w:rsidRPr="00032D30">
        <w:rPr>
          <w:rFonts w:ascii="Verdana" w:hAnsi="Verdana"/>
          <w:sz w:val="16"/>
          <w:szCs w:val="16"/>
        </w:rPr>
        <w:t>o a su derecho al acceso a la justicia puede resultar irreparable pues muchas de [las víctimas] son personas de muy avanzada edad, pues pueden fallecer antes de ver resultados en los procesos judiciales de sus casos”. Indicaron que esto es “particularmente cierto en el caso de la</w:t>
      </w:r>
      <w:r w:rsidR="00605A99" w:rsidRPr="00032D30">
        <w:rPr>
          <w:rFonts w:ascii="Verdana" w:hAnsi="Verdana"/>
          <w:sz w:val="16"/>
          <w:szCs w:val="16"/>
        </w:rPr>
        <w:t xml:space="preserve">[s] </w:t>
      </w:r>
      <w:r w:rsidRPr="00032D30">
        <w:rPr>
          <w:rFonts w:ascii="Verdana" w:hAnsi="Verdana"/>
          <w:sz w:val="16"/>
          <w:szCs w:val="16"/>
        </w:rPr>
        <w:t>Masacre</w:t>
      </w:r>
      <w:r w:rsidR="00605A99" w:rsidRPr="00032D30">
        <w:rPr>
          <w:rFonts w:ascii="Verdana" w:hAnsi="Verdana"/>
          <w:sz w:val="16"/>
          <w:szCs w:val="16"/>
        </w:rPr>
        <w:t>[s]</w:t>
      </w:r>
      <w:r w:rsidRPr="00032D30">
        <w:rPr>
          <w:rFonts w:ascii="Verdana" w:hAnsi="Verdana"/>
          <w:sz w:val="16"/>
          <w:szCs w:val="16"/>
        </w:rPr>
        <w:t xml:space="preserve"> de El Mozote” cuyos hechos ocurrieron “hace más de 40 años” cuando “muchas de [las víctimas] eran adultas”, ahora “en su mayoría personas […] de la tercera edad”.</w:t>
      </w:r>
    </w:p>
  </w:footnote>
  <w:footnote w:id="17">
    <w:p w14:paraId="2B1CF551" w14:textId="7F453157" w:rsidR="00972211" w:rsidRPr="00032D30" w:rsidRDefault="00972211" w:rsidP="00032D30">
      <w:pPr>
        <w:pStyle w:val="Textonotapie"/>
        <w:jc w:val="both"/>
        <w:rPr>
          <w:rFonts w:ascii="Verdana" w:hAnsi="Verdana"/>
          <w:sz w:val="16"/>
          <w:szCs w:val="16"/>
        </w:rPr>
      </w:pPr>
      <w:r w:rsidRPr="00032D30">
        <w:rPr>
          <w:rFonts w:ascii="Verdana" w:hAnsi="Verdana"/>
          <w:sz w:val="16"/>
          <w:szCs w:val="16"/>
        </w:rPr>
        <w:t xml:space="preserve"> </w:t>
      </w:r>
      <w:r w:rsidRPr="00032D30">
        <w:rPr>
          <w:rStyle w:val="Refdenotaalpie"/>
          <w:rFonts w:ascii="Verdana" w:hAnsi="Verdana"/>
          <w:sz w:val="16"/>
          <w:szCs w:val="16"/>
        </w:rPr>
        <w:footnoteRef/>
      </w:r>
      <w:r w:rsidRPr="00032D30">
        <w:rPr>
          <w:rFonts w:ascii="Verdana" w:hAnsi="Verdana"/>
          <w:sz w:val="16"/>
          <w:szCs w:val="16"/>
        </w:rPr>
        <w:t xml:space="preserve"> </w:t>
      </w:r>
      <w:r w:rsidRPr="00032D30">
        <w:rPr>
          <w:rFonts w:ascii="Verdana" w:hAnsi="Verdana"/>
          <w:sz w:val="16"/>
          <w:szCs w:val="16"/>
        </w:rPr>
        <w:tab/>
      </w:r>
      <w:r w:rsidRPr="00032D30">
        <w:rPr>
          <w:rFonts w:ascii="Verdana" w:hAnsi="Verdana"/>
          <w:i/>
          <w:sz w:val="16"/>
          <w:szCs w:val="16"/>
        </w:rPr>
        <w:t>Cfr. Caso Carpio Nicolle y otros respecto Guatemala. Medidas Provisionales.</w:t>
      </w:r>
      <w:r w:rsidRPr="00032D30">
        <w:rPr>
          <w:rFonts w:ascii="Verdana" w:hAnsi="Verdana"/>
          <w:sz w:val="16"/>
          <w:szCs w:val="16"/>
        </w:rPr>
        <w:t xml:space="preserve"> Resolución de la Corte Interamericana de Derechos Humanos de 6 de julio de 2009, Considerando 14, y </w:t>
      </w:r>
      <w:r w:rsidRPr="00032D30">
        <w:rPr>
          <w:rStyle w:val="Textoennegrita"/>
          <w:rFonts w:ascii="Verdana" w:hAnsi="Verdana"/>
          <w:b w:val="0"/>
          <w:i/>
          <w:color w:val="000000"/>
          <w:sz w:val="16"/>
          <w:szCs w:val="16"/>
          <w:shd w:val="clear" w:color="auto" w:fill="FFFFFF"/>
        </w:rPr>
        <w:t>Caso Miembros de la Aldea Chichupac y comunidades vecinas del Municipio de Rabinal, Caso Molina Theissen y otros 12 Casos Guatemaltecos Vs. Guatemala. Medidas Provisionales y Supervisión de Cumplimiento de Sentencia.</w:t>
      </w:r>
      <w:r w:rsidRPr="00032D30">
        <w:rPr>
          <w:rStyle w:val="Textoennegrita"/>
          <w:rFonts w:ascii="Verdana" w:hAnsi="Verdana"/>
          <w:b w:val="0"/>
          <w:color w:val="000000"/>
          <w:sz w:val="16"/>
          <w:szCs w:val="16"/>
          <w:shd w:val="clear" w:color="auto" w:fill="FFFFFF"/>
        </w:rPr>
        <w:t xml:space="preserve"> Resolución de la Corte Interamericana de Derechos Humanos de 12 de marzo de 2019, Considerando 16.</w:t>
      </w:r>
    </w:p>
  </w:footnote>
  <w:footnote w:id="18">
    <w:p w14:paraId="10FBE2B2" w14:textId="7282C19D" w:rsidR="00972211" w:rsidRPr="00032D30" w:rsidRDefault="00972211" w:rsidP="00032D30">
      <w:pPr>
        <w:tabs>
          <w:tab w:val="left" w:pos="567"/>
        </w:tabs>
        <w:spacing w:after="0" w:line="240" w:lineRule="auto"/>
        <w:jc w:val="both"/>
        <w:rPr>
          <w:rFonts w:ascii="Verdana" w:hAnsi="Verdana"/>
          <w:sz w:val="16"/>
          <w:szCs w:val="16"/>
          <w:lang w:val="es-ES_tradnl"/>
        </w:rPr>
      </w:pPr>
      <w:r w:rsidRPr="00032D30">
        <w:rPr>
          <w:rStyle w:val="Refdenotaalpie"/>
          <w:rFonts w:ascii="Verdana" w:hAnsi="Verdana"/>
          <w:sz w:val="16"/>
          <w:szCs w:val="16"/>
        </w:rPr>
        <w:footnoteRef/>
      </w:r>
      <w:r w:rsidRPr="00032D30">
        <w:rPr>
          <w:rFonts w:ascii="Verdana" w:hAnsi="Verdana"/>
          <w:sz w:val="16"/>
          <w:szCs w:val="16"/>
        </w:rPr>
        <w:tab/>
      </w:r>
      <w:r w:rsidRPr="00032D30">
        <w:rPr>
          <w:rFonts w:ascii="Verdana" w:hAnsi="Verdana"/>
          <w:i/>
          <w:iCs/>
          <w:sz w:val="16"/>
          <w:szCs w:val="16"/>
          <w:lang w:val="es-ES"/>
        </w:rPr>
        <w:t xml:space="preserve">Cfr. Asunto Belfort Istúriz y otros respecto Venezuela. Medidas Provisionales. </w:t>
      </w:r>
      <w:r w:rsidRPr="00032D30">
        <w:rPr>
          <w:rFonts w:ascii="Verdana" w:hAnsi="Verdana"/>
          <w:iCs/>
          <w:sz w:val="16"/>
          <w:szCs w:val="16"/>
          <w:lang w:val="es-ES"/>
        </w:rPr>
        <w:t>Resolución de la Corte de 15 de abril de 2010, Considerando 5,</w:t>
      </w:r>
      <w:r w:rsidRPr="00032D30">
        <w:rPr>
          <w:rFonts w:ascii="Verdana" w:hAnsi="Verdana"/>
          <w:sz w:val="16"/>
          <w:szCs w:val="16"/>
          <w:lang w:val="es-ES_tradnl"/>
        </w:rPr>
        <w:t xml:space="preserve"> y </w:t>
      </w:r>
      <w:r w:rsidRPr="00032D30">
        <w:rPr>
          <w:rStyle w:val="Textoennegrita"/>
          <w:rFonts w:ascii="Verdana" w:hAnsi="Verdana"/>
          <w:b w:val="0"/>
          <w:i/>
          <w:color w:val="000000"/>
          <w:sz w:val="16"/>
          <w:szCs w:val="16"/>
          <w:shd w:val="clear" w:color="auto" w:fill="FFFFFF"/>
        </w:rPr>
        <w:t xml:space="preserve">Caso Miembros de la Aldea Chichupac y comunidades vecinas del Municipio de Rabinal, Caso Molina Theissen y otros 12 Casos Guatemaltecos Vs. Guatemala, supra </w:t>
      </w:r>
      <w:r w:rsidRPr="00032D30">
        <w:rPr>
          <w:rStyle w:val="Textoennegrita"/>
          <w:rFonts w:ascii="Verdana" w:hAnsi="Verdana"/>
          <w:b w:val="0"/>
          <w:color w:val="000000"/>
          <w:sz w:val="16"/>
          <w:szCs w:val="16"/>
          <w:shd w:val="clear" w:color="auto" w:fill="FFFFFF"/>
        </w:rPr>
        <w:t>nota,</w:t>
      </w:r>
      <w:r w:rsidRPr="00032D30">
        <w:rPr>
          <w:rStyle w:val="Textoennegrita"/>
          <w:rFonts w:ascii="Verdana" w:hAnsi="Verdana"/>
          <w:b w:val="0"/>
          <w:i/>
          <w:color w:val="000000"/>
          <w:sz w:val="16"/>
          <w:szCs w:val="16"/>
          <w:shd w:val="clear" w:color="auto" w:fill="FFFFFF"/>
        </w:rPr>
        <w:t xml:space="preserve"> </w:t>
      </w:r>
      <w:r w:rsidRPr="00032D30">
        <w:rPr>
          <w:rFonts w:ascii="Verdana" w:hAnsi="Verdana"/>
          <w:sz w:val="16"/>
          <w:szCs w:val="16"/>
          <w:lang w:val="es-ES_tradnl"/>
        </w:rPr>
        <w:t>Considerando 16.</w:t>
      </w:r>
    </w:p>
  </w:footnote>
  <w:footnote w:id="19">
    <w:p w14:paraId="2A3477F8" w14:textId="02130823" w:rsidR="00972211" w:rsidRPr="00032D30" w:rsidRDefault="00972211" w:rsidP="00032D30">
      <w:pPr>
        <w:tabs>
          <w:tab w:val="left" w:pos="567"/>
        </w:tabs>
        <w:spacing w:after="0" w:line="240" w:lineRule="auto"/>
        <w:jc w:val="both"/>
        <w:rPr>
          <w:rFonts w:ascii="Verdana" w:hAnsi="Verdana"/>
          <w:sz w:val="16"/>
          <w:szCs w:val="16"/>
          <w:lang w:val="es-ES_tradnl"/>
        </w:rPr>
      </w:pPr>
      <w:r w:rsidRPr="00032D30">
        <w:rPr>
          <w:rStyle w:val="Refdenotaalpie"/>
          <w:rFonts w:ascii="Verdana" w:hAnsi="Verdana"/>
          <w:sz w:val="16"/>
          <w:szCs w:val="16"/>
        </w:rPr>
        <w:footnoteRef/>
      </w:r>
      <w:r w:rsidRPr="00032D30">
        <w:rPr>
          <w:rFonts w:ascii="Verdana" w:hAnsi="Verdana"/>
          <w:sz w:val="16"/>
          <w:szCs w:val="16"/>
        </w:rPr>
        <w:t xml:space="preserve"> </w:t>
      </w:r>
      <w:r w:rsidRPr="00032D30">
        <w:rPr>
          <w:rFonts w:ascii="Verdana" w:hAnsi="Verdana"/>
          <w:sz w:val="16"/>
          <w:szCs w:val="16"/>
        </w:rPr>
        <w:tab/>
      </w:r>
      <w:r w:rsidRPr="00032D30">
        <w:rPr>
          <w:rFonts w:ascii="Verdana" w:hAnsi="Verdana"/>
          <w:i/>
          <w:sz w:val="16"/>
          <w:szCs w:val="16"/>
        </w:rPr>
        <w:t>Cfr. Asuntos Internado Judicial de Monagas (“La Pica”) respecto de Venezuela. Medidas Provisionales</w:t>
      </w:r>
      <w:r w:rsidRPr="00032D30">
        <w:rPr>
          <w:rFonts w:ascii="Verdana" w:hAnsi="Verdana"/>
          <w:sz w:val="16"/>
          <w:szCs w:val="16"/>
        </w:rPr>
        <w:t xml:space="preserve">. Resolución de la Corte Interamericana de Derechos Humanos de 24 de noviembre de 2009, Considerando 3, y </w:t>
      </w:r>
      <w:r w:rsidRPr="00032D30">
        <w:rPr>
          <w:rStyle w:val="Textoennegrita"/>
          <w:rFonts w:ascii="Verdana" w:hAnsi="Verdana"/>
          <w:b w:val="0"/>
          <w:i/>
          <w:color w:val="000000"/>
          <w:sz w:val="16"/>
          <w:szCs w:val="16"/>
          <w:shd w:val="clear" w:color="auto" w:fill="FFFFFF"/>
        </w:rPr>
        <w:t xml:space="preserve">Caso Miembros de la Aldea Chichupac y comunidades vecinas del Municipio de Rabinal, Caso Molina Theissen y otros 12 Casos Guatemaltecos Vs. Guatemala, supra </w:t>
      </w:r>
      <w:r w:rsidRPr="00032D30">
        <w:rPr>
          <w:rStyle w:val="Textoennegrita"/>
          <w:rFonts w:ascii="Verdana" w:hAnsi="Verdana"/>
          <w:b w:val="0"/>
          <w:color w:val="000000"/>
          <w:sz w:val="16"/>
          <w:szCs w:val="16"/>
          <w:shd w:val="clear" w:color="auto" w:fill="FFFFFF"/>
        </w:rPr>
        <w:t>nota,</w:t>
      </w:r>
      <w:r w:rsidRPr="00032D30">
        <w:rPr>
          <w:rStyle w:val="Textoennegrita"/>
          <w:rFonts w:ascii="Verdana" w:hAnsi="Verdana"/>
          <w:b w:val="0"/>
          <w:i/>
          <w:color w:val="000000"/>
          <w:sz w:val="16"/>
          <w:szCs w:val="16"/>
          <w:shd w:val="clear" w:color="auto" w:fill="FFFFFF"/>
        </w:rPr>
        <w:t xml:space="preserve"> </w:t>
      </w:r>
      <w:r w:rsidRPr="00032D30">
        <w:rPr>
          <w:rFonts w:ascii="Verdana" w:hAnsi="Verdana"/>
          <w:sz w:val="16"/>
          <w:szCs w:val="16"/>
          <w:lang w:val="es-ES_tradnl"/>
        </w:rPr>
        <w:t>Considerando 16.</w:t>
      </w:r>
    </w:p>
  </w:footnote>
  <w:footnote w:id="20">
    <w:p w14:paraId="248F1260" w14:textId="58FC4FB5" w:rsidR="00972211" w:rsidRPr="00032D30" w:rsidRDefault="00972211" w:rsidP="00032D30">
      <w:pPr>
        <w:pStyle w:val="Textonotapie"/>
        <w:jc w:val="both"/>
        <w:rPr>
          <w:rFonts w:ascii="Verdana" w:hAnsi="Verdana"/>
          <w:sz w:val="16"/>
          <w:szCs w:val="16"/>
          <w:lang w:val="es-ES"/>
        </w:rPr>
      </w:pPr>
      <w:r w:rsidRPr="00032D30">
        <w:rPr>
          <w:rStyle w:val="Refdenotaalpie"/>
          <w:rFonts w:ascii="Verdana" w:hAnsi="Verdana"/>
          <w:sz w:val="16"/>
          <w:szCs w:val="16"/>
        </w:rPr>
        <w:footnoteRef/>
      </w:r>
      <w:r w:rsidRPr="00032D30">
        <w:rPr>
          <w:rFonts w:ascii="Verdana" w:hAnsi="Verdana"/>
          <w:sz w:val="16"/>
          <w:szCs w:val="16"/>
        </w:rPr>
        <w:t xml:space="preserve"> </w:t>
      </w:r>
      <w:r w:rsidRPr="00032D30">
        <w:rPr>
          <w:rFonts w:ascii="Verdana" w:hAnsi="Verdana"/>
          <w:sz w:val="16"/>
          <w:szCs w:val="16"/>
        </w:rPr>
        <w:tab/>
        <w:t>Artículos 3</w:t>
      </w:r>
      <w:r w:rsidR="00A31BF9" w:rsidRPr="00032D30">
        <w:rPr>
          <w:rFonts w:ascii="Verdana" w:hAnsi="Verdana"/>
          <w:sz w:val="16"/>
          <w:szCs w:val="16"/>
        </w:rPr>
        <w:t xml:space="preserve">.1, 3.2, 3.5 </w:t>
      </w:r>
      <w:r w:rsidRPr="00032D30">
        <w:rPr>
          <w:rFonts w:ascii="Verdana" w:hAnsi="Verdana"/>
          <w:sz w:val="16"/>
          <w:szCs w:val="16"/>
        </w:rPr>
        <w:t xml:space="preserve">y 6 del </w:t>
      </w:r>
      <w:r w:rsidRPr="00032D30">
        <w:rPr>
          <w:rFonts w:ascii="Verdana" w:hAnsi="Verdana" w:cs="Verdana"/>
          <w:sz w:val="16"/>
          <w:szCs w:val="16"/>
        </w:rPr>
        <w:t>proyecto de “Ley Especial de Justicia Transicional y Restaurativa para la Reconciliación Nacional” elaborado por la Subcomisión de la Comisión Política de la Asamblea Legislativa.</w:t>
      </w:r>
    </w:p>
  </w:footnote>
  <w:footnote w:id="21">
    <w:p w14:paraId="347FCDB9" w14:textId="77777777" w:rsidR="00032D30" w:rsidRPr="00032D30" w:rsidRDefault="00032D30" w:rsidP="00032D30">
      <w:pPr>
        <w:pStyle w:val="Textonotapie"/>
        <w:rPr>
          <w:rFonts w:ascii="Verdana" w:hAnsi="Verdana"/>
          <w:sz w:val="16"/>
          <w:szCs w:val="16"/>
        </w:rPr>
      </w:pPr>
      <w:r w:rsidRPr="00032D30">
        <w:rPr>
          <w:rStyle w:val="Refdenotaalpie"/>
          <w:rFonts w:ascii="Verdana" w:hAnsi="Verdana"/>
          <w:sz w:val="16"/>
          <w:szCs w:val="16"/>
        </w:rPr>
        <w:footnoteRef/>
      </w:r>
      <w:r w:rsidRPr="00032D30">
        <w:rPr>
          <w:rFonts w:ascii="Verdana" w:hAnsi="Verdana"/>
          <w:sz w:val="16"/>
          <w:szCs w:val="16"/>
        </w:rPr>
        <w:t xml:space="preserve"> </w:t>
      </w:r>
      <w:r w:rsidRPr="00032D30">
        <w:rPr>
          <w:rFonts w:ascii="Verdana" w:hAnsi="Verdana"/>
          <w:sz w:val="16"/>
          <w:szCs w:val="16"/>
        </w:rPr>
        <w:tab/>
      </w:r>
      <w:r w:rsidRPr="00032D30">
        <w:rPr>
          <w:rFonts w:ascii="Verdana" w:hAnsi="Verdana"/>
          <w:bCs/>
          <w:i/>
          <w:color w:val="000000"/>
          <w:sz w:val="16"/>
          <w:szCs w:val="16"/>
        </w:rPr>
        <w:t>Caso Masacres de El Mozote y lugares aledaños Vs. El Salvador,</w:t>
      </w:r>
      <w:r w:rsidRPr="00032D30">
        <w:rPr>
          <w:rFonts w:ascii="Verdana" w:hAnsi="Verdana"/>
          <w:color w:val="000000"/>
          <w:sz w:val="16"/>
          <w:szCs w:val="16"/>
        </w:rPr>
        <w:t xml:space="preserve"> </w:t>
      </w:r>
      <w:r w:rsidRPr="00032D30">
        <w:rPr>
          <w:rFonts w:ascii="Verdana" w:hAnsi="Verdana"/>
          <w:i/>
          <w:color w:val="000000"/>
          <w:sz w:val="16"/>
          <w:szCs w:val="16"/>
        </w:rPr>
        <w:t xml:space="preserve">supra </w:t>
      </w:r>
      <w:r w:rsidRPr="00032D30">
        <w:rPr>
          <w:rFonts w:ascii="Verdana" w:hAnsi="Verdana"/>
          <w:color w:val="000000"/>
          <w:sz w:val="16"/>
          <w:szCs w:val="16"/>
        </w:rPr>
        <w:t>nota, párr. 245.</w:t>
      </w:r>
    </w:p>
  </w:footnote>
  <w:footnote w:id="22">
    <w:p w14:paraId="4A1F633E" w14:textId="77777777" w:rsidR="00032D30" w:rsidRPr="00032D30" w:rsidRDefault="00032D30" w:rsidP="00032D30">
      <w:pPr>
        <w:pStyle w:val="Textonotapie"/>
        <w:rPr>
          <w:rFonts w:ascii="Verdana" w:hAnsi="Verdana"/>
          <w:sz w:val="16"/>
          <w:szCs w:val="16"/>
        </w:rPr>
      </w:pPr>
      <w:r w:rsidRPr="00032D30">
        <w:rPr>
          <w:rStyle w:val="Refdenotaalpie"/>
          <w:rFonts w:ascii="Verdana" w:hAnsi="Verdana"/>
          <w:sz w:val="16"/>
          <w:szCs w:val="16"/>
        </w:rPr>
        <w:footnoteRef/>
      </w:r>
      <w:r w:rsidRPr="00032D30">
        <w:rPr>
          <w:rFonts w:ascii="Verdana" w:hAnsi="Verdana"/>
          <w:sz w:val="16"/>
          <w:szCs w:val="16"/>
        </w:rPr>
        <w:t xml:space="preserve"> </w:t>
      </w:r>
      <w:r w:rsidRPr="00032D30">
        <w:rPr>
          <w:rFonts w:ascii="Verdana" w:hAnsi="Verdana"/>
          <w:sz w:val="16"/>
          <w:szCs w:val="16"/>
        </w:rPr>
        <w:tab/>
      </w:r>
      <w:r w:rsidRPr="00032D30">
        <w:rPr>
          <w:rFonts w:ascii="Verdana" w:hAnsi="Verdana"/>
          <w:bCs/>
          <w:i/>
          <w:color w:val="000000"/>
          <w:sz w:val="16"/>
          <w:szCs w:val="16"/>
        </w:rPr>
        <w:t>Caso Masacres de El Mozote y lugares aledaños Vs. El Salvador,</w:t>
      </w:r>
      <w:r w:rsidRPr="00032D30">
        <w:rPr>
          <w:rFonts w:ascii="Verdana" w:hAnsi="Verdana"/>
          <w:color w:val="000000"/>
          <w:sz w:val="16"/>
          <w:szCs w:val="16"/>
        </w:rPr>
        <w:t xml:space="preserve"> </w:t>
      </w:r>
      <w:r w:rsidRPr="00032D30">
        <w:rPr>
          <w:rFonts w:ascii="Verdana" w:hAnsi="Verdana"/>
          <w:i/>
          <w:color w:val="000000"/>
          <w:sz w:val="16"/>
          <w:szCs w:val="16"/>
        </w:rPr>
        <w:t xml:space="preserve">supra </w:t>
      </w:r>
      <w:r w:rsidRPr="00032D30">
        <w:rPr>
          <w:rFonts w:ascii="Verdana" w:hAnsi="Verdana"/>
          <w:color w:val="000000"/>
          <w:sz w:val="16"/>
          <w:szCs w:val="16"/>
        </w:rPr>
        <w:t>nota, párr. 284.</w:t>
      </w:r>
    </w:p>
  </w:footnote>
  <w:footnote w:id="23">
    <w:p w14:paraId="312F2315" w14:textId="77777777" w:rsidR="00032D30" w:rsidRPr="00032D30" w:rsidRDefault="00032D30" w:rsidP="00032D30">
      <w:pPr>
        <w:pStyle w:val="Textonotapie"/>
        <w:rPr>
          <w:rFonts w:ascii="Verdana" w:hAnsi="Verdana"/>
          <w:sz w:val="16"/>
          <w:szCs w:val="16"/>
        </w:rPr>
      </w:pPr>
      <w:r w:rsidRPr="00032D30">
        <w:rPr>
          <w:rStyle w:val="Refdenotaalpie"/>
          <w:rFonts w:ascii="Verdana" w:hAnsi="Verdana"/>
          <w:sz w:val="16"/>
          <w:szCs w:val="16"/>
        </w:rPr>
        <w:footnoteRef/>
      </w:r>
      <w:r w:rsidRPr="00032D30">
        <w:rPr>
          <w:rFonts w:ascii="Verdana" w:hAnsi="Verdana"/>
          <w:sz w:val="16"/>
          <w:szCs w:val="16"/>
        </w:rPr>
        <w:t xml:space="preserve"> </w:t>
      </w:r>
      <w:r w:rsidRPr="00032D30">
        <w:rPr>
          <w:rFonts w:ascii="Verdana" w:hAnsi="Verdana"/>
          <w:sz w:val="16"/>
          <w:szCs w:val="16"/>
        </w:rPr>
        <w:tab/>
      </w:r>
      <w:r w:rsidRPr="00032D30">
        <w:rPr>
          <w:rFonts w:ascii="Verdana" w:hAnsi="Verdana"/>
          <w:bCs/>
          <w:i/>
          <w:color w:val="000000"/>
          <w:sz w:val="16"/>
          <w:szCs w:val="16"/>
        </w:rPr>
        <w:t>Caso Masacres de El Mozote y lugares aledaños Vs. El Salvador,</w:t>
      </w:r>
      <w:r w:rsidRPr="00032D30">
        <w:rPr>
          <w:rFonts w:ascii="Verdana" w:hAnsi="Verdana"/>
          <w:color w:val="000000"/>
          <w:sz w:val="16"/>
          <w:szCs w:val="16"/>
        </w:rPr>
        <w:t xml:space="preserve"> </w:t>
      </w:r>
      <w:r w:rsidRPr="00032D30">
        <w:rPr>
          <w:rFonts w:ascii="Verdana" w:hAnsi="Verdana"/>
          <w:i/>
          <w:color w:val="000000"/>
          <w:sz w:val="16"/>
          <w:szCs w:val="16"/>
        </w:rPr>
        <w:t xml:space="preserve">supra </w:t>
      </w:r>
      <w:r w:rsidRPr="00032D30">
        <w:rPr>
          <w:rFonts w:ascii="Verdana" w:hAnsi="Verdana"/>
          <w:color w:val="000000"/>
          <w:sz w:val="16"/>
          <w:szCs w:val="16"/>
        </w:rPr>
        <w:t>nota, párr. 284.</w:t>
      </w:r>
    </w:p>
  </w:footnote>
  <w:footnote w:id="24">
    <w:p w14:paraId="7861A322" w14:textId="77777777" w:rsidR="00032D30" w:rsidRPr="00032D30" w:rsidRDefault="00032D30" w:rsidP="00032D30">
      <w:pPr>
        <w:pStyle w:val="Textonotapie"/>
        <w:rPr>
          <w:rFonts w:ascii="Verdana" w:hAnsi="Verdana"/>
          <w:sz w:val="16"/>
          <w:szCs w:val="16"/>
        </w:rPr>
      </w:pPr>
      <w:r w:rsidRPr="00032D30">
        <w:rPr>
          <w:rStyle w:val="Refdenotaalpie"/>
          <w:rFonts w:ascii="Verdana" w:hAnsi="Verdana"/>
          <w:sz w:val="16"/>
          <w:szCs w:val="16"/>
        </w:rPr>
        <w:footnoteRef/>
      </w:r>
      <w:r w:rsidRPr="00032D30">
        <w:rPr>
          <w:rFonts w:ascii="Verdana" w:hAnsi="Verdana"/>
          <w:sz w:val="16"/>
          <w:szCs w:val="16"/>
        </w:rPr>
        <w:t xml:space="preserve"> </w:t>
      </w:r>
      <w:r w:rsidRPr="00032D30">
        <w:rPr>
          <w:rFonts w:ascii="Verdana" w:hAnsi="Verdana"/>
          <w:sz w:val="16"/>
          <w:szCs w:val="16"/>
        </w:rPr>
        <w:tab/>
      </w:r>
      <w:r w:rsidRPr="00032D30">
        <w:rPr>
          <w:rFonts w:ascii="Verdana" w:hAnsi="Verdana"/>
          <w:bCs/>
          <w:i/>
          <w:color w:val="000000"/>
          <w:sz w:val="16"/>
          <w:szCs w:val="16"/>
        </w:rPr>
        <w:t>Caso Masacres de El Mozote y lugares aledaños Vs. El Salvador,</w:t>
      </w:r>
      <w:r w:rsidRPr="00032D30">
        <w:rPr>
          <w:rFonts w:ascii="Verdana" w:hAnsi="Verdana"/>
          <w:color w:val="000000"/>
          <w:sz w:val="16"/>
          <w:szCs w:val="16"/>
        </w:rPr>
        <w:t xml:space="preserve"> </w:t>
      </w:r>
      <w:r w:rsidRPr="00032D30">
        <w:rPr>
          <w:rFonts w:ascii="Verdana" w:hAnsi="Verdana"/>
          <w:i/>
          <w:color w:val="000000"/>
          <w:sz w:val="16"/>
          <w:szCs w:val="16"/>
        </w:rPr>
        <w:t xml:space="preserve">supra </w:t>
      </w:r>
      <w:r w:rsidRPr="00032D30">
        <w:rPr>
          <w:rFonts w:ascii="Verdana" w:hAnsi="Verdana"/>
          <w:color w:val="000000"/>
          <w:sz w:val="16"/>
          <w:szCs w:val="16"/>
        </w:rPr>
        <w:t>nota, párr. 285.</w:t>
      </w:r>
    </w:p>
  </w:footnote>
  <w:footnote w:id="25">
    <w:p w14:paraId="54BC4CA1" w14:textId="77777777" w:rsidR="00032D30" w:rsidRPr="00032D30" w:rsidRDefault="00032D30" w:rsidP="00032D30">
      <w:pPr>
        <w:pStyle w:val="Textonotapie"/>
        <w:rPr>
          <w:rFonts w:ascii="Verdana" w:hAnsi="Verdana"/>
          <w:sz w:val="16"/>
          <w:szCs w:val="16"/>
        </w:rPr>
      </w:pPr>
      <w:r w:rsidRPr="00032D30">
        <w:rPr>
          <w:rStyle w:val="Refdenotaalpie"/>
          <w:rFonts w:ascii="Verdana" w:hAnsi="Verdana"/>
          <w:sz w:val="16"/>
          <w:szCs w:val="16"/>
        </w:rPr>
        <w:footnoteRef/>
      </w:r>
      <w:r w:rsidRPr="00032D30">
        <w:rPr>
          <w:rFonts w:ascii="Verdana" w:hAnsi="Verdana"/>
          <w:sz w:val="16"/>
          <w:szCs w:val="16"/>
        </w:rPr>
        <w:t xml:space="preserve"> </w:t>
      </w:r>
      <w:r w:rsidRPr="00032D30">
        <w:rPr>
          <w:rFonts w:ascii="Verdana" w:hAnsi="Verdana"/>
          <w:sz w:val="16"/>
          <w:szCs w:val="16"/>
        </w:rPr>
        <w:tab/>
      </w:r>
      <w:r w:rsidRPr="00032D30">
        <w:rPr>
          <w:rFonts w:ascii="Verdana" w:hAnsi="Verdana"/>
          <w:bCs/>
          <w:i/>
          <w:color w:val="000000"/>
          <w:sz w:val="16"/>
          <w:szCs w:val="16"/>
        </w:rPr>
        <w:t>Caso Masacres de El Mozote y lugares aledaños Vs. El Salvador,</w:t>
      </w:r>
      <w:r w:rsidRPr="00032D30">
        <w:rPr>
          <w:rFonts w:ascii="Verdana" w:hAnsi="Verdana"/>
          <w:color w:val="000000"/>
          <w:sz w:val="16"/>
          <w:szCs w:val="16"/>
        </w:rPr>
        <w:t xml:space="preserve"> </w:t>
      </w:r>
      <w:r w:rsidRPr="00032D30">
        <w:rPr>
          <w:rFonts w:ascii="Verdana" w:hAnsi="Verdana"/>
          <w:i/>
          <w:color w:val="000000"/>
          <w:sz w:val="16"/>
          <w:szCs w:val="16"/>
        </w:rPr>
        <w:t xml:space="preserve">supra </w:t>
      </w:r>
      <w:r w:rsidRPr="00032D30">
        <w:rPr>
          <w:rFonts w:ascii="Verdana" w:hAnsi="Verdana"/>
          <w:color w:val="000000"/>
          <w:sz w:val="16"/>
          <w:szCs w:val="16"/>
        </w:rPr>
        <w:t>nota, párr. 286.</w:t>
      </w:r>
    </w:p>
  </w:footnote>
  <w:footnote w:id="26">
    <w:p w14:paraId="7A961D99" w14:textId="77777777" w:rsidR="00032D30" w:rsidRPr="00032D30" w:rsidRDefault="00032D30" w:rsidP="00032D30">
      <w:pPr>
        <w:pStyle w:val="Textonotapie"/>
        <w:rPr>
          <w:rFonts w:ascii="Verdana" w:hAnsi="Verdana"/>
          <w:sz w:val="16"/>
          <w:szCs w:val="16"/>
        </w:rPr>
      </w:pPr>
      <w:r w:rsidRPr="00032D30">
        <w:rPr>
          <w:rStyle w:val="Refdenotaalpie"/>
          <w:rFonts w:ascii="Verdana" w:hAnsi="Verdana"/>
          <w:sz w:val="16"/>
          <w:szCs w:val="16"/>
        </w:rPr>
        <w:footnoteRef/>
      </w:r>
      <w:r w:rsidRPr="00032D30">
        <w:rPr>
          <w:rFonts w:ascii="Verdana" w:hAnsi="Verdana"/>
          <w:sz w:val="16"/>
          <w:szCs w:val="16"/>
        </w:rPr>
        <w:t xml:space="preserve"> </w:t>
      </w:r>
      <w:r w:rsidRPr="00032D30">
        <w:rPr>
          <w:rFonts w:ascii="Verdana" w:hAnsi="Verdana"/>
          <w:sz w:val="16"/>
          <w:szCs w:val="16"/>
        </w:rPr>
        <w:tab/>
      </w:r>
      <w:r w:rsidRPr="00032D30">
        <w:rPr>
          <w:rFonts w:ascii="Verdana" w:hAnsi="Verdana"/>
          <w:bCs/>
          <w:i/>
          <w:color w:val="000000"/>
          <w:sz w:val="16"/>
          <w:szCs w:val="16"/>
        </w:rPr>
        <w:t>Caso Masacres de El Mozote y lugares aledaños Vs. El Salvador,</w:t>
      </w:r>
      <w:r w:rsidRPr="00032D30">
        <w:rPr>
          <w:rFonts w:ascii="Verdana" w:hAnsi="Verdana"/>
          <w:color w:val="000000"/>
          <w:sz w:val="16"/>
          <w:szCs w:val="16"/>
        </w:rPr>
        <w:t xml:space="preserve"> </w:t>
      </w:r>
      <w:r w:rsidRPr="00032D30">
        <w:rPr>
          <w:rFonts w:ascii="Verdana" w:hAnsi="Verdana"/>
          <w:i/>
          <w:color w:val="000000"/>
          <w:sz w:val="16"/>
          <w:szCs w:val="16"/>
        </w:rPr>
        <w:t xml:space="preserve">supra </w:t>
      </w:r>
      <w:r w:rsidRPr="00032D30">
        <w:rPr>
          <w:rFonts w:ascii="Verdana" w:hAnsi="Verdana"/>
          <w:color w:val="000000"/>
          <w:sz w:val="16"/>
          <w:szCs w:val="16"/>
        </w:rPr>
        <w:t>nota, párr. 291.</w:t>
      </w:r>
    </w:p>
  </w:footnote>
  <w:footnote w:id="27">
    <w:p w14:paraId="6BFA7DD3" w14:textId="77777777" w:rsidR="00032D30" w:rsidRPr="00032D30" w:rsidRDefault="00032D30" w:rsidP="00032D30">
      <w:pPr>
        <w:pStyle w:val="Textonotapie"/>
        <w:rPr>
          <w:rFonts w:ascii="Verdana" w:hAnsi="Verdana"/>
          <w:sz w:val="16"/>
          <w:szCs w:val="16"/>
        </w:rPr>
      </w:pPr>
      <w:r w:rsidRPr="00032D30">
        <w:rPr>
          <w:rStyle w:val="Refdenotaalpie"/>
          <w:rFonts w:ascii="Verdana" w:hAnsi="Verdana"/>
          <w:sz w:val="16"/>
          <w:szCs w:val="16"/>
        </w:rPr>
        <w:footnoteRef/>
      </w:r>
      <w:r w:rsidRPr="00032D30">
        <w:rPr>
          <w:rFonts w:ascii="Verdana" w:hAnsi="Verdana"/>
          <w:sz w:val="16"/>
          <w:szCs w:val="16"/>
        </w:rPr>
        <w:t xml:space="preserve"> </w:t>
      </w:r>
      <w:r w:rsidRPr="00032D30">
        <w:rPr>
          <w:rFonts w:ascii="Verdana" w:hAnsi="Verdana"/>
          <w:sz w:val="16"/>
          <w:szCs w:val="16"/>
        </w:rPr>
        <w:tab/>
      </w:r>
      <w:r w:rsidRPr="00032D30">
        <w:rPr>
          <w:rFonts w:ascii="Verdana" w:hAnsi="Verdana"/>
          <w:bCs/>
          <w:i/>
          <w:color w:val="000000"/>
          <w:sz w:val="16"/>
          <w:szCs w:val="16"/>
        </w:rPr>
        <w:t>Caso Masacres de El Mozote y lugares aledaños Vs. El Salvador,</w:t>
      </w:r>
      <w:r w:rsidRPr="00032D30">
        <w:rPr>
          <w:rFonts w:ascii="Verdana" w:hAnsi="Verdana"/>
          <w:color w:val="000000"/>
          <w:sz w:val="16"/>
          <w:szCs w:val="16"/>
        </w:rPr>
        <w:t xml:space="preserve"> </w:t>
      </w:r>
      <w:r w:rsidRPr="00032D30">
        <w:rPr>
          <w:rFonts w:ascii="Verdana" w:hAnsi="Verdana"/>
          <w:i/>
          <w:color w:val="000000"/>
          <w:sz w:val="16"/>
          <w:szCs w:val="16"/>
        </w:rPr>
        <w:t xml:space="preserve">supra </w:t>
      </w:r>
      <w:r w:rsidRPr="00032D30">
        <w:rPr>
          <w:rFonts w:ascii="Verdana" w:hAnsi="Verdana"/>
          <w:color w:val="000000"/>
          <w:sz w:val="16"/>
          <w:szCs w:val="16"/>
        </w:rPr>
        <w:t>nota, párr. 291.</w:t>
      </w:r>
    </w:p>
  </w:footnote>
  <w:footnote w:id="28">
    <w:p w14:paraId="03BA029D" w14:textId="77777777" w:rsidR="00032D30" w:rsidRPr="00032D30" w:rsidRDefault="00032D30" w:rsidP="00032D30">
      <w:pPr>
        <w:pStyle w:val="Textonotapie"/>
        <w:rPr>
          <w:rFonts w:ascii="Verdana" w:hAnsi="Verdana"/>
          <w:sz w:val="16"/>
          <w:szCs w:val="16"/>
        </w:rPr>
      </w:pPr>
      <w:r w:rsidRPr="00032D30">
        <w:rPr>
          <w:rStyle w:val="Refdenotaalpie"/>
          <w:rFonts w:ascii="Verdana" w:hAnsi="Verdana"/>
          <w:sz w:val="16"/>
          <w:szCs w:val="16"/>
        </w:rPr>
        <w:footnoteRef/>
      </w:r>
      <w:r w:rsidRPr="00032D30">
        <w:rPr>
          <w:rFonts w:ascii="Verdana" w:hAnsi="Verdana"/>
          <w:sz w:val="16"/>
          <w:szCs w:val="16"/>
        </w:rPr>
        <w:t xml:space="preserve"> </w:t>
      </w:r>
      <w:r w:rsidRPr="00032D30">
        <w:rPr>
          <w:rFonts w:ascii="Verdana" w:hAnsi="Verdana"/>
          <w:sz w:val="16"/>
          <w:szCs w:val="16"/>
        </w:rPr>
        <w:tab/>
      </w:r>
      <w:r w:rsidRPr="00032D30">
        <w:rPr>
          <w:rFonts w:ascii="Verdana" w:hAnsi="Verdana"/>
          <w:bCs/>
          <w:i/>
          <w:color w:val="000000"/>
          <w:sz w:val="16"/>
          <w:szCs w:val="16"/>
        </w:rPr>
        <w:t>Caso Masacres de El Mozote y lugares aledaños Vs. El Salvador,</w:t>
      </w:r>
      <w:r w:rsidRPr="00032D30">
        <w:rPr>
          <w:rFonts w:ascii="Verdana" w:hAnsi="Verdana"/>
          <w:color w:val="000000"/>
          <w:sz w:val="16"/>
          <w:szCs w:val="16"/>
        </w:rPr>
        <w:t xml:space="preserve"> </w:t>
      </w:r>
      <w:r w:rsidRPr="00032D30">
        <w:rPr>
          <w:rFonts w:ascii="Verdana" w:hAnsi="Verdana"/>
          <w:i/>
          <w:color w:val="000000"/>
          <w:sz w:val="16"/>
          <w:szCs w:val="16"/>
        </w:rPr>
        <w:t xml:space="preserve">supra </w:t>
      </w:r>
      <w:r w:rsidRPr="00032D30">
        <w:rPr>
          <w:rFonts w:ascii="Verdana" w:hAnsi="Verdana"/>
          <w:color w:val="000000"/>
          <w:sz w:val="16"/>
          <w:szCs w:val="16"/>
        </w:rPr>
        <w:t>nota, puntos dispositivos tercero y cuarto.</w:t>
      </w:r>
    </w:p>
  </w:footnote>
  <w:footnote w:id="29">
    <w:p w14:paraId="1EB659C1" w14:textId="0755B383" w:rsidR="00972211" w:rsidRPr="00032D30" w:rsidRDefault="00972211" w:rsidP="00032D30">
      <w:pPr>
        <w:pStyle w:val="Textonotapie"/>
        <w:jc w:val="both"/>
        <w:rPr>
          <w:rFonts w:ascii="Verdana" w:hAnsi="Verdana"/>
          <w:sz w:val="16"/>
          <w:szCs w:val="16"/>
        </w:rPr>
      </w:pPr>
      <w:r w:rsidRPr="00032D30">
        <w:rPr>
          <w:rStyle w:val="Refdenotaalpie"/>
          <w:rFonts w:ascii="Verdana" w:hAnsi="Verdana"/>
          <w:sz w:val="16"/>
          <w:szCs w:val="16"/>
        </w:rPr>
        <w:footnoteRef/>
      </w:r>
      <w:r w:rsidRPr="00032D30">
        <w:rPr>
          <w:rFonts w:ascii="Verdana" w:hAnsi="Verdana"/>
          <w:sz w:val="16"/>
          <w:szCs w:val="16"/>
        </w:rPr>
        <w:t xml:space="preserve"> </w:t>
      </w:r>
      <w:r w:rsidR="00FE66A3" w:rsidRPr="00032D30">
        <w:rPr>
          <w:rFonts w:ascii="Verdana" w:hAnsi="Verdana"/>
          <w:sz w:val="16"/>
          <w:szCs w:val="16"/>
        </w:rPr>
        <w:tab/>
      </w:r>
      <w:r w:rsidR="00FE66A3" w:rsidRPr="00032D30">
        <w:rPr>
          <w:rFonts w:ascii="Verdana" w:hAnsi="Verdana"/>
          <w:i/>
          <w:sz w:val="16"/>
          <w:szCs w:val="16"/>
        </w:rPr>
        <w:t>Cfr.</w:t>
      </w:r>
      <w:r w:rsidR="00FE66A3" w:rsidRPr="00032D30">
        <w:rPr>
          <w:rFonts w:ascii="Verdana" w:hAnsi="Verdana"/>
          <w:sz w:val="16"/>
          <w:szCs w:val="16"/>
        </w:rPr>
        <w:t xml:space="preserve"> </w:t>
      </w:r>
      <w:r w:rsidR="00FE66A3" w:rsidRPr="00032D30">
        <w:rPr>
          <w:rStyle w:val="Textoennegrita"/>
          <w:rFonts w:ascii="Verdana" w:hAnsi="Verdana"/>
          <w:b w:val="0"/>
          <w:i/>
          <w:color w:val="000000"/>
          <w:sz w:val="16"/>
          <w:szCs w:val="16"/>
          <w:shd w:val="clear" w:color="auto" w:fill="FFFFFF"/>
        </w:rPr>
        <w:t xml:space="preserve">Caso Miembros de la Aldea Chichupac y comunidades vecinas del Municipio de Rabinal, Caso Molina Theissen y otros 12 Casos Guatemaltecos Vs. Guatemala, supra </w:t>
      </w:r>
      <w:r w:rsidR="00FE66A3" w:rsidRPr="00032D30">
        <w:rPr>
          <w:rStyle w:val="Textoennegrita"/>
          <w:rFonts w:ascii="Verdana" w:hAnsi="Verdana"/>
          <w:b w:val="0"/>
          <w:color w:val="000000"/>
          <w:sz w:val="16"/>
          <w:szCs w:val="16"/>
          <w:shd w:val="clear" w:color="auto" w:fill="FFFFFF"/>
        </w:rPr>
        <w:t>nota, Considerando 39.</w:t>
      </w:r>
    </w:p>
  </w:footnote>
  <w:footnote w:id="30">
    <w:p w14:paraId="13EF4A3C" w14:textId="02F672D0" w:rsidR="00972211" w:rsidRPr="00032D30" w:rsidRDefault="00972211" w:rsidP="00032D30">
      <w:pPr>
        <w:pStyle w:val="Textonotapie"/>
        <w:jc w:val="both"/>
        <w:rPr>
          <w:rFonts w:ascii="Verdana" w:hAnsi="Verdana"/>
          <w:sz w:val="16"/>
          <w:szCs w:val="16"/>
        </w:rPr>
      </w:pPr>
      <w:r w:rsidRPr="00032D30">
        <w:rPr>
          <w:rStyle w:val="Refdenotaalpie"/>
          <w:rFonts w:ascii="Verdana" w:hAnsi="Verdana"/>
          <w:sz w:val="16"/>
          <w:szCs w:val="16"/>
        </w:rPr>
        <w:footnoteRef/>
      </w:r>
      <w:r w:rsidRPr="00032D30">
        <w:rPr>
          <w:rFonts w:ascii="Verdana" w:hAnsi="Verdana"/>
          <w:sz w:val="16"/>
          <w:szCs w:val="16"/>
        </w:rPr>
        <w:t xml:space="preserve"> </w:t>
      </w:r>
      <w:r w:rsidRPr="00032D30">
        <w:rPr>
          <w:rFonts w:ascii="Verdana" w:hAnsi="Verdana"/>
          <w:sz w:val="16"/>
          <w:szCs w:val="16"/>
        </w:rPr>
        <w:tab/>
        <w:t xml:space="preserve">En la Sentencia se determinó que la Ley de Amnistía General para la Consolidación de la Paz no cumplía con los estándares del Derecho Internacional de los Derechos Humanos y del Derecho Internacional Humanitario, por cuanto “amplió la posibilidad de impedir la investigación penal y la determinación de responsabilidades a aquellas personas que hubieran participado como autores inmediatos, mediatos o cómplices en la comisión de graves violaciones a los derechos humanos e infracciones graves del derecho internacional humanitario durante el conflicto armado interno, incluidos aquellos casos ejemplarizantes determinados por la Comisión de la Verdad”, siendo así que dicha ley tuvo como finalidad “amnistiar y dejar impunes la totalidad de los graves hechos delictivos contra el derecho internacional cometidos durante el conflicto armado interno”. </w:t>
      </w:r>
      <w:r w:rsidRPr="00032D30">
        <w:rPr>
          <w:rFonts w:ascii="Verdana" w:hAnsi="Verdana"/>
          <w:i/>
          <w:sz w:val="16"/>
          <w:szCs w:val="16"/>
        </w:rPr>
        <w:t>Cfr. Caso Masacres de El Mozote y lugares aledaños Vs. El Salvador, supra</w:t>
      </w:r>
      <w:r w:rsidRPr="00032D30">
        <w:rPr>
          <w:rFonts w:ascii="Verdana" w:hAnsi="Verdana"/>
          <w:sz w:val="16"/>
          <w:szCs w:val="16"/>
        </w:rPr>
        <w:t xml:space="preserve"> nota, párr. 291.</w:t>
      </w:r>
    </w:p>
  </w:footnote>
  <w:footnote w:id="31">
    <w:p w14:paraId="2C9FA5D3" w14:textId="5719D621" w:rsidR="00972211" w:rsidRPr="00032D30" w:rsidRDefault="00972211" w:rsidP="00032D30">
      <w:pPr>
        <w:pStyle w:val="Textonotapie"/>
        <w:jc w:val="both"/>
        <w:rPr>
          <w:rFonts w:ascii="Verdana" w:hAnsi="Verdana"/>
          <w:sz w:val="16"/>
          <w:szCs w:val="16"/>
          <w:lang w:val="es-ES"/>
        </w:rPr>
      </w:pPr>
      <w:r w:rsidRPr="00032D30">
        <w:rPr>
          <w:rStyle w:val="Refdenotaalpie"/>
          <w:rFonts w:ascii="Verdana" w:hAnsi="Verdana"/>
          <w:sz w:val="16"/>
          <w:szCs w:val="16"/>
        </w:rPr>
        <w:footnoteRef/>
      </w:r>
      <w:r w:rsidRPr="00032D30">
        <w:rPr>
          <w:rFonts w:ascii="Verdana" w:hAnsi="Verdana"/>
          <w:sz w:val="16"/>
          <w:szCs w:val="16"/>
        </w:rPr>
        <w:t xml:space="preserve"> </w:t>
      </w:r>
      <w:r w:rsidRPr="00032D30">
        <w:rPr>
          <w:rFonts w:ascii="Verdana" w:hAnsi="Verdana"/>
          <w:sz w:val="16"/>
          <w:szCs w:val="16"/>
          <w:lang w:val="es-ES"/>
        </w:rPr>
        <w:tab/>
      </w:r>
      <w:r w:rsidRPr="00032D30">
        <w:rPr>
          <w:rFonts w:ascii="Verdana" w:hAnsi="Verdana"/>
          <w:sz w:val="16"/>
          <w:szCs w:val="16"/>
        </w:rPr>
        <w:t xml:space="preserve">La impunidad ha sido definida por la Corte como “la falta en su conjunto de investigación, persecución, captura, enjuiciamiento y condena de los responsables de las violaciones de los derechos protegidos por la Convención Americana”. </w:t>
      </w:r>
      <w:r w:rsidR="00A31BF9" w:rsidRPr="00032D30">
        <w:rPr>
          <w:rFonts w:ascii="Verdana" w:hAnsi="Verdana"/>
          <w:i/>
          <w:sz w:val="16"/>
          <w:szCs w:val="16"/>
        </w:rPr>
        <w:t xml:space="preserve">Cfr. </w:t>
      </w:r>
      <w:r w:rsidRPr="00032D30">
        <w:rPr>
          <w:rFonts w:ascii="Verdana" w:hAnsi="Verdana"/>
          <w:i/>
          <w:sz w:val="16"/>
          <w:szCs w:val="16"/>
        </w:rPr>
        <w:t>Caso de la “Panel Blanca” (Paniagua Morales y otros) Vs. Guatemala. Excepciones Preliminares.</w:t>
      </w:r>
      <w:r w:rsidRPr="00032D30">
        <w:rPr>
          <w:rFonts w:ascii="Verdana" w:hAnsi="Verdana"/>
          <w:sz w:val="16"/>
          <w:szCs w:val="16"/>
        </w:rPr>
        <w:t xml:space="preserve"> Sentencia del 25 de enero de 1996. Serie C No. 23, párr. 173, y </w:t>
      </w:r>
      <w:r w:rsidRPr="00032D30">
        <w:rPr>
          <w:rStyle w:val="Textoennegrita"/>
          <w:rFonts w:ascii="Verdana" w:hAnsi="Verdana"/>
          <w:b w:val="0"/>
          <w:i/>
          <w:color w:val="000000"/>
          <w:sz w:val="16"/>
          <w:szCs w:val="16"/>
          <w:shd w:val="clear" w:color="auto" w:fill="FFFFFF"/>
        </w:rPr>
        <w:t>Caso Masacres de El Mozote y lugares aledaños Vs. El Salvador</w:t>
      </w:r>
      <w:r w:rsidRPr="00032D30">
        <w:rPr>
          <w:rStyle w:val="Textoennegrita"/>
          <w:rFonts w:ascii="Verdana" w:hAnsi="Verdana"/>
          <w:b w:val="0"/>
          <w:color w:val="000000"/>
          <w:sz w:val="16"/>
          <w:szCs w:val="16"/>
          <w:shd w:val="clear" w:color="auto" w:fill="FFFFFF"/>
        </w:rPr>
        <w:t>, supra nota, párr. 209.</w:t>
      </w:r>
    </w:p>
  </w:footnote>
  <w:footnote w:id="32">
    <w:p w14:paraId="3C414EC9" w14:textId="77777777" w:rsidR="00972211" w:rsidRPr="00032D30" w:rsidRDefault="00972211" w:rsidP="00032D30">
      <w:pPr>
        <w:pStyle w:val="Textonotapie"/>
        <w:jc w:val="both"/>
        <w:rPr>
          <w:rFonts w:ascii="Verdana" w:hAnsi="Verdana"/>
          <w:sz w:val="16"/>
          <w:szCs w:val="16"/>
        </w:rPr>
      </w:pPr>
      <w:r w:rsidRPr="00032D30">
        <w:rPr>
          <w:rStyle w:val="Refdenotaalpie"/>
          <w:rFonts w:ascii="Verdana" w:hAnsi="Verdana"/>
          <w:sz w:val="16"/>
          <w:szCs w:val="16"/>
        </w:rPr>
        <w:footnoteRef/>
      </w:r>
      <w:r w:rsidRPr="00032D30">
        <w:rPr>
          <w:rFonts w:ascii="Verdana" w:hAnsi="Verdana"/>
          <w:sz w:val="16"/>
          <w:szCs w:val="16"/>
        </w:rPr>
        <w:t xml:space="preserve"> </w:t>
      </w:r>
      <w:r w:rsidRPr="00032D30">
        <w:rPr>
          <w:rFonts w:ascii="Verdana" w:hAnsi="Verdana"/>
          <w:sz w:val="16"/>
          <w:szCs w:val="16"/>
        </w:rPr>
        <w:tab/>
      </w:r>
      <w:r w:rsidRPr="00032D30">
        <w:rPr>
          <w:rFonts w:ascii="Verdana" w:hAnsi="Verdana"/>
          <w:i/>
          <w:sz w:val="16"/>
          <w:szCs w:val="16"/>
        </w:rPr>
        <w:t>Cfr. Caso de la “Panel Blanca” (Paniagua Morales y otros) Vs. Guatemala. Fondo.</w:t>
      </w:r>
      <w:r w:rsidRPr="00032D30">
        <w:rPr>
          <w:rFonts w:ascii="Verdana" w:hAnsi="Verdana"/>
          <w:sz w:val="16"/>
          <w:szCs w:val="16"/>
        </w:rPr>
        <w:t xml:space="preserve"> Sentencia de 8 de marzo de 1998. Serie C No. 37, párr. 173, y </w:t>
      </w:r>
      <w:r w:rsidRPr="00032D30">
        <w:rPr>
          <w:rStyle w:val="Textoennegrita"/>
          <w:rFonts w:ascii="Verdana" w:hAnsi="Verdana"/>
          <w:b w:val="0"/>
          <w:i/>
          <w:color w:val="000000"/>
          <w:sz w:val="16"/>
          <w:szCs w:val="16"/>
          <w:shd w:val="clear" w:color="auto" w:fill="FFFFFF"/>
        </w:rPr>
        <w:t>Caso El Amparo Vs. Venezuela. Supervisión de Cumplimiento de Sentencia.</w:t>
      </w:r>
      <w:r w:rsidRPr="00032D30">
        <w:rPr>
          <w:rStyle w:val="Textoennegrita"/>
          <w:rFonts w:ascii="Verdana" w:hAnsi="Verdana"/>
          <w:b w:val="0"/>
          <w:color w:val="000000"/>
          <w:sz w:val="16"/>
          <w:szCs w:val="16"/>
          <w:shd w:val="clear" w:color="auto" w:fill="FFFFFF"/>
        </w:rPr>
        <w:t xml:space="preserve"> Resolución de la Corte Interamericana de Derechos Humanos de 22 de noviembre de 2018,</w:t>
      </w:r>
      <w:r w:rsidRPr="00032D30">
        <w:rPr>
          <w:rStyle w:val="Textoennegrita"/>
          <w:rFonts w:ascii="Verdana" w:hAnsi="Verdana"/>
          <w:color w:val="000000"/>
          <w:sz w:val="16"/>
          <w:szCs w:val="16"/>
          <w:shd w:val="clear" w:color="auto" w:fill="FFFFFF"/>
        </w:rPr>
        <w:t xml:space="preserve"> </w:t>
      </w:r>
      <w:r w:rsidRPr="00032D30">
        <w:rPr>
          <w:rFonts w:ascii="Verdana" w:hAnsi="Verdana"/>
          <w:sz w:val="16"/>
          <w:szCs w:val="16"/>
        </w:rPr>
        <w:t>Considerando 12.</w:t>
      </w:r>
    </w:p>
  </w:footnote>
  <w:footnote w:id="33">
    <w:p w14:paraId="4101D9C6" w14:textId="38C9079A" w:rsidR="00972211" w:rsidRPr="00032D30" w:rsidRDefault="00972211" w:rsidP="00032D30">
      <w:pPr>
        <w:pStyle w:val="Textonotapie"/>
        <w:jc w:val="both"/>
        <w:rPr>
          <w:rFonts w:ascii="Verdana" w:hAnsi="Verdana"/>
          <w:sz w:val="16"/>
          <w:szCs w:val="16"/>
          <w:lang w:val="es-ES"/>
        </w:rPr>
      </w:pPr>
      <w:r w:rsidRPr="00032D30">
        <w:rPr>
          <w:rStyle w:val="Refdenotaalpie"/>
          <w:rFonts w:ascii="Verdana" w:hAnsi="Verdana"/>
          <w:sz w:val="16"/>
          <w:szCs w:val="16"/>
        </w:rPr>
        <w:footnoteRef/>
      </w:r>
      <w:r w:rsidRPr="00032D30">
        <w:rPr>
          <w:rFonts w:ascii="Verdana" w:hAnsi="Verdana"/>
          <w:sz w:val="16"/>
          <w:szCs w:val="16"/>
        </w:rPr>
        <w:t xml:space="preserve"> </w:t>
      </w:r>
      <w:r w:rsidRPr="00032D30">
        <w:rPr>
          <w:rFonts w:ascii="Verdana" w:hAnsi="Verdana"/>
          <w:sz w:val="16"/>
          <w:szCs w:val="16"/>
          <w:lang w:val="es-ES"/>
        </w:rPr>
        <w:tab/>
      </w:r>
      <w:r w:rsidRPr="00032D30">
        <w:rPr>
          <w:rFonts w:ascii="Verdana" w:hAnsi="Verdana"/>
          <w:i/>
          <w:sz w:val="16"/>
          <w:szCs w:val="16"/>
        </w:rPr>
        <w:t>Cfr.</w:t>
      </w:r>
      <w:r w:rsidRPr="00032D30">
        <w:rPr>
          <w:rFonts w:ascii="Verdana" w:hAnsi="Verdana"/>
          <w:sz w:val="16"/>
          <w:szCs w:val="16"/>
        </w:rPr>
        <w:t xml:space="preserve"> Sentencia de la Sala de lo Constitucional, </w:t>
      </w:r>
      <w:r w:rsidRPr="00032D30">
        <w:rPr>
          <w:rFonts w:ascii="Verdana" w:hAnsi="Verdana"/>
          <w:i/>
          <w:sz w:val="16"/>
          <w:szCs w:val="16"/>
        </w:rPr>
        <w:t>supra</w:t>
      </w:r>
      <w:r w:rsidRPr="00032D30">
        <w:rPr>
          <w:rFonts w:ascii="Verdana" w:hAnsi="Verdana"/>
          <w:sz w:val="16"/>
          <w:szCs w:val="16"/>
        </w:rPr>
        <w:t xml:space="preserve"> nota, p</w:t>
      </w:r>
      <w:r w:rsidRPr="00032D30">
        <w:rPr>
          <w:rFonts w:ascii="Verdana" w:hAnsi="Verdana"/>
          <w:sz w:val="16"/>
          <w:szCs w:val="16"/>
          <w:lang w:val="es-ES"/>
        </w:rPr>
        <w:t>ág. 40.</w:t>
      </w:r>
    </w:p>
  </w:footnote>
  <w:footnote w:id="34">
    <w:p w14:paraId="596669A2" w14:textId="307873D1" w:rsidR="00972211" w:rsidRPr="00032D30" w:rsidRDefault="00972211" w:rsidP="00032D30">
      <w:pPr>
        <w:pStyle w:val="Textonotapie"/>
        <w:jc w:val="both"/>
        <w:rPr>
          <w:rFonts w:ascii="Verdana" w:hAnsi="Verdana"/>
          <w:sz w:val="16"/>
          <w:szCs w:val="16"/>
          <w:lang w:val="es-ES"/>
        </w:rPr>
      </w:pPr>
      <w:r w:rsidRPr="00032D30">
        <w:rPr>
          <w:rStyle w:val="Refdenotaalpie"/>
          <w:rFonts w:ascii="Verdana" w:hAnsi="Verdana"/>
          <w:sz w:val="16"/>
          <w:szCs w:val="16"/>
        </w:rPr>
        <w:footnoteRef/>
      </w:r>
      <w:r w:rsidRPr="00032D30">
        <w:rPr>
          <w:rFonts w:ascii="Verdana" w:hAnsi="Verdana"/>
          <w:sz w:val="16"/>
          <w:szCs w:val="16"/>
        </w:rPr>
        <w:t xml:space="preserve"> </w:t>
      </w:r>
      <w:r w:rsidRPr="00032D30">
        <w:rPr>
          <w:rFonts w:ascii="Verdana" w:hAnsi="Verdana"/>
          <w:sz w:val="16"/>
          <w:szCs w:val="16"/>
          <w:lang w:val="es-ES"/>
        </w:rPr>
        <w:tab/>
      </w:r>
      <w:r w:rsidRPr="00032D30">
        <w:rPr>
          <w:rFonts w:ascii="Verdana" w:hAnsi="Verdana"/>
          <w:i/>
          <w:sz w:val="16"/>
          <w:szCs w:val="16"/>
        </w:rPr>
        <w:t>Cfr. Caso Tibi Vs. Ecuador, Excepciones Preliminares, Fondo, Reparaciones y Costas.</w:t>
      </w:r>
      <w:r w:rsidRPr="00032D30">
        <w:rPr>
          <w:rFonts w:ascii="Verdana" w:hAnsi="Verdana"/>
          <w:sz w:val="16"/>
          <w:szCs w:val="16"/>
        </w:rPr>
        <w:t xml:space="preserve"> Sentencia de 7 de septiembre de 2004. Serie C No. 114, párr. 106, y </w:t>
      </w:r>
      <w:r w:rsidRPr="00032D30">
        <w:rPr>
          <w:rStyle w:val="Textoennegrita"/>
          <w:rFonts w:ascii="Verdana" w:hAnsi="Verdana"/>
          <w:b w:val="0"/>
          <w:i/>
          <w:color w:val="000000"/>
          <w:sz w:val="16"/>
          <w:szCs w:val="16"/>
          <w:shd w:val="clear" w:color="auto" w:fill="FFFFFF"/>
        </w:rPr>
        <w:t>Caso Amrhein y otros Vs. Costa Rica. Excepciones Preliminares, Fondo, Reparaciones y Costas.</w:t>
      </w:r>
      <w:r w:rsidRPr="00032D30">
        <w:rPr>
          <w:rStyle w:val="Textoennegrita"/>
          <w:rFonts w:ascii="Verdana" w:hAnsi="Verdana"/>
          <w:b w:val="0"/>
          <w:color w:val="000000"/>
          <w:sz w:val="16"/>
          <w:szCs w:val="16"/>
          <w:shd w:val="clear" w:color="auto" w:fill="FFFFFF"/>
        </w:rPr>
        <w:t xml:space="preserve"> Sentencia de 25 de abril de 2018. Serie C No. 354, párr. 353.</w:t>
      </w:r>
    </w:p>
  </w:footnote>
  <w:footnote w:id="35">
    <w:p w14:paraId="73807005" w14:textId="3BABA7BB" w:rsidR="00972211" w:rsidRPr="00032D30" w:rsidRDefault="00972211" w:rsidP="00032D30">
      <w:pPr>
        <w:pStyle w:val="Textonotapie"/>
        <w:jc w:val="both"/>
        <w:rPr>
          <w:rFonts w:ascii="Verdana" w:hAnsi="Verdana"/>
          <w:sz w:val="16"/>
          <w:szCs w:val="16"/>
        </w:rPr>
      </w:pPr>
      <w:r w:rsidRPr="00032D30">
        <w:rPr>
          <w:rStyle w:val="Refdenotaalpie"/>
          <w:rFonts w:ascii="Verdana" w:hAnsi="Verdana"/>
          <w:sz w:val="16"/>
          <w:szCs w:val="16"/>
        </w:rPr>
        <w:footnoteRef/>
      </w:r>
      <w:r w:rsidRPr="00032D30">
        <w:rPr>
          <w:rFonts w:ascii="Verdana" w:hAnsi="Verdana"/>
          <w:sz w:val="16"/>
          <w:szCs w:val="16"/>
        </w:rPr>
        <w:t xml:space="preserve"> </w:t>
      </w:r>
      <w:r w:rsidRPr="00032D30">
        <w:rPr>
          <w:rFonts w:ascii="Verdana" w:hAnsi="Verdana"/>
          <w:sz w:val="16"/>
          <w:szCs w:val="16"/>
        </w:rPr>
        <w:tab/>
      </w:r>
      <w:r w:rsidRPr="00032D30">
        <w:rPr>
          <w:rFonts w:ascii="Verdana" w:hAnsi="Verdana"/>
          <w:i/>
          <w:sz w:val="16"/>
          <w:szCs w:val="16"/>
        </w:rPr>
        <w:t xml:space="preserve">Cfr. </w:t>
      </w:r>
      <w:r w:rsidRPr="00032D30">
        <w:rPr>
          <w:rStyle w:val="Textoennegrita"/>
          <w:rFonts w:ascii="Verdana" w:hAnsi="Verdana"/>
          <w:b w:val="0"/>
          <w:i/>
          <w:color w:val="000000"/>
          <w:sz w:val="16"/>
          <w:szCs w:val="16"/>
          <w:shd w:val="clear" w:color="auto" w:fill="FFFFFF"/>
        </w:rPr>
        <w:t>Caso Servellón García y otros Vs. Honduras.</w:t>
      </w:r>
      <w:r w:rsidRPr="00032D30">
        <w:rPr>
          <w:rStyle w:val="Textoennegrita"/>
          <w:rFonts w:ascii="Verdana" w:hAnsi="Verdana"/>
          <w:b w:val="0"/>
          <w:color w:val="000000"/>
          <w:sz w:val="16"/>
          <w:szCs w:val="16"/>
          <w:shd w:val="clear" w:color="auto" w:fill="FFFFFF"/>
        </w:rPr>
        <w:t xml:space="preserve"> Sentencia de 21 de septiembre de 2006. Serie C No. 152, párr. 90,</w:t>
      </w:r>
      <w:r w:rsidRPr="00032D30">
        <w:rPr>
          <w:rStyle w:val="Textoennegrita"/>
          <w:rFonts w:ascii="Verdana" w:hAnsi="Verdana"/>
          <w:color w:val="000000"/>
          <w:sz w:val="16"/>
          <w:szCs w:val="16"/>
          <w:shd w:val="clear" w:color="auto" w:fill="FFFFFF"/>
        </w:rPr>
        <w:t xml:space="preserve"> </w:t>
      </w:r>
      <w:r w:rsidRPr="00032D30">
        <w:rPr>
          <w:rFonts w:ascii="Verdana" w:hAnsi="Verdana"/>
          <w:sz w:val="16"/>
          <w:szCs w:val="16"/>
        </w:rPr>
        <w:t xml:space="preserve">y </w:t>
      </w:r>
      <w:r w:rsidRPr="00032D30">
        <w:rPr>
          <w:rStyle w:val="Textoennegrita"/>
          <w:rFonts w:ascii="Verdana" w:hAnsi="Verdana"/>
          <w:b w:val="0"/>
          <w:i/>
          <w:color w:val="000000"/>
          <w:sz w:val="16"/>
          <w:szCs w:val="16"/>
          <w:shd w:val="clear" w:color="auto" w:fill="FFFFFF"/>
        </w:rPr>
        <w:t>Caso Mujeres Víctimas de Tortura Sexual en Atenco Vs. México. Excepción Preliminar, Fondo, Reparaciones y Costas.</w:t>
      </w:r>
      <w:r w:rsidRPr="00032D30">
        <w:rPr>
          <w:rStyle w:val="Textoennegrita"/>
          <w:rFonts w:ascii="Verdana" w:hAnsi="Verdana"/>
          <w:b w:val="0"/>
          <w:color w:val="000000"/>
          <w:sz w:val="16"/>
          <w:szCs w:val="16"/>
          <w:shd w:val="clear" w:color="auto" w:fill="FFFFFF"/>
        </w:rPr>
        <w:t xml:space="preserve"> Sentencia de 28 de noviembre de 2018. Serie C No. 371, párr. 251.</w:t>
      </w:r>
    </w:p>
  </w:footnote>
  <w:footnote w:id="36">
    <w:p w14:paraId="6164D410" w14:textId="38EC4EAB" w:rsidR="00972211" w:rsidRPr="00032D30" w:rsidRDefault="00972211" w:rsidP="00032D30">
      <w:pPr>
        <w:pStyle w:val="Textonotapie"/>
        <w:rPr>
          <w:rFonts w:ascii="Verdana" w:hAnsi="Verdana"/>
          <w:b/>
          <w:sz w:val="16"/>
          <w:szCs w:val="16"/>
        </w:rPr>
      </w:pPr>
      <w:r w:rsidRPr="00032D30">
        <w:rPr>
          <w:rStyle w:val="Refdenotaalpie"/>
          <w:rFonts w:ascii="Verdana" w:hAnsi="Verdana"/>
          <w:sz w:val="16"/>
          <w:szCs w:val="16"/>
        </w:rPr>
        <w:footnoteRef/>
      </w:r>
      <w:r w:rsidRPr="00032D30">
        <w:rPr>
          <w:rFonts w:ascii="Verdana" w:hAnsi="Verdana"/>
          <w:sz w:val="16"/>
          <w:szCs w:val="16"/>
        </w:rPr>
        <w:t xml:space="preserve"> </w:t>
      </w:r>
      <w:r w:rsidR="00340569" w:rsidRPr="00032D30">
        <w:rPr>
          <w:rFonts w:ascii="Verdana" w:hAnsi="Verdana"/>
          <w:sz w:val="16"/>
          <w:szCs w:val="16"/>
        </w:rPr>
        <w:tab/>
        <w:t>Cfr.</w:t>
      </w:r>
      <w:r w:rsidR="00340569" w:rsidRPr="00032D30">
        <w:rPr>
          <w:rFonts w:ascii="Verdana" w:hAnsi="Verdana"/>
          <w:b/>
          <w:sz w:val="16"/>
          <w:szCs w:val="16"/>
        </w:rPr>
        <w:t xml:space="preserve"> </w:t>
      </w:r>
      <w:r w:rsidR="00340569" w:rsidRPr="00032D30">
        <w:rPr>
          <w:rStyle w:val="Textoennegrita"/>
          <w:rFonts w:ascii="Verdana" w:hAnsi="Verdana"/>
          <w:b w:val="0"/>
          <w:i/>
          <w:color w:val="000000"/>
          <w:sz w:val="16"/>
          <w:szCs w:val="16"/>
          <w:shd w:val="clear" w:color="auto" w:fill="FFFFFF"/>
        </w:rPr>
        <w:t>Caso Barrios Altos y Caso La Cantuta Vs. Perú. Supervisión de Cumplimiento de Sentencia.</w:t>
      </w:r>
      <w:r w:rsidR="00340569" w:rsidRPr="00032D30">
        <w:rPr>
          <w:rStyle w:val="Textoennegrita"/>
          <w:rFonts w:ascii="Verdana" w:hAnsi="Verdana"/>
          <w:b w:val="0"/>
          <w:color w:val="000000"/>
          <w:sz w:val="16"/>
          <w:szCs w:val="16"/>
          <w:shd w:val="clear" w:color="auto" w:fill="FFFFFF"/>
        </w:rPr>
        <w:t xml:space="preserve"> Resolución de la Corte Interamericana de Derechos Humanos de 30 de mayo de 2018, Considerando 46.</w:t>
      </w:r>
    </w:p>
  </w:footnote>
  <w:footnote w:id="37">
    <w:p w14:paraId="0FD9882A" w14:textId="20E9995E" w:rsidR="00972211" w:rsidRPr="00032D30" w:rsidRDefault="00972211" w:rsidP="00032D30">
      <w:pPr>
        <w:pStyle w:val="Textonotapie"/>
        <w:jc w:val="both"/>
        <w:rPr>
          <w:rFonts w:ascii="Verdana" w:hAnsi="Verdana"/>
          <w:sz w:val="16"/>
          <w:szCs w:val="16"/>
        </w:rPr>
      </w:pPr>
      <w:r w:rsidRPr="00032D30">
        <w:rPr>
          <w:rStyle w:val="Refdenotaalpie"/>
          <w:rFonts w:ascii="Verdana" w:hAnsi="Verdana"/>
          <w:sz w:val="16"/>
          <w:szCs w:val="16"/>
        </w:rPr>
        <w:footnoteRef/>
      </w:r>
      <w:r w:rsidRPr="00032D30">
        <w:rPr>
          <w:rFonts w:ascii="Verdana" w:hAnsi="Verdana"/>
          <w:sz w:val="16"/>
          <w:szCs w:val="16"/>
        </w:rPr>
        <w:t xml:space="preserve"> </w:t>
      </w:r>
      <w:r w:rsidRPr="00032D30">
        <w:rPr>
          <w:rFonts w:ascii="Verdana" w:hAnsi="Verdana"/>
          <w:sz w:val="16"/>
          <w:szCs w:val="16"/>
        </w:rPr>
        <w:tab/>
      </w:r>
      <w:r w:rsidRPr="00032D30">
        <w:rPr>
          <w:rFonts w:ascii="Verdana" w:hAnsi="Verdana"/>
          <w:i/>
          <w:sz w:val="16"/>
          <w:szCs w:val="16"/>
        </w:rPr>
        <w:t>Cfr.</w:t>
      </w:r>
      <w:r w:rsidRPr="00032D30">
        <w:rPr>
          <w:rFonts w:ascii="Verdana" w:hAnsi="Verdana"/>
          <w:sz w:val="16"/>
          <w:szCs w:val="16"/>
        </w:rPr>
        <w:t xml:space="preserve"> </w:t>
      </w:r>
      <w:r w:rsidR="003E2BC6" w:rsidRPr="00032D30">
        <w:rPr>
          <w:rFonts w:ascii="Verdana" w:hAnsi="Verdana"/>
          <w:sz w:val="16"/>
          <w:szCs w:val="16"/>
        </w:rPr>
        <w:t xml:space="preserve">Caso Baena Ricardo y otros Vs. Panamá. Competencia. Sentencia de 28 de noviembre de 2003. Serie C No. 104, párrs. 73, 74, 79, 82 y 83; y </w:t>
      </w:r>
      <w:r w:rsidRPr="00032D30">
        <w:rPr>
          <w:rStyle w:val="Textoennegrita"/>
          <w:rFonts w:ascii="Verdana" w:hAnsi="Verdana"/>
          <w:b w:val="0"/>
          <w:i/>
          <w:color w:val="000000"/>
          <w:sz w:val="16"/>
          <w:szCs w:val="16"/>
          <w:shd w:val="clear" w:color="auto" w:fill="FFFFFF"/>
        </w:rPr>
        <w:t>Caso Barrios Altos y Caso La Cantuta Vs. Perú. Supervisió</w:t>
      </w:r>
      <w:r w:rsidR="003E2BC6" w:rsidRPr="00032D30">
        <w:rPr>
          <w:rStyle w:val="Textoennegrita"/>
          <w:rFonts w:ascii="Verdana" w:hAnsi="Verdana"/>
          <w:b w:val="0"/>
          <w:i/>
          <w:color w:val="000000"/>
          <w:sz w:val="16"/>
          <w:szCs w:val="16"/>
          <w:shd w:val="clear" w:color="auto" w:fill="FFFFFF"/>
        </w:rPr>
        <w:t xml:space="preserve">n de Cumplimiento de Sentencia, supra nota, </w:t>
      </w:r>
      <w:r w:rsidRPr="00032D30">
        <w:rPr>
          <w:rStyle w:val="Textoennegrita"/>
          <w:rFonts w:ascii="Verdana" w:hAnsi="Verdana"/>
          <w:b w:val="0"/>
          <w:color w:val="000000"/>
          <w:sz w:val="16"/>
          <w:szCs w:val="16"/>
          <w:shd w:val="clear" w:color="auto" w:fill="FFFFFF"/>
        </w:rPr>
        <w:t>Considerando 30</w:t>
      </w:r>
      <w:r w:rsidR="003E2BC6" w:rsidRPr="00032D30">
        <w:rPr>
          <w:rStyle w:val="Textoennegrita"/>
          <w:rFonts w:ascii="Verdana" w:hAnsi="Verdana"/>
          <w:b w:val="0"/>
          <w:color w:val="000000"/>
          <w:sz w:val="16"/>
          <w:szCs w:val="16"/>
          <w:shd w:val="clear" w:color="auto" w:fill="FFFFFF"/>
        </w:rPr>
        <w:t xml:space="preserve"> y nota al pie 66</w:t>
      </w:r>
      <w:r w:rsidRPr="00032D30">
        <w:rPr>
          <w:rStyle w:val="Textoennegrita"/>
          <w:rFonts w:ascii="Verdana" w:hAnsi="Verdana"/>
          <w:b w:val="0"/>
          <w:color w:val="000000"/>
          <w:sz w:val="16"/>
          <w:szCs w:val="16"/>
          <w:shd w:val="clear" w:color="auto" w:fill="FFFFFF"/>
        </w:rPr>
        <w:t>.</w:t>
      </w:r>
    </w:p>
  </w:footnote>
  <w:footnote w:id="38">
    <w:p w14:paraId="437C05F6" w14:textId="770EEF48" w:rsidR="00972211" w:rsidRPr="00032D30" w:rsidRDefault="00972211" w:rsidP="00032D30">
      <w:pPr>
        <w:pStyle w:val="Textonotapie"/>
        <w:jc w:val="both"/>
        <w:rPr>
          <w:rFonts w:ascii="Verdana" w:hAnsi="Verdana"/>
          <w:sz w:val="16"/>
          <w:szCs w:val="16"/>
        </w:rPr>
      </w:pPr>
      <w:r w:rsidRPr="00032D30">
        <w:rPr>
          <w:rStyle w:val="Refdenotaalpie"/>
          <w:rFonts w:ascii="Verdana" w:hAnsi="Verdana"/>
          <w:sz w:val="16"/>
          <w:szCs w:val="16"/>
        </w:rPr>
        <w:footnoteRef/>
      </w:r>
      <w:r w:rsidRPr="00032D30">
        <w:rPr>
          <w:rFonts w:ascii="Verdana" w:hAnsi="Verdana"/>
          <w:sz w:val="16"/>
          <w:szCs w:val="16"/>
        </w:rPr>
        <w:t xml:space="preserve"> </w:t>
      </w:r>
      <w:r w:rsidRPr="00032D30">
        <w:rPr>
          <w:rFonts w:ascii="Verdana" w:hAnsi="Verdana"/>
          <w:sz w:val="16"/>
          <w:szCs w:val="16"/>
        </w:rPr>
        <w:tab/>
      </w:r>
      <w:r w:rsidRPr="00032D30">
        <w:rPr>
          <w:rFonts w:ascii="Verdana" w:hAnsi="Verdana"/>
          <w:i/>
          <w:sz w:val="16"/>
          <w:szCs w:val="16"/>
        </w:rPr>
        <w:t xml:space="preserve">Cfr. Caso de la Masacre de La Rochela Vs. Colombia, Fondo, Reparaciones y Costas. </w:t>
      </w:r>
      <w:r w:rsidRPr="00032D30">
        <w:rPr>
          <w:rFonts w:ascii="Verdana" w:hAnsi="Verdana"/>
          <w:sz w:val="16"/>
          <w:szCs w:val="16"/>
        </w:rPr>
        <w:t>Sentencia de 11 de mayo de 20</w:t>
      </w:r>
      <w:r w:rsidR="00B6556B" w:rsidRPr="00032D30">
        <w:rPr>
          <w:rFonts w:ascii="Verdana" w:hAnsi="Verdana"/>
          <w:sz w:val="16"/>
          <w:szCs w:val="16"/>
        </w:rPr>
        <w:t xml:space="preserve">07. Serie C No. 163, párr. 196, y </w:t>
      </w:r>
      <w:r w:rsidR="00B6556B" w:rsidRPr="00032D30">
        <w:rPr>
          <w:rStyle w:val="Textoennegrita"/>
          <w:rFonts w:ascii="Verdana" w:hAnsi="Verdana"/>
          <w:b w:val="0"/>
          <w:i/>
          <w:color w:val="000000"/>
          <w:sz w:val="16"/>
          <w:szCs w:val="16"/>
          <w:shd w:val="clear" w:color="auto" w:fill="FFFFFF"/>
        </w:rPr>
        <w:t xml:space="preserve">Caso Barrios Altos y Caso La Cantuta Vs. Perú. Supervisión de Cumplimiento de Sentencia, supra nota, </w:t>
      </w:r>
      <w:r w:rsidR="00B6556B" w:rsidRPr="00032D30">
        <w:rPr>
          <w:rStyle w:val="Textoennegrita"/>
          <w:rFonts w:ascii="Verdana" w:hAnsi="Verdana"/>
          <w:b w:val="0"/>
          <w:color w:val="000000"/>
          <w:sz w:val="16"/>
          <w:szCs w:val="16"/>
          <w:shd w:val="clear" w:color="auto" w:fill="FFFFFF"/>
        </w:rPr>
        <w:t>Considerando 46 y nota al pie 105.</w:t>
      </w:r>
    </w:p>
  </w:footnote>
  <w:footnote w:id="39">
    <w:p w14:paraId="07FD7BC6" w14:textId="7FA07D04" w:rsidR="00972211" w:rsidRPr="00032D30" w:rsidRDefault="00972211" w:rsidP="00032D30">
      <w:pPr>
        <w:pStyle w:val="Textonotapie"/>
        <w:jc w:val="both"/>
        <w:rPr>
          <w:rFonts w:ascii="Verdana" w:hAnsi="Verdana"/>
          <w:sz w:val="16"/>
          <w:szCs w:val="16"/>
        </w:rPr>
      </w:pPr>
      <w:r w:rsidRPr="00032D30">
        <w:rPr>
          <w:rStyle w:val="Refdenotaalpie"/>
          <w:rFonts w:ascii="Verdana" w:hAnsi="Verdana"/>
          <w:sz w:val="16"/>
          <w:szCs w:val="16"/>
        </w:rPr>
        <w:footnoteRef/>
      </w:r>
      <w:r w:rsidRPr="00032D30">
        <w:rPr>
          <w:rFonts w:ascii="Verdana" w:hAnsi="Verdana"/>
          <w:sz w:val="16"/>
          <w:szCs w:val="16"/>
        </w:rPr>
        <w:t xml:space="preserve"> </w:t>
      </w:r>
      <w:r w:rsidRPr="00032D30">
        <w:rPr>
          <w:rFonts w:ascii="Verdana" w:hAnsi="Verdana"/>
          <w:sz w:val="16"/>
          <w:szCs w:val="16"/>
        </w:rPr>
        <w:tab/>
      </w:r>
      <w:r w:rsidRPr="00032D30">
        <w:rPr>
          <w:rFonts w:ascii="Verdana" w:hAnsi="Verdana"/>
          <w:i/>
          <w:sz w:val="16"/>
          <w:szCs w:val="16"/>
        </w:rPr>
        <w:t>Cfr. Caso Manuel Cepeda Vargas Vs. Colombia. Excepciones Preliminares, Fondo, Reparaciones y Costas</w:t>
      </w:r>
      <w:r w:rsidRPr="00032D30">
        <w:rPr>
          <w:rFonts w:ascii="Verdana" w:hAnsi="Verdana"/>
          <w:sz w:val="16"/>
          <w:szCs w:val="16"/>
        </w:rPr>
        <w:t>. Sentencia de 26 de mayo de 2010. Serie C No. 213, párr. 150</w:t>
      </w:r>
      <w:r w:rsidR="00B6556B" w:rsidRPr="00032D30">
        <w:rPr>
          <w:rFonts w:ascii="Verdana" w:hAnsi="Verdana"/>
          <w:sz w:val="16"/>
          <w:szCs w:val="16"/>
        </w:rPr>
        <w:t xml:space="preserve">, y </w:t>
      </w:r>
      <w:r w:rsidR="00B6556B" w:rsidRPr="00032D30">
        <w:rPr>
          <w:rStyle w:val="Textoennegrita"/>
          <w:rFonts w:ascii="Verdana" w:hAnsi="Verdana"/>
          <w:b w:val="0"/>
          <w:i/>
          <w:color w:val="000000"/>
          <w:sz w:val="16"/>
          <w:szCs w:val="16"/>
          <w:shd w:val="clear" w:color="auto" w:fill="FFFFFF"/>
        </w:rPr>
        <w:t xml:space="preserve">Caso Barrios Altos y Caso La Cantuta Vs. Perú. Supervisión de Cumplimiento de Sentencia, supra nota, </w:t>
      </w:r>
      <w:r w:rsidR="00B6556B" w:rsidRPr="00032D30">
        <w:rPr>
          <w:rStyle w:val="Textoennegrita"/>
          <w:rFonts w:ascii="Verdana" w:hAnsi="Verdana"/>
          <w:b w:val="0"/>
          <w:color w:val="000000"/>
          <w:sz w:val="16"/>
          <w:szCs w:val="16"/>
          <w:shd w:val="clear" w:color="auto" w:fill="FFFFFF"/>
        </w:rPr>
        <w:t>Considerando 46 y nota al pie 106.</w:t>
      </w:r>
      <w:r w:rsidRPr="00032D30">
        <w:rPr>
          <w:rFonts w:ascii="Verdana" w:hAnsi="Verdana"/>
          <w:sz w:val="16"/>
          <w:szCs w:val="16"/>
          <w:lang w:val="es-ES_tradnl"/>
        </w:rPr>
        <w:t xml:space="preserve"> </w:t>
      </w:r>
    </w:p>
  </w:footnote>
  <w:footnote w:id="40">
    <w:p w14:paraId="22820065" w14:textId="19234FCF" w:rsidR="00972211" w:rsidRPr="00032D30" w:rsidRDefault="00972211" w:rsidP="00032D30">
      <w:pPr>
        <w:pStyle w:val="Textonotapie"/>
        <w:jc w:val="both"/>
        <w:rPr>
          <w:rFonts w:ascii="Verdana" w:hAnsi="Verdana"/>
          <w:sz w:val="16"/>
          <w:szCs w:val="16"/>
          <w:lang w:val="es-ES_tradnl"/>
        </w:rPr>
      </w:pPr>
      <w:r w:rsidRPr="00032D30">
        <w:rPr>
          <w:rStyle w:val="Refdenotaalpie"/>
          <w:rFonts w:ascii="Verdana" w:hAnsi="Verdana"/>
          <w:sz w:val="16"/>
          <w:szCs w:val="16"/>
        </w:rPr>
        <w:footnoteRef/>
      </w:r>
      <w:r w:rsidRPr="00032D30">
        <w:rPr>
          <w:rFonts w:ascii="Verdana" w:hAnsi="Verdana"/>
          <w:sz w:val="16"/>
          <w:szCs w:val="16"/>
        </w:rPr>
        <w:t xml:space="preserve"> </w:t>
      </w:r>
      <w:r w:rsidRPr="00032D30">
        <w:rPr>
          <w:rFonts w:ascii="Verdana" w:hAnsi="Verdana"/>
          <w:sz w:val="16"/>
          <w:szCs w:val="16"/>
        </w:rPr>
        <w:tab/>
      </w:r>
      <w:r w:rsidRPr="00032D30">
        <w:rPr>
          <w:rFonts w:ascii="Verdana" w:hAnsi="Verdana"/>
          <w:i/>
          <w:sz w:val="16"/>
          <w:szCs w:val="16"/>
        </w:rPr>
        <w:t>Cfr. Caso Manuel Cepeda Vargas Vs. Colombia, supra</w:t>
      </w:r>
      <w:r w:rsidR="00B6556B" w:rsidRPr="00032D30">
        <w:rPr>
          <w:rFonts w:ascii="Verdana" w:hAnsi="Verdana"/>
          <w:sz w:val="16"/>
          <w:szCs w:val="16"/>
        </w:rPr>
        <w:t xml:space="preserve"> nota, párrs. 152 y 153, y </w:t>
      </w:r>
      <w:r w:rsidR="00B6556B" w:rsidRPr="00032D30">
        <w:rPr>
          <w:rStyle w:val="Textoennegrita"/>
          <w:rFonts w:ascii="Verdana" w:hAnsi="Verdana"/>
          <w:b w:val="0"/>
          <w:i/>
          <w:color w:val="000000"/>
          <w:sz w:val="16"/>
          <w:szCs w:val="16"/>
          <w:shd w:val="clear" w:color="auto" w:fill="FFFFFF"/>
        </w:rPr>
        <w:t xml:space="preserve">Caso Barrios Altos y Caso La Cantuta Vs. Perú. Supervisión de Cumplimiento de Sentencia, supra </w:t>
      </w:r>
      <w:r w:rsidR="00B6556B" w:rsidRPr="00032D30">
        <w:rPr>
          <w:rStyle w:val="Textoennegrita"/>
          <w:rFonts w:ascii="Verdana" w:hAnsi="Verdana"/>
          <w:b w:val="0"/>
          <w:color w:val="000000"/>
          <w:sz w:val="16"/>
          <w:szCs w:val="16"/>
          <w:shd w:val="clear" w:color="auto" w:fill="FFFFFF"/>
        </w:rPr>
        <w:t>nota</w:t>
      </w:r>
      <w:r w:rsidR="00B6556B" w:rsidRPr="00032D30">
        <w:rPr>
          <w:rStyle w:val="Textoennegrita"/>
          <w:rFonts w:ascii="Verdana" w:hAnsi="Verdana"/>
          <w:b w:val="0"/>
          <w:i/>
          <w:color w:val="000000"/>
          <w:sz w:val="16"/>
          <w:szCs w:val="16"/>
          <w:shd w:val="clear" w:color="auto" w:fill="FFFFFF"/>
        </w:rPr>
        <w:t xml:space="preserve">, </w:t>
      </w:r>
      <w:r w:rsidR="00B6556B" w:rsidRPr="00032D30">
        <w:rPr>
          <w:rStyle w:val="Textoennegrita"/>
          <w:rFonts w:ascii="Verdana" w:hAnsi="Verdana"/>
          <w:b w:val="0"/>
          <w:color w:val="000000"/>
          <w:sz w:val="16"/>
          <w:szCs w:val="16"/>
          <w:shd w:val="clear" w:color="auto" w:fill="FFFFFF"/>
        </w:rPr>
        <w:t>Considerando 46.</w:t>
      </w:r>
    </w:p>
  </w:footnote>
  <w:footnote w:id="41">
    <w:p w14:paraId="6B2D226E" w14:textId="23FB9E6C" w:rsidR="00972211" w:rsidRPr="00032D30" w:rsidRDefault="00972211" w:rsidP="00032D30">
      <w:pPr>
        <w:pStyle w:val="Textonotapie"/>
        <w:jc w:val="both"/>
        <w:rPr>
          <w:rFonts w:ascii="Verdana" w:hAnsi="Verdana"/>
          <w:i/>
          <w:sz w:val="16"/>
          <w:szCs w:val="16"/>
          <w:highlight w:val="magenta"/>
        </w:rPr>
      </w:pPr>
      <w:r w:rsidRPr="00032D30">
        <w:rPr>
          <w:rStyle w:val="Refdenotaalpie"/>
          <w:rFonts w:ascii="Verdana" w:hAnsi="Verdana"/>
          <w:sz w:val="16"/>
          <w:szCs w:val="16"/>
        </w:rPr>
        <w:footnoteRef/>
      </w:r>
      <w:r w:rsidRPr="00032D30">
        <w:rPr>
          <w:rFonts w:ascii="Verdana" w:hAnsi="Verdana"/>
          <w:sz w:val="16"/>
          <w:szCs w:val="16"/>
        </w:rPr>
        <w:t xml:space="preserve"> </w:t>
      </w:r>
      <w:r w:rsidRPr="00032D30">
        <w:rPr>
          <w:rFonts w:ascii="Verdana" w:hAnsi="Verdana"/>
          <w:sz w:val="16"/>
          <w:szCs w:val="16"/>
        </w:rPr>
        <w:tab/>
      </w:r>
      <w:r w:rsidRPr="00032D30">
        <w:rPr>
          <w:rFonts w:ascii="Verdana" w:hAnsi="Verdana"/>
          <w:i/>
          <w:sz w:val="16"/>
          <w:szCs w:val="16"/>
        </w:rPr>
        <w:t xml:space="preserve">Cfr. </w:t>
      </w:r>
      <w:r w:rsidR="00B6556B" w:rsidRPr="00032D30">
        <w:rPr>
          <w:rStyle w:val="Textoennegrita"/>
          <w:rFonts w:ascii="Verdana" w:hAnsi="Verdana"/>
          <w:b w:val="0"/>
          <w:i/>
          <w:color w:val="000000"/>
          <w:sz w:val="16"/>
          <w:szCs w:val="16"/>
          <w:shd w:val="clear" w:color="auto" w:fill="FFFFFF"/>
        </w:rPr>
        <w:t>Caso Rodríguez Vera y otros (Desaparecidos del Palacio de Justicia) Vs. Colombia. Excepciones Preliminares, Fondo, Reparaciones y Costas.</w:t>
      </w:r>
      <w:r w:rsidR="00B6556B" w:rsidRPr="00032D30">
        <w:rPr>
          <w:rStyle w:val="Textoennegrita"/>
          <w:rFonts w:ascii="Verdana" w:hAnsi="Verdana"/>
          <w:b w:val="0"/>
          <w:color w:val="000000"/>
          <w:sz w:val="16"/>
          <w:szCs w:val="16"/>
          <w:shd w:val="clear" w:color="auto" w:fill="FFFFFF"/>
        </w:rPr>
        <w:t xml:space="preserve"> Sentencia de 14 de noviembre de 2014. Serie C No. 287, </w:t>
      </w:r>
      <w:r w:rsidR="00B6556B" w:rsidRPr="00032D30">
        <w:rPr>
          <w:rFonts w:ascii="Verdana" w:hAnsi="Verdana"/>
          <w:sz w:val="16"/>
          <w:szCs w:val="16"/>
        </w:rPr>
        <w:t xml:space="preserve">párr. 460, y </w:t>
      </w:r>
      <w:r w:rsidR="00B6556B" w:rsidRPr="00032D30">
        <w:rPr>
          <w:rStyle w:val="Textoennegrita"/>
          <w:rFonts w:ascii="Verdana" w:hAnsi="Verdana"/>
          <w:b w:val="0"/>
          <w:i/>
          <w:color w:val="000000"/>
          <w:sz w:val="16"/>
          <w:szCs w:val="16"/>
          <w:shd w:val="clear" w:color="auto" w:fill="FFFFFF"/>
        </w:rPr>
        <w:t xml:space="preserve">Caso Barrios Altos y Caso La Cantuta Vs. Perú. Supervisión de Cumplimiento de Sentencia, supra nota, </w:t>
      </w:r>
      <w:r w:rsidR="00B6556B" w:rsidRPr="00032D30">
        <w:rPr>
          <w:rStyle w:val="Textoennegrita"/>
          <w:rFonts w:ascii="Verdana" w:hAnsi="Verdana"/>
          <w:b w:val="0"/>
          <w:color w:val="000000"/>
          <w:sz w:val="16"/>
          <w:szCs w:val="16"/>
          <w:shd w:val="clear" w:color="auto" w:fill="FFFFFF"/>
        </w:rPr>
        <w:t>Considerando 38.</w:t>
      </w:r>
    </w:p>
  </w:footnote>
  <w:footnote w:id="42">
    <w:p w14:paraId="3D05F007" w14:textId="5E0A27AF" w:rsidR="00972211" w:rsidRPr="00032D30" w:rsidRDefault="00972211" w:rsidP="00032D30">
      <w:pPr>
        <w:spacing w:after="0" w:line="240" w:lineRule="auto"/>
        <w:jc w:val="both"/>
        <w:rPr>
          <w:rFonts w:ascii="Verdana" w:hAnsi="Verdana"/>
          <w:b/>
          <w:sz w:val="16"/>
          <w:szCs w:val="16"/>
        </w:rPr>
      </w:pPr>
      <w:r w:rsidRPr="00032D30">
        <w:rPr>
          <w:rStyle w:val="Refdenotaalpie"/>
          <w:rFonts w:ascii="Verdana" w:hAnsi="Verdana"/>
          <w:sz w:val="16"/>
          <w:szCs w:val="16"/>
        </w:rPr>
        <w:footnoteRef/>
      </w:r>
      <w:r w:rsidRPr="00032D30">
        <w:rPr>
          <w:rFonts w:ascii="Verdana" w:hAnsi="Verdana"/>
          <w:sz w:val="16"/>
          <w:szCs w:val="16"/>
        </w:rPr>
        <w:t xml:space="preserve"> </w:t>
      </w:r>
      <w:r w:rsidRPr="00032D30">
        <w:rPr>
          <w:rFonts w:ascii="Verdana" w:hAnsi="Verdana"/>
          <w:sz w:val="16"/>
          <w:szCs w:val="16"/>
        </w:rPr>
        <w:tab/>
      </w:r>
      <w:r w:rsidRPr="00032D30">
        <w:rPr>
          <w:rFonts w:ascii="Verdana" w:hAnsi="Verdana"/>
          <w:i/>
          <w:sz w:val="16"/>
          <w:szCs w:val="16"/>
        </w:rPr>
        <w:t>Cfr. Caso Ma</w:t>
      </w:r>
      <w:r w:rsidR="009E3DDD" w:rsidRPr="00032D30">
        <w:rPr>
          <w:rFonts w:ascii="Verdana" w:hAnsi="Verdana"/>
          <w:i/>
          <w:sz w:val="16"/>
          <w:szCs w:val="16"/>
        </w:rPr>
        <w:t xml:space="preserve">nuel Cepeda Vargas Vs. Colombia, supra </w:t>
      </w:r>
      <w:r w:rsidR="009E3DDD" w:rsidRPr="00032D30">
        <w:rPr>
          <w:rFonts w:ascii="Verdana" w:hAnsi="Verdana"/>
          <w:sz w:val="16"/>
          <w:szCs w:val="16"/>
        </w:rPr>
        <w:t>nota</w:t>
      </w:r>
      <w:r w:rsidRPr="00032D30">
        <w:rPr>
          <w:rFonts w:ascii="Verdana" w:hAnsi="Verdana"/>
          <w:sz w:val="16"/>
          <w:szCs w:val="16"/>
        </w:rPr>
        <w:t>, párr. 153.</w:t>
      </w:r>
    </w:p>
  </w:footnote>
  <w:footnote w:id="43">
    <w:p w14:paraId="3A41C629" w14:textId="27C3FB0E" w:rsidR="00972211" w:rsidRPr="00032D30" w:rsidRDefault="00972211" w:rsidP="00032D30">
      <w:pPr>
        <w:pStyle w:val="Textonotapie"/>
        <w:jc w:val="both"/>
        <w:rPr>
          <w:rFonts w:ascii="Verdana" w:hAnsi="Verdana"/>
          <w:sz w:val="16"/>
          <w:szCs w:val="16"/>
        </w:rPr>
      </w:pPr>
      <w:r w:rsidRPr="00032D30">
        <w:rPr>
          <w:rStyle w:val="Refdenotaalpie"/>
          <w:rFonts w:ascii="Verdana" w:hAnsi="Verdana"/>
          <w:sz w:val="16"/>
          <w:szCs w:val="16"/>
        </w:rPr>
        <w:footnoteRef/>
      </w:r>
      <w:r w:rsidRPr="00032D30">
        <w:rPr>
          <w:rFonts w:ascii="Verdana" w:hAnsi="Verdana"/>
          <w:sz w:val="16"/>
          <w:szCs w:val="16"/>
        </w:rPr>
        <w:t xml:space="preserve"> </w:t>
      </w:r>
      <w:r w:rsidRPr="00032D30">
        <w:rPr>
          <w:rFonts w:ascii="Verdana" w:hAnsi="Verdana"/>
          <w:sz w:val="16"/>
          <w:szCs w:val="16"/>
        </w:rPr>
        <w:tab/>
        <w:t>En similar sentido</w:t>
      </w:r>
      <w:r w:rsidR="006127D7" w:rsidRPr="00032D30">
        <w:rPr>
          <w:rFonts w:ascii="Verdana" w:hAnsi="Verdana"/>
          <w:sz w:val="16"/>
          <w:szCs w:val="16"/>
        </w:rPr>
        <w:t xml:space="preserve"> ver:</w:t>
      </w:r>
      <w:r w:rsidRPr="00032D30">
        <w:rPr>
          <w:rFonts w:ascii="Verdana" w:hAnsi="Verdana"/>
          <w:sz w:val="16"/>
          <w:szCs w:val="16"/>
        </w:rPr>
        <w:t xml:space="preserve"> </w:t>
      </w:r>
      <w:r w:rsidR="006127D7" w:rsidRPr="00032D30">
        <w:rPr>
          <w:rFonts w:ascii="Verdana" w:hAnsi="Verdana"/>
          <w:i/>
          <w:sz w:val="16"/>
          <w:szCs w:val="16"/>
          <w:lang w:val="es-ES_tradnl"/>
        </w:rPr>
        <w:t xml:space="preserve">Cfr. </w:t>
      </w:r>
      <w:r w:rsidR="006127D7" w:rsidRPr="00032D30">
        <w:rPr>
          <w:rStyle w:val="Textoennegrita"/>
          <w:rFonts w:ascii="Verdana" w:hAnsi="Verdana"/>
          <w:b w:val="0"/>
          <w:i/>
          <w:color w:val="000000"/>
          <w:sz w:val="16"/>
          <w:szCs w:val="16"/>
          <w:shd w:val="clear" w:color="auto" w:fill="FFFFFF"/>
        </w:rPr>
        <w:t xml:space="preserve">Caso Barrios Altos y Caso La Cantuta Vs. Perú. Supervisión de Cumplimiento de Sentencia, supra nota, </w:t>
      </w:r>
      <w:r w:rsidR="006127D7" w:rsidRPr="00032D30">
        <w:rPr>
          <w:rStyle w:val="Textoennegrita"/>
          <w:rFonts w:ascii="Verdana" w:hAnsi="Verdana"/>
          <w:b w:val="0"/>
          <w:color w:val="000000"/>
          <w:sz w:val="16"/>
          <w:szCs w:val="16"/>
          <w:shd w:val="clear" w:color="auto" w:fill="FFFFFF"/>
        </w:rPr>
        <w:t xml:space="preserve">Considerando 57. </w:t>
      </w:r>
    </w:p>
  </w:footnote>
  <w:footnote w:id="44">
    <w:p w14:paraId="0C39E570" w14:textId="4E423E9E" w:rsidR="00972211" w:rsidRPr="00032D30" w:rsidRDefault="00972211" w:rsidP="00032D30">
      <w:pPr>
        <w:pStyle w:val="Textonotapie"/>
        <w:jc w:val="both"/>
        <w:rPr>
          <w:rFonts w:ascii="Verdana" w:hAnsi="Verdana"/>
          <w:sz w:val="16"/>
          <w:szCs w:val="16"/>
        </w:rPr>
      </w:pPr>
      <w:r w:rsidRPr="00032D30">
        <w:rPr>
          <w:rStyle w:val="Refdenotaalpie"/>
          <w:rFonts w:ascii="Verdana" w:hAnsi="Verdana"/>
          <w:sz w:val="16"/>
          <w:szCs w:val="16"/>
        </w:rPr>
        <w:footnoteRef/>
      </w:r>
      <w:r w:rsidRPr="00032D30">
        <w:rPr>
          <w:rFonts w:ascii="Verdana" w:hAnsi="Verdana"/>
          <w:sz w:val="16"/>
          <w:szCs w:val="16"/>
        </w:rPr>
        <w:t xml:space="preserve"> </w:t>
      </w:r>
      <w:r w:rsidR="00821ABE" w:rsidRPr="00032D30">
        <w:rPr>
          <w:rFonts w:ascii="Verdana" w:hAnsi="Verdana"/>
          <w:sz w:val="16"/>
          <w:szCs w:val="16"/>
        </w:rPr>
        <w:tab/>
      </w:r>
      <w:r w:rsidR="000269B0" w:rsidRPr="00032D30">
        <w:rPr>
          <w:rFonts w:ascii="Verdana" w:hAnsi="Verdana"/>
          <w:sz w:val="16"/>
          <w:szCs w:val="16"/>
        </w:rPr>
        <w:t>Durante la diligencia de supervisión de cumplimiento realizada en agosto de 2018 la delegación de la Corte recibió información actualizada sobre el estado del proceso penal por los hechos de las Masacres de El Mozote, por parte del juez a cargo (</w:t>
      </w:r>
      <w:r w:rsidR="000269B0" w:rsidRPr="00032D30">
        <w:rPr>
          <w:rFonts w:ascii="Verdana" w:hAnsi="Verdana"/>
          <w:i/>
          <w:sz w:val="16"/>
          <w:szCs w:val="16"/>
        </w:rPr>
        <w:t>supra</w:t>
      </w:r>
      <w:r w:rsidR="000269B0" w:rsidRPr="00032D30">
        <w:rPr>
          <w:rFonts w:ascii="Verdana" w:hAnsi="Verdana"/>
          <w:sz w:val="16"/>
          <w:szCs w:val="16"/>
        </w:rPr>
        <w:t xml:space="preserve"> Visto 3). Adicionalmente, los representantes de las víctimas han informado detalladamente sobre el trámite que ha seguido el proceso penal desde su reapertura en 2016, el cual se encuentra actualmente en “etapa de instrucción”. También han reconocido los avances en el mismo en cuanto a la recepción de declaraciones y peritajes, así como por haber sido declarado, en 2018, por el juez a cargo, como “crimen de lesa humanidad, siendo […] la primera vez que un tribunal salvadoreño reconoce </w:t>
      </w:r>
      <w:r w:rsidR="00F00564" w:rsidRPr="00032D30">
        <w:rPr>
          <w:rFonts w:ascii="Verdana" w:hAnsi="Verdana"/>
          <w:sz w:val="16"/>
          <w:szCs w:val="16"/>
        </w:rPr>
        <w:t>[…]</w:t>
      </w:r>
      <w:r w:rsidR="000269B0" w:rsidRPr="00032D30">
        <w:rPr>
          <w:rFonts w:ascii="Verdana" w:hAnsi="Verdana"/>
          <w:sz w:val="16"/>
          <w:szCs w:val="16"/>
        </w:rPr>
        <w:t xml:space="preserve"> este carácter </w:t>
      </w:r>
      <w:r w:rsidR="00F00564" w:rsidRPr="00032D30">
        <w:rPr>
          <w:rFonts w:ascii="Verdana" w:hAnsi="Verdana"/>
          <w:sz w:val="16"/>
          <w:szCs w:val="16"/>
        </w:rPr>
        <w:t xml:space="preserve">[en] </w:t>
      </w:r>
      <w:r w:rsidR="000269B0" w:rsidRPr="00032D30">
        <w:rPr>
          <w:rFonts w:ascii="Verdana" w:hAnsi="Verdana"/>
          <w:sz w:val="16"/>
          <w:szCs w:val="16"/>
        </w:rPr>
        <w:t>un proceso judicial”. Por su parte, el Estado ha indicado que “fueron intimados 17 militares” en la “audiencia de intimación” citada por Juzgado Segundo de Primera Instancia de San Francisco Gotera, así como que dicho Juzgado “ha ordenado diferentes pesquisas relativas a la identificación de posibles responsables de los hechos, recolección de información, de estrategias, misiones, documentos relativos a la carrera militar, instrumentos legales vigentes en la época, entre otros”.</w:t>
      </w:r>
    </w:p>
  </w:footnote>
  <w:footnote w:id="45">
    <w:p w14:paraId="0AEBBEFD" w14:textId="29493FBE" w:rsidR="00972211" w:rsidRPr="00032D30" w:rsidRDefault="00972211" w:rsidP="00032D30">
      <w:pPr>
        <w:pStyle w:val="Textonotapie"/>
        <w:jc w:val="both"/>
        <w:rPr>
          <w:rFonts w:ascii="Verdana" w:hAnsi="Verdana"/>
          <w:b/>
          <w:sz w:val="16"/>
          <w:szCs w:val="16"/>
          <w:highlight w:val="magenta"/>
        </w:rPr>
      </w:pPr>
      <w:r w:rsidRPr="00032D30">
        <w:rPr>
          <w:rStyle w:val="Refdenotaalpie"/>
          <w:rFonts w:ascii="Verdana" w:hAnsi="Verdana"/>
          <w:sz w:val="16"/>
          <w:szCs w:val="16"/>
        </w:rPr>
        <w:footnoteRef/>
      </w:r>
      <w:r w:rsidRPr="00032D30">
        <w:rPr>
          <w:rFonts w:ascii="Verdana" w:hAnsi="Verdana"/>
          <w:sz w:val="16"/>
          <w:szCs w:val="16"/>
        </w:rPr>
        <w:t xml:space="preserve"> </w:t>
      </w:r>
      <w:r w:rsidRPr="00032D30">
        <w:rPr>
          <w:rFonts w:ascii="Verdana" w:hAnsi="Verdana"/>
          <w:b/>
          <w:sz w:val="16"/>
          <w:szCs w:val="16"/>
        </w:rPr>
        <w:tab/>
      </w:r>
      <w:r w:rsidRPr="00032D30">
        <w:rPr>
          <w:rStyle w:val="Textoennegrita"/>
          <w:rFonts w:ascii="Verdana" w:hAnsi="Verdana"/>
          <w:b w:val="0"/>
          <w:i/>
          <w:sz w:val="16"/>
          <w:szCs w:val="16"/>
        </w:rPr>
        <w:t>Caso Barrios Altos Vs. Perú. Interpretación de la Sentencia de Fondo.</w:t>
      </w:r>
      <w:r w:rsidRPr="00032D30">
        <w:rPr>
          <w:rStyle w:val="Textoennegrita"/>
          <w:rFonts w:ascii="Verdana" w:hAnsi="Verdana"/>
          <w:b w:val="0"/>
          <w:sz w:val="16"/>
          <w:szCs w:val="16"/>
        </w:rPr>
        <w:t xml:space="preserve"> Sentencia de 3 de septiembre de</w:t>
      </w:r>
      <w:r w:rsidR="007E2299" w:rsidRPr="00032D30">
        <w:rPr>
          <w:rStyle w:val="Textoennegrita"/>
          <w:rFonts w:ascii="Verdana" w:hAnsi="Verdana"/>
          <w:b w:val="0"/>
          <w:sz w:val="16"/>
          <w:szCs w:val="16"/>
        </w:rPr>
        <w:t xml:space="preserve"> 2001. Serie C No. 83, párr. 18, y </w:t>
      </w:r>
      <w:r w:rsidR="00821ABE" w:rsidRPr="00032D30">
        <w:rPr>
          <w:rStyle w:val="Textoennegrita"/>
          <w:rFonts w:ascii="Verdana" w:hAnsi="Verdana"/>
          <w:b w:val="0"/>
          <w:i/>
          <w:color w:val="000000"/>
          <w:sz w:val="16"/>
          <w:szCs w:val="16"/>
          <w:shd w:val="clear" w:color="auto" w:fill="FFFFFF"/>
        </w:rPr>
        <w:t>Caso Miembros de la Aldea Chichupac y comunidades vecinas del Municipio de Rabinal, Caso Molina Theissen y otros 12 Casos Guatemaltecos Vs. Guatemala</w:t>
      </w:r>
      <w:r w:rsidR="00821ABE" w:rsidRPr="00032D30">
        <w:rPr>
          <w:rStyle w:val="Textoennegrita"/>
          <w:rFonts w:ascii="Verdana" w:hAnsi="Verdana"/>
          <w:b w:val="0"/>
          <w:color w:val="000000"/>
          <w:sz w:val="16"/>
          <w:szCs w:val="16"/>
          <w:shd w:val="clear" w:color="auto" w:fill="FFFFFF"/>
        </w:rPr>
        <w:t xml:space="preserve">, </w:t>
      </w:r>
      <w:r w:rsidR="00821ABE" w:rsidRPr="00032D30">
        <w:rPr>
          <w:rStyle w:val="Textoennegrita"/>
          <w:rFonts w:ascii="Verdana" w:hAnsi="Verdana"/>
          <w:b w:val="0"/>
          <w:i/>
          <w:color w:val="000000"/>
          <w:sz w:val="16"/>
          <w:szCs w:val="16"/>
          <w:shd w:val="clear" w:color="auto" w:fill="FFFFFF"/>
        </w:rPr>
        <w:t>supra</w:t>
      </w:r>
      <w:r w:rsidR="00821ABE" w:rsidRPr="00032D30">
        <w:rPr>
          <w:rStyle w:val="Textoennegrita"/>
          <w:rFonts w:ascii="Verdana" w:hAnsi="Verdana"/>
          <w:b w:val="0"/>
          <w:color w:val="000000"/>
          <w:sz w:val="16"/>
          <w:szCs w:val="16"/>
          <w:shd w:val="clear" w:color="auto" w:fill="FFFFFF"/>
        </w:rPr>
        <w:t xml:space="preserve"> nota, Considerando 37.</w:t>
      </w:r>
    </w:p>
  </w:footnote>
  <w:footnote w:id="46">
    <w:p w14:paraId="1CE69F2F" w14:textId="0EC0ACEB" w:rsidR="00972211" w:rsidRPr="00032D30" w:rsidRDefault="00972211" w:rsidP="00032D30">
      <w:pPr>
        <w:pStyle w:val="Ttulo1"/>
        <w:rPr>
          <w:highlight w:val="magenta"/>
          <w:lang w:val="es-ES"/>
        </w:rPr>
      </w:pPr>
      <w:r w:rsidRPr="00032D30">
        <w:rPr>
          <w:rStyle w:val="Refdenotaalpie"/>
        </w:rPr>
        <w:footnoteRef/>
      </w:r>
      <w:r w:rsidRPr="00032D30">
        <w:t xml:space="preserve"> </w:t>
      </w:r>
      <w:r w:rsidRPr="00032D30">
        <w:rPr>
          <w:lang w:val="es-ES"/>
        </w:rPr>
        <w:tab/>
      </w:r>
      <w:r w:rsidRPr="00032D30">
        <w:rPr>
          <w:i/>
          <w:lang w:val="es-ES"/>
        </w:rPr>
        <w:t>Cfr.</w:t>
      </w:r>
      <w:r w:rsidRPr="00032D30">
        <w:rPr>
          <w:lang w:val="es-ES"/>
        </w:rPr>
        <w:t xml:space="preserve"> Comunicado de Prensa No. 123/19 “</w:t>
      </w:r>
      <w:r w:rsidRPr="00032D30">
        <w:rPr>
          <w:i/>
        </w:rPr>
        <w:t>CIDH observa con preocupación la tramitación del proyecto de Ley de Reconciliación Nacional en El Salvador que contiene disposiciones contrarias a los derechos humanos”</w:t>
      </w:r>
      <w:r w:rsidRPr="00032D30">
        <w:t>, 22 de mayo de 2019. D</w:t>
      </w:r>
      <w:r w:rsidRPr="00032D30">
        <w:rPr>
          <w:lang w:val="es-ES"/>
        </w:rPr>
        <w:t xml:space="preserve">isponible en: </w:t>
      </w:r>
      <w:hyperlink r:id="rId6" w:history="1">
        <w:r w:rsidRPr="00032D30">
          <w:rPr>
            <w:rStyle w:val="Hipervnculo"/>
          </w:rPr>
          <w:t>http://www.oas.org/es/cidh/prensa/comunicados/2019/123.asp</w:t>
        </w:r>
      </w:hyperlink>
      <w:r w:rsidRPr="00032D30">
        <w:t xml:space="preserve">. </w:t>
      </w:r>
    </w:p>
  </w:footnote>
  <w:footnote w:id="47">
    <w:p w14:paraId="3607DB36" w14:textId="34F1A4C6" w:rsidR="00972211" w:rsidRPr="00032D30" w:rsidRDefault="00972211" w:rsidP="00032D30">
      <w:pPr>
        <w:pStyle w:val="Textonotapie"/>
        <w:jc w:val="both"/>
        <w:rPr>
          <w:rFonts w:ascii="Verdana" w:hAnsi="Verdana"/>
          <w:sz w:val="16"/>
          <w:szCs w:val="16"/>
        </w:rPr>
      </w:pPr>
      <w:r w:rsidRPr="00032D30">
        <w:rPr>
          <w:rStyle w:val="Refdenotaalpie"/>
          <w:rFonts w:ascii="Verdana" w:hAnsi="Verdana"/>
          <w:sz w:val="16"/>
          <w:szCs w:val="16"/>
        </w:rPr>
        <w:footnoteRef/>
      </w:r>
      <w:r w:rsidRPr="00032D30">
        <w:rPr>
          <w:rFonts w:ascii="Verdana" w:hAnsi="Verdana"/>
          <w:sz w:val="16"/>
          <w:szCs w:val="16"/>
        </w:rPr>
        <w:t xml:space="preserve"> </w:t>
      </w:r>
      <w:r w:rsidRPr="00032D30">
        <w:rPr>
          <w:rFonts w:ascii="Verdana" w:hAnsi="Verdana"/>
          <w:sz w:val="16"/>
          <w:szCs w:val="16"/>
        </w:rPr>
        <w:tab/>
      </w:r>
      <w:r w:rsidRPr="00032D30">
        <w:rPr>
          <w:rFonts w:ascii="Verdana" w:hAnsi="Verdana"/>
          <w:sz w:val="16"/>
          <w:szCs w:val="16"/>
          <w:lang w:val="es-ES"/>
        </w:rPr>
        <w:t xml:space="preserve">Al respecto, detalló que “[t]ales disposiciones benefician de forma indebida tanto a los responsables materiales, como a los autores intelectuales y a los altos mandos que durante el conflicto armado ordenaron medias para prevenir o reprimir crímenes de lesa </w:t>
      </w:r>
      <w:r w:rsidR="0095752F" w:rsidRPr="00032D30">
        <w:rPr>
          <w:rFonts w:ascii="Verdana" w:hAnsi="Verdana"/>
          <w:sz w:val="16"/>
          <w:szCs w:val="16"/>
          <w:lang w:val="es-ES"/>
        </w:rPr>
        <w:t xml:space="preserve">humanidad y crímenes de guerra”. </w:t>
      </w:r>
      <w:r w:rsidR="0095752F" w:rsidRPr="00032D30">
        <w:rPr>
          <w:rFonts w:ascii="Verdana" w:hAnsi="Verdana"/>
          <w:i/>
          <w:sz w:val="16"/>
          <w:szCs w:val="16"/>
        </w:rPr>
        <w:t>Cfr.</w:t>
      </w:r>
      <w:r w:rsidR="0095752F" w:rsidRPr="00032D30">
        <w:rPr>
          <w:rFonts w:ascii="Verdana" w:hAnsi="Verdana"/>
          <w:sz w:val="16"/>
          <w:szCs w:val="16"/>
        </w:rPr>
        <w:t xml:space="preserve"> Comunicado de Prensa </w:t>
      </w:r>
      <w:r w:rsidR="0095752F" w:rsidRPr="00032D30">
        <w:rPr>
          <w:rFonts w:ascii="Verdana" w:hAnsi="Verdana"/>
          <w:i/>
          <w:sz w:val="16"/>
          <w:szCs w:val="16"/>
        </w:rPr>
        <w:t>“</w:t>
      </w:r>
      <w:r w:rsidR="0095752F" w:rsidRPr="00032D30">
        <w:rPr>
          <w:rFonts w:ascii="Verdana" w:hAnsi="Verdana" w:cs="Arial"/>
          <w:bCs/>
          <w:i/>
          <w:color w:val="000000"/>
          <w:sz w:val="16"/>
          <w:szCs w:val="16"/>
        </w:rPr>
        <w:t>Bachelet insta a la Asamblea Legislativa a garantizar los derechos de las víctimas y abstenerse de restablecer amnistías para los responsables de graves violaciones a los derechos humanos”</w:t>
      </w:r>
      <w:r w:rsidR="0095752F" w:rsidRPr="00032D30">
        <w:rPr>
          <w:rFonts w:ascii="Verdana" w:hAnsi="Verdana" w:cs="Arial"/>
          <w:bCs/>
          <w:color w:val="000000"/>
          <w:sz w:val="16"/>
          <w:szCs w:val="16"/>
        </w:rPr>
        <w:t>, de 22 de mayo de 2019.</w:t>
      </w:r>
    </w:p>
  </w:footnote>
  <w:footnote w:id="48">
    <w:p w14:paraId="0966B8F2" w14:textId="2EFF716C" w:rsidR="00972211" w:rsidRPr="00032D30" w:rsidRDefault="00972211" w:rsidP="00032D30">
      <w:pPr>
        <w:pStyle w:val="Textonotapie"/>
        <w:jc w:val="both"/>
        <w:rPr>
          <w:rFonts w:ascii="Verdana" w:hAnsi="Verdana"/>
          <w:sz w:val="16"/>
          <w:szCs w:val="16"/>
          <w:lang w:val="es-ES"/>
        </w:rPr>
      </w:pPr>
      <w:r w:rsidRPr="00032D30">
        <w:rPr>
          <w:rStyle w:val="Refdenotaalpie"/>
          <w:rFonts w:ascii="Verdana" w:hAnsi="Verdana"/>
          <w:sz w:val="16"/>
          <w:szCs w:val="16"/>
        </w:rPr>
        <w:footnoteRef/>
      </w:r>
      <w:r w:rsidRPr="00032D30">
        <w:rPr>
          <w:rFonts w:ascii="Verdana" w:hAnsi="Verdana"/>
          <w:sz w:val="16"/>
          <w:szCs w:val="16"/>
        </w:rPr>
        <w:t xml:space="preserve"> </w:t>
      </w:r>
      <w:r w:rsidRPr="00032D30">
        <w:rPr>
          <w:rFonts w:ascii="Verdana" w:hAnsi="Verdana"/>
          <w:sz w:val="16"/>
          <w:szCs w:val="16"/>
        </w:rPr>
        <w:tab/>
      </w:r>
      <w:r w:rsidRPr="00032D30">
        <w:rPr>
          <w:rFonts w:ascii="Verdana" w:hAnsi="Verdana"/>
          <w:i/>
          <w:sz w:val="16"/>
          <w:szCs w:val="16"/>
        </w:rPr>
        <w:t>Cfr.</w:t>
      </w:r>
      <w:r w:rsidRPr="00032D30">
        <w:rPr>
          <w:rFonts w:ascii="Verdana" w:hAnsi="Verdana"/>
          <w:sz w:val="16"/>
          <w:szCs w:val="16"/>
        </w:rPr>
        <w:t xml:space="preserve"> Comunicado de Prensa </w:t>
      </w:r>
      <w:r w:rsidRPr="00032D30">
        <w:rPr>
          <w:rFonts w:ascii="Verdana" w:hAnsi="Verdana"/>
          <w:i/>
          <w:sz w:val="16"/>
          <w:szCs w:val="16"/>
        </w:rPr>
        <w:t>“</w:t>
      </w:r>
      <w:r w:rsidRPr="00032D30">
        <w:rPr>
          <w:rFonts w:ascii="Verdana" w:hAnsi="Verdana" w:cs="Arial"/>
          <w:bCs/>
          <w:i/>
          <w:color w:val="000000"/>
          <w:sz w:val="16"/>
          <w:szCs w:val="16"/>
        </w:rPr>
        <w:t>Bachelet insta a la Asamblea Legislativa a garantizar los derechos de las víctimas y abstenerse de restablecer amnistías para los responsables de graves violaciones a los derechos humanos”</w:t>
      </w:r>
      <w:r w:rsidRPr="00032D30">
        <w:rPr>
          <w:rFonts w:ascii="Verdana" w:hAnsi="Verdana" w:cs="Arial"/>
          <w:bCs/>
          <w:color w:val="000000"/>
          <w:sz w:val="16"/>
          <w:szCs w:val="16"/>
        </w:rPr>
        <w:t xml:space="preserve">, </w:t>
      </w:r>
      <w:r w:rsidR="0095752F" w:rsidRPr="00032D30">
        <w:rPr>
          <w:rFonts w:ascii="Verdana" w:hAnsi="Verdana" w:cs="Arial"/>
          <w:bCs/>
          <w:i/>
          <w:color w:val="000000"/>
          <w:sz w:val="16"/>
          <w:szCs w:val="16"/>
        </w:rPr>
        <w:t>supra</w:t>
      </w:r>
      <w:r w:rsidR="0095752F" w:rsidRPr="00032D30">
        <w:rPr>
          <w:rFonts w:ascii="Verdana" w:hAnsi="Verdana" w:cs="Arial"/>
          <w:bCs/>
          <w:color w:val="000000"/>
          <w:sz w:val="16"/>
          <w:szCs w:val="16"/>
        </w:rPr>
        <w:t xml:space="preserve"> nota. </w:t>
      </w:r>
    </w:p>
  </w:footnote>
  <w:footnote w:id="49">
    <w:p w14:paraId="37E3A138" w14:textId="4A4FA9E2" w:rsidR="00972211" w:rsidRPr="00032D30" w:rsidRDefault="00972211" w:rsidP="00032D30">
      <w:pPr>
        <w:pStyle w:val="Textonotapie"/>
        <w:rPr>
          <w:rFonts w:ascii="Verdana" w:hAnsi="Verdana"/>
          <w:sz w:val="16"/>
          <w:szCs w:val="16"/>
          <w:lang w:val="es-ES"/>
        </w:rPr>
      </w:pPr>
      <w:r w:rsidRPr="00032D30">
        <w:rPr>
          <w:rStyle w:val="Refdenotaalpie"/>
          <w:rFonts w:ascii="Verdana" w:hAnsi="Verdana"/>
          <w:sz w:val="16"/>
          <w:szCs w:val="16"/>
        </w:rPr>
        <w:footnoteRef/>
      </w:r>
      <w:r w:rsidRPr="00032D30">
        <w:rPr>
          <w:rFonts w:ascii="Verdana" w:hAnsi="Verdana"/>
          <w:sz w:val="16"/>
          <w:szCs w:val="16"/>
        </w:rPr>
        <w:t xml:space="preserve"> </w:t>
      </w:r>
      <w:r w:rsidRPr="00032D30">
        <w:rPr>
          <w:rFonts w:ascii="Verdana" w:hAnsi="Verdana"/>
          <w:sz w:val="16"/>
          <w:szCs w:val="16"/>
        </w:rPr>
        <w:tab/>
      </w:r>
      <w:r w:rsidRPr="00032D30">
        <w:rPr>
          <w:rFonts w:ascii="Verdana" w:hAnsi="Verdana"/>
          <w:i/>
          <w:sz w:val="16"/>
          <w:szCs w:val="16"/>
        </w:rPr>
        <w:t xml:space="preserve">Cfr. </w:t>
      </w:r>
      <w:r w:rsidRPr="00032D30">
        <w:rPr>
          <w:rFonts w:ascii="Verdana" w:hAnsi="Verdana"/>
          <w:sz w:val="16"/>
          <w:szCs w:val="16"/>
        </w:rPr>
        <w:t xml:space="preserve">Comunicado de Prensa </w:t>
      </w:r>
      <w:r w:rsidRPr="00032D30">
        <w:rPr>
          <w:rFonts w:ascii="Verdana" w:hAnsi="Verdana"/>
          <w:i/>
          <w:sz w:val="16"/>
          <w:szCs w:val="16"/>
        </w:rPr>
        <w:t>“</w:t>
      </w:r>
      <w:r w:rsidRPr="00032D30">
        <w:rPr>
          <w:rFonts w:ascii="Verdana" w:hAnsi="Verdana" w:cs="Arial"/>
          <w:bCs/>
          <w:i/>
          <w:color w:val="000000"/>
          <w:sz w:val="16"/>
          <w:szCs w:val="16"/>
        </w:rPr>
        <w:t xml:space="preserve">El Salvador: La Asamblea Legislativa no debe aprobar un proyecto de ley de "amnistía de facto" para las violaciones de derechos humanos, dicen expertos de la ONU”, </w:t>
      </w:r>
      <w:r w:rsidRPr="00032D30">
        <w:rPr>
          <w:rFonts w:ascii="Verdana" w:hAnsi="Verdana" w:cs="Arial"/>
          <w:bCs/>
          <w:color w:val="000000"/>
          <w:sz w:val="16"/>
          <w:szCs w:val="16"/>
        </w:rPr>
        <w:t>16 de mayo de 2019.</w:t>
      </w:r>
    </w:p>
  </w:footnote>
  <w:footnote w:id="50">
    <w:p w14:paraId="7BDD77FA" w14:textId="77777777" w:rsidR="00614356" w:rsidRPr="00032D30" w:rsidRDefault="00614356" w:rsidP="00032D30">
      <w:pPr>
        <w:pStyle w:val="Textonotapie"/>
        <w:jc w:val="both"/>
        <w:rPr>
          <w:rFonts w:ascii="Verdana" w:hAnsi="Verdana"/>
          <w:sz w:val="16"/>
          <w:szCs w:val="16"/>
        </w:rPr>
      </w:pPr>
      <w:r w:rsidRPr="00032D30">
        <w:rPr>
          <w:rStyle w:val="Refdenotaalpie"/>
          <w:rFonts w:ascii="Verdana" w:hAnsi="Verdana"/>
          <w:sz w:val="16"/>
          <w:szCs w:val="16"/>
        </w:rPr>
        <w:footnoteRef/>
      </w:r>
      <w:r w:rsidRPr="00032D30">
        <w:rPr>
          <w:rFonts w:ascii="Verdana" w:hAnsi="Verdana"/>
          <w:sz w:val="16"/>
          <w:szCs w:val="16"/>
        </w:rPr>
        <w:t xml:space="preserve"> </w:t>
      </w:r>
      <w:r w:rsidRPr="00032D30">
        <w:rPr>
          <w:rFonts w:ascii="Verdana" w:hAnsi="Verdana"/>
          <w:sz w:val="16"/>
          <w:szCs w:val="16"/>
        </w:rPr>
        <w:tab/>
      </w:r>
      <w:r w:rsidRPr="00032D30">
        <w:rPr>
          <w:rFonts w:ascii="Verdana" w:hAnsi="Verdana"/>
          <w:i/>
          <w:sz w:val="16"/>
          <w:szCs w:val="16"/>
        </w:rPr>
        <w:t>Cfr.</w:t>
      </w:r>
      <w:r w:rsidRPr="00032D30">
        <w:rPr>
          <w:rFonts w:ascii="Verdana" w:hAnsi="Verdana"/>
          <w:sz w:val="16"/>
          <w:szCs w:val="16"/>
        </w:rPr>
        <w:t xml:space="preserve"> Resolución 44-2013(3) de la Sala de lo Constitucional de la Corte Suprema de Justicia de El Salvador de 13 de julio de 2018, punto resolutivo primero. Disponible en: </w:t>
      </w:r>
      <w:hyperlink r:id="rId7" w:history="1">
        <w:r w:rsidRPr="00032D30">
          <w:rPr>
            <w:rStyle w:val="Hipervnculo"/>
            <w:rFonts w:ascii="Verdana" w:hAnsi="Verdana"/>
            <w:sz w:val="16"/>
            <w:szCs w:val="16"/>
          </w:rPr>
          <w:t>http://ow.ly/d/7MZW</w:t>
        </w:r>
      </w:hyperlink>
      <w:r w:rsidRPr="00032D30">
        <w:rPr>
          <w:rFonts w:ascii="Verdana" w:hAnsi="Verdana"/>
          <w:sz w:val="16"/>
          <w:szCs w:val="16"/>
        </w:rPr>
        <w:t xml:space="preserve"> (citada en la nota al pie 68 del escrito de los representantes de febrero de 2019). </w:t>
      </w:r>
    </w:p>
  </w:footnote>
  <w:footnote w:id="51">
    <w:p w14:paraId="1804A439" w14:textId="15F8DFED" w:rsidR="00972211" w:rsidRPr="00032D30" w:rsidRDefault="00972211" w:rsidP="00032D30">
      <w:pPr>
        <w:pStyle w:val="Textonotapie"/>
        <w:rPr>
          <w:rFonts w:ascii="Verdana" w:hAnsi="Verdana"/>
          <w:b/>
          <w:sz w:val="16"/>
          <w:szCs w:val="16"/>
        </w:rPr>
      </w:pPr>
      <w:r w:rsidRPr="00032D30">
        <w:rPr>
          <w:rStyle w:val="Refdenotaalpie"/>
          <w:rFonts w:ascii="Verdana" w:hAnsi="Verdana"/>
          <w:sz w:val="16"/>
          <w:szCs w:val="16"/>
        </w:rPr>
        <w:footnoteRef/>
      </w:r>
      <w:r w:rsidRPr="00032D30">
        <w:rPr>
          <w:rFonts w:ascii="Verdana" w:hAnsi="Verdana"/>
          <w:sz w:val="16"/>
          <w:szCs w:val="16"/>
        </w:rPr>
        <w:t xml:space="preserve"> </w:t>
      </w:r>
      <w:r w:rsidRPr="00032D30">
        <w:rPr>
          <w:rFonts w:ascii="Verdana" w:hAnsi="Verdana"/>
          <w:b/>
          <w:sz w:val="16"/>
          <w:szCs w:val="16"/>
        </w:rPr>
        <w:tab/>
      </w:r>
      <w:r w:rsidRPr="00032D30">
        <w:rPr>
          <w:rStyle w:val="Textoennegrita"/>
          <w:rFonts w:ascii="Verdana" w:hAnsi="Verdana"/>
          <w:b w:val="0"/>
          <w:i/>
          <w:sz w:val="16"/>
          <w:szCs w:val="16"/>
        </w:rPr>
        <w:t>Caso Durand y Ugarte Vs. Perú. Medidas Provisionales.</w:t>
      </w:r>
      <w:r w:rsidRPr="00032D30">
        <w:rPr>
          <w:rStyle w:val="Textoennegrita"/>
          <w:rFonts w:ascii="Verdana" w:hAnsi="Verdana"/>
          <w:b w:val="0"/>
          <w:sz w:val="16"/>
          <w:szCs w:val="16"/>
        </w:rPr>
        <w:t xml:space="preserve"> Resolución de la Corte Interamericana de Derechos Humanos de 8 de febrero de 2018, Considerando 41. </w:t>
      </w:r>
    </w:p>
  </w:footnote>
  <w:footnote w:id="52">
    <w:p w14:paraId="194C46D2" w14:textId="77777777" w:rsidR="00972211" w:rsidRPr="00032D30" w:rsidRDefault="00972211" w:rsidP="00032D30">
      <w:pPr>
        <w:pStyle w:val="Textonotapie"/>
        <w:jc w:val="both"/>
        <w:rPr>
          <w:rFonts w:ascii="Verdana" w:hAnsi="Verdana"/>
          <w:sz w:val="16"/>
          <w:szCs w:val="16"/>
        </w:rPr>
      </w:pPr>
      <w:r w:rsidRPr="00032D30">
        <w:rPr>
          <w:rStyle w:val="Refdenotaalpie"/>
          <w:rFonts w:ascii="Verdana" w:hAnsi="Verdana"/>
          <w:sz w:val="16"/>
          <w:szCs w:val="16"/>
        </w:rPr>
        <w:footnoteRef/>
      </w:r>
      <w:r w:rsidRPr="00032D30">
        <w:rPr>
          <w:rFonts w:ascii="Verdana" w:hAnsi="Verdana"/>
          <w:sz w:val="16"/>
          <w:szCs w:val="16"/>
        </w:rPr>
        <w:t xml:space="preserve"> </w:t>
      </w:r>
      <w:r w:rsidRPr="00032D30">
        <w:rPr>
          <w:rFonts w:ascii="Verdana" w:hAnsi="Verdana"/>
          <w:sz w:val="16"/>
          <w:szCs w:val="16"/>
        </w:rPr>
        <w:tab/>
      </w:r>
      <w:r w:rsidRPr="00032D30">
        <w:rPr>
          <w:rFonts w:ascii="Verdana" w:hAnsi="Verdana"/>
          <w:i/>
          <w:sz w:val="16"/>
          <w:szCs w:val="16"/>
        </w:rPr>
        <w:t>Cfr. Caso de las Comunidades de Jiguamiandó y del Curbaradó. Medidas Provisionales respecto de Colombia.</w:t>
      </w:r>
      <w:r w:rsidRPr="00032D30">
        <w:rPr>
          <w:rFonts w:ascii="Verdana" w:hAnsi="Verdana"/>
          <w:sz w:val="16"/>
          <w:szCs w:val="16"/>
        </w:rPr>
        <w:t xml:space="preserve"> Resolución de la Corte de 7 de febrero de 2006, Considerando 7, y </w:t>
      </w:r>
      <w:r w:rsidRPr="00032D30">
        <w:rPr>
          <w:rFonts w:ascii="Verdana" w:hAnsi="Verdana"/>
          <w:i/>
          <w:sz w:val="16"/>
          <w:szCs w:val="16"/>
        </w:rPr>
        <w:t>Cfr.</w:t>
      </w:r>
      <w:r w:rsidRPr="00032D30">
        <w:rPr>
          <w:rFonts w:ascii="Verdana" w:hAnsi="Verdana"/>
          <w:b/>
          <w:i/>
          <w:sz w:val="16"/>
          <w:szCs w:val="16"/>
        </w:rPr>
        <w:t xml:space="preserve"> </w:t>
      </w:r>
      <w:r w:rsidRPr="00032D30">
        <w:rPr>
          <w:rStyle w:val="Textoennegrita"/>
          <w:rFonts w:ascii="Verdana" w:hAnsi="Verdana"/>
          <w:b w:val="0"/>
          <w:i/>
          <w:sz w:val="16"/>
          <w:szCs w:val="16"/>
        </w:rPr>
        <w:t>Caso Durand y Ugarte Vs. Perú. Medidas Provisionales.</w:t>
      </w:r>
      <w:r w:rsidRPr="00032D30">
        <w:rPr>
          <w:rStyle w:val="Textoennegrita"/>
          <w:rFonts w:ascii="Verdana" w:hAnsi="Verdana"/>
          <w:b w:val="0"/>
          <w:sz w:val="16"/>
          <w:szCs w:val="16"/>
        </w:rPr>
        <w:t xml:space="preserve"> Resolución de la Corte Interamericana de Derechos Humanos de 17 de diciembre de 2017, Considerando 28</w:t>
      </w:r>
      <w:r w:rsidRPr="00032D30">
        <w:rPr>
          <w:rFonts w:ascii="Verdana" w:hAnsi="Verdana"/>
          <w:sz w:val="16"/>
          <w:szCs w:val="16"/>
        </w:rPr>
        <w:t>.</w:t>
      </w:r>
    </w:p>
  </w:footnote>
  <w:footnote w:id="53">
    <w:p w14:paraId="5568265D" w14:textId="4E0F1328" w:rsidR="00813471" w:rsidRPr="00032D30" w:rsidRDefault="00813471" w:rsidP="00032D30">
      <w:pPr>
        <w:pStyle w:val="Textonotapie"/>
        <w:jc w:val="both"/>
        <w:rPr>
          <w:rFonts w:ascii="Verdana" w:hAnsi="Verdana"/>
          <w:b/>
          <w:sz w:val="16"/>
          <w:szCs w:val="16"/>
        </w:rPr>
      </w:pPr>
      <w:r w:rsidRPr="00032D30">
        <w:rPr>
          <w:rStyle w:val="Refdenotaalpie"/>
          <w:rFonts w:ascii="Verdana" w:hAnsi="Verdana"/>
          <w:sz w:val="16"/>
          <w:szCs w:val="16"/>
        </w:rPr>
        <w:footnoteRef/>
      </w:r>
      <w:r w:rsidRPr="00032D30">
        <w:rPr>
          <w:rFonts w:ascii="Verdana" w:hAnsi="Verdana"/>
          <w:sz w:val="16"/>
          <w:szCs w:val="16"/>
        </w:rPr>
        <w:t xml:space="preserve"> </w:t>
      </w:r>
      <w:r w:rsidRPr="00032D30">
        <w:rPr>
          <w:rFonts w:ascii="Verdana" w:hAnsi="Verdana"/>
          <w:sz w:val="16"/>
          <w:szCs w:val="16"/>
        </w:rPr>
        <w:tab/>
      </w:r>
      <w:r w:rsidRPr="00032D30">
        <w:rPr>
          <w:rFonts w:ascii="Verdana" w:hAnsi="Verdana"/>
          <w:i/>
          <w:sz w:val="16"/>
          <w:szCs w:val="16"/>
        </w:rPr>
        <w:t>Cfr.</w:t>
      </w:r>
      <w:r w:rsidRPr="00032D30">
        <w:rPr>
          <w:rFonts w:ascii="Verdana" w:hAnsi="Verdana"/>
          <w:b/>
          <w:i/>
          <w:sz w:val="16"/>
          <w:szCs w:val="16"/>
        </w:rPr>
        <w:t xml:space="preserve"> </w:t>
      </w:r>
      <w:r w:rsidRPr="00032D30">
        <w:rPr>
          <w:rStyle w:val="Textoennegrita"/>
          <w:rFonts w:ascii="Verdana" w:hAnsi="Verdana"/>
          <w:b w:val="0"/>
          <w:i/>
          <w:color w:val="000000"/>
          <w:sz w:val="16"/>
          <w:szCs w:val="16"/>
          <w:shd w:val="clear" w:color="auto" w:fill="FFFFFF"/>
        </w:rPr>
        <w:t>Caso Gelman Vs. Uruguay. Supervisión de Cumplimiento de Sentencia</w:t>
      </w:r>
      <w:r w:rsidRPr="00032D30">
        <w:rPr>
          <w:rStyle w:val="Textoennegrita"/>
          <w:rFonts w:ascii="Verdana" w:hAnsi="Verdana"/>
          <w:b w:val="0"/>
          <w:color w:val="000000"/>
          <w:sz w:val="16"/>
          <w:szCs w:val="16"/>
          <w:shd w:val="clear" w:color="auto" w:fill="FFFFFF"/>
        </w:rPr>
        <w:t xml:space="preserve">. Resolución de la Corte Interamericana de Derechos Humanos de 20 de marzo de 2013, considerando 66 y  </w:t>
      </w:r>
      <w:r w:rsidRPr="00032D30">
        <w:rPr>
          <w:rStyle w:val="Textoennegrita"/>
          <w:rFonts w:ascii="Verdana" w:hAnsi="Verdana"/>
          <w:b w:val="0"/>
          <w:i/>
          <w:color w:val="000000"/>
          <w:sz w:val="16"/>
          <w:szCs w:val="16"/>
          <w:shd w:val="clear" w:color="auto" w:fill="FFFFFF"/>
        </w:rPr>
        <w:t>Caso Barrios Altos y Caso La Cantuta Vs. Perú. Supervisión de Cumplimiento de Sentencia</w:t>
      </w:r>
      <w:r w:rsidR="00F2269B" w:rsidRPr="00032D30">
        <w:rPr>
          <w:rStyle w:val="Textoennegrita"/>
          <w:rFonts w:ascii="Verdana" w:hAnsi="Verdana"/>
          <w:b w:val="0"/>
          <w:i/>
          <w:color w:val="000000"/>
          <w:sz w:val="16"/>
          <w:szCs w:val="16"/>
          <w:shd w:val="clear" w:color="auto" w:fill="FFFFFF"/>
        </w:rPr>
        <w:t xml:space="preserve">, supra </w:t>
      </w:r>
      <w:r w:rsidR="00F2269B" w:rsidRPr="00032D30">
        <w:rPr>
          <w:rStyle w:val="Textoennegrita"/>
          <w:rFonts w:ascii="Verdana" w:hAnsi="Verdana"/>
          <w:b w:val="0"/>
          <w:color w:val="000000"/>
          <w:sz w:val="16"/>
          <w:szCs w:val="16"/>
          <w:shd w:val="clear" w:color="auto" w:fill="FFFFFF"/>
        </w:rPr>
        <w:t>nota.</w:t>
      </w:r>
    </w:p>
  </w:footnote>
  <w:footnote w:id="54">
    <w:p w14:paraId="1794A989" w14:textId="77777777" w:rsidR="00813471" w:rsidRPr="00032D30" w:rsidRDefault="00813471" w:rsidP="00032D30">
      <w:pPr>
        <w:pStyle w:val="Textonotapie"/>
        <w:jc w:val="both"/>
        <w:rPr>
          <w:rFonts w:ascii="Verdana" w:hAnsi="Verdana"/>
          <w:b/>
          <w:sz w:val="16"/>
          <w:szCs w:val="16"/>
        </w:rPr>
      </w:pPr>
      <w:r w:rsidRPr="00032D30">
        <w:rPr>
          <w:rStyle w:val="Refdenotaalpie"/>
          <w:rFonts w:ascii="Verdana" w:hAnsi="Verdana"/>
          <w:sz w:val="16"/>
          <w:szCs w:val="16"/>
        </w:rPr>
        <w:footnoteRef/>
      </w:r>
      <w:r w:rsidRPr="00032D30">
        <w:rPr>
          <w:rFonts w:ascii="Verdana" w:hAnsi="Verdana"/>
          <w:sz w:val="16"/>
          <w:szCs w:val="16"/>
        </w:rPr>
        <w:t xml:space="preserve"> </w:t>
      </w:r>
      <w:r w:rsidRPr="00032D30">
        <w:rPr>
          <w:rFonts w:ascii="Verdana" w:hAnsi="Verdana"/>
          <w:sz w:val="16"/>
          <w:szCs w:val="16"/>
        </w:rPr>
        <w:tab/>
      </w:r>
      <w:r w:rsidRPr="00032D30">
        <w:rPr>
          <w:rFonts w:ascii="Verdana" w:hAnsi="Verdana"/>
          <w:i/>
          <w:sz w:val="16"/>
          <w:szCs w:val="16"/>
        </w:rPr>
        <w:t>Cfr.</w:t>
      </w:r>
      <w:r w:rsidRPr="00032D30">
        <w:rPr>
          <w:rFonts w:ascii="Verdana" w:hAnsi="Verdana"/>
          <w:b/>
          <w:i/>
          <w:sz w:val="16"/>
          <w:szCs w:val="16"/>
        </w:rPr>
        <w:t xml:space="preserve"> </w:t>
      </w:r>
      <w:r w:rsidRPr="00032D30">
        <w:rPr>
          <w:rStyle w:val="Textoennegrita"/>
          <w:rFonts w:ascii="Verdana" w:hAnsi="Verdana"/>
          <w:b w:val="0"/>
          <w:i/>
          <w:color w:val="000000"/>
          <w:sz w:val="16"/>
          <w:szCs w:val="16"/>
          <w:shd w:val="clear" w:color="auto" w:fill="FFFFFF"/>
        </w:rPr>
        <w:t>Caso Supervisión conjunta de 11 casos Vs. Guatemala. Supervisión de Cumplimiento de Sentencia</w:t>
      </w:r>
      <w:r w:rsidRPr="00032D30">
        <w:rPr>
          <w:rStyle w:val="Textoennegrita"/>
          <w:rFonts w:ascii="Verdana" w:hAnsi="Verdana"/>
          <w:b w:val="0"/>
          <w:color w:val="000000"/>
          <w:sz w:val="16"/>
          <w:szCs w:val="16"/>
          <w:shd w:val="clear" w:color="auto" w:fill="FFFFFF"/>
        </w:rPr>
        <w:t xml:space="preserve">. Resolución de la Corte Interamericana de Derechos Humanos de 21 de agosto de 2014, considerando 17 y </w:t>
      </w:r>
      <w:r w:rsidRPr="00032D30">
        <w:rPr>
          <w:rStyle w:val="Textoennegrita"/>
          <w:rFonts w:ascii="Verdana" w:hAnsi="Verdana"/>
          <w:b w:val="0"/>
          <w:i/>
          <w:color w:val="000000"/>
          <w:sz w:val="16"/>
          <w:szCs w:val="16"/>
          <w:shd w:val="clear" w:color="auto" w:fill="FFFFFF"/>
        </w:rPr>
        <w:t>Casos Masacres de Río Negro y Gudiel Álvarez y otros Vs. Guatemala.</w:t>
      </w:r>
      <w:r w:rsidRPr="00032D30">
        <w:rPr>
          <w:rStyle w:val="Textoennegrita"/>
          <w:rFonts w:ascii="Verdana" w:hAnsi="Verdana"/>
          <w:b w:val="0"/>
          <w:color w:val="000000"/>
          <w:sz w:val="16"/>
          <w:szCs w:val="16"/>
          <w:shd w:val="clear" w:color="auto" w:fill="FFFFFF"/>
        </w:rPr>
        <w:t xml:space="preserve"> Supervisión de Cumplimiento de Sentencia. Resolución de la Corte Interamericana de Derechos Humanos de 21 de agosto de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7146062"/>
      <w:docPartObj>
        <w:docPartGallery w:val="Page Numbers (Top of Page)"/>
        <w:docPartUnique/>
      </w:docPartObj>
    </w:sdtPr>
    <w:sdtEndPr>
      <w:rPr>
        <w:rFonts w:ascii="Verdana" w:hAnsi="Verdana"/>
        <w:sz w:val="20"/>
        <w:szCs w:val="20"/>
      </w:rPr>
    </w:sdtEndPr>
    <w:sdtContent>
      <w:p w14:paraId="62B22398" w14:textId="53189DBB" w:rsidR="004D1316" w:rsidRPr="004D1316" w:rsidRDefault="004D1316">
        <w:pPr>
          <w:pStyle w:val="Encabezado"/>
          <w:jc w:val="center"/>
          <w:rPr>
            <w:rFonts w:ascii="Verdana" w:hAnsi="Verdana"/>
            <w:sz w:val="20"/>
            <w:szCs w:val="20"/>
          </w:rPr>
        </w:pPr>
        <w:r w:rsidRPr="004D1316">
          <w:rPr>
            <w:rFonts w:ascii="Verdana" w:hAnsi="Verdana"/>
            <w:sz w:val="20"/>
            <w:szCs w:val="20"/>
          </w:rPr>
          <w:t>-</w:t>
        </w:r>
        <w:r w:rsidRPr="004D1316">
          <w:rPr>
            <w:rFonts w:ascii="Verdana" w:hAnsi="Verdana"/>
            <w:sz w:val="20"/>
            <w:szCs w:val="20"/>
          </w:rPr>
          <w:fldChar w:fldCharType="begin"/>
        </w:r>
        <w:r w:rsidRPr="004D1316">
          <w:rPr>
            <w:rFonts w:ascii="Verdana" w:hAnsi="Verdana"/>
            <w:sz w:val="20"/>
            <w:szCs w:val="20"/>
          </w:rPr>
          <w:instrText>PAGE   \* MERGEFORMAT</w:instrText>
        </w:r>
        <w:r w:rsidRPr="004D1316">
          <w:rPr>
            <w:rFonts w:ascii="Verdana" w:hAnsi="Verdana"/>
            <w:sz w:val="20"/>
            <w:szCs w:val="20"/>
          </w:rPr>
          <w:fldChar w:fldCharType="separate"/>
        </w:r>
        <w:r w:rsidR="0021544E" w:rsidRPr="0021544E">
          <w:rPr>
            <w:rFonts w:ascii="Verdana" w:hAnsi="Verdana"/>
            <w:noProof/>
            <w:sz w:val="20"/>
            <w:szCs w:val="20"/>
            <w:lang w:val="es-ES"/>
          </w:rPr>
          <w:t>21</w:t>
        </w:r>
        <w:r w:rsidRPr="004D1316">
          <w:rPr>
            <w:rFonts w:ascii="Verdana" w:hAnsi="Verdana"/>
            <w:sz w:val="20"/>
            <w:szCs w:val="20"/>
          </w:rPr>
          <w:fldChar w:fldCharType="end"/>
        </w:r>
        <w:r w:rsidRPr="004D1316">
          <w:rPr>
            <w:rFonts w:ascii="Verdana" w:hAnsi="Verdana"/>
            <w:sz w:val="20"/>
            <w:szCs w:val="20"/>
          </w:rPr>
          <w:t>-</w:t>
        </w:r>
      </w:p>
    </w:sdtContent>
  </w:sdt>
  <w:p w14:paraId="614F002C" w14:textId="77777777" w:rsidR="004D1316" w:rsidRDefault="004D131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7391"/>
    <w:multiLevelType w:val="hybridMultilevel"/>
    <w:tmpl w:val="BDA87D80"/>
    <w:lvl w:ilvl="0" w:tplc="F4C247CA">
      <w:start w:val="1"/>
      <w:numFmt w:val="decimal"/>
      <w:lvlText w:val="%1."/>
      <w:lvlJc w:val="left"/>
      <w:pPr>
        <w:ind w:left="720" w:hanging="360"/>
      </w:pPr>
      <w:rPr>
        <w:rFonts w:ascii="Verdana" w:hAnsi="Verdana"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1E734D"/>
    <w:multiLevelType w:val="hybridMultilevel"/>
    <w:tmpl w:val="0D887EA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73E12DA"/>
    <w:multiLevelType w:val="hybridMultilevel"/>
    <w:tmpl w:val="B6741F8C"/>
    <w:lvl w:ilvl="0" w:tplc="9EC8096C">
      <w:start w:val="1"/>
      <w:numFmt w:val="lowerRoman"/>
      <w:lvlText w:val="%1)"/>
      <w:lvlJc w:val="left"/>
      <w:pPr>
        <w:ind w:left="360" w:hanging="360"/>
      </w:pPr>
      <w:rPr>
        <w:rFonts w:ascii="Verdana" w:eastAsiaTheme="minorHAnsi" w:hAnsi="Verdana" w:cs="Verdana"/>
      </w:rPr>
    </w:lvl>
    <w:lvl w:ilvl="1" w:tplc="80E69796">
      <w:start w:val="1"/>
      <w:numFmt w:val="lowerLetter"/>
      <w:lvlText w:val="%2)"/>
      <w:lvlJc w:val="left"/>
      <w:pPr>
        <w:ind w:left="1080" w:hanging="360"/>
      </w:pPr>
      <w:rPr>
        <w:rFonts w:ascii="Verdana" w:eastAsiaTheme="minorHAnsi" w:hAnsi="Verdana" w:cstheme="minorBidi"/>
      </w:r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3" w15:restartNumberingAfterBreak="0">
    <w:nsid w:val="0A7B3F5A"/>
    <w:multiLevelType w:val="hybridMultilevel"/>
    <w:tmpl w:val="6E08C97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B393914"/>
    <w:multiLevelType w:val="hybridMultilevel"/>
    <w:tmpl w:val="A9B4EF58"/>
    <w:lvl w:ilvl="0" w:tplc="EE967332">
      <w:start w:val="1"/>
      <w:numFmt w:val="upperRoman"/>
      <w:lvlText w:val="%1."/>
      <w:lvlJc w:val="left"/>
      <w:pPr>
        <w:ind w:left="1440" w:hanging="72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5" w15:restartNumberingAfterBreak="0">
    <w:nsid w:val="0C827FAB"/>
    <w:multiLevelType w:val="hybridMultilevel"/>
    <w:tmpl w:val="0172B5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DE35CE7"/>
    <w:multiLevelType w:val="hybridMultilevel"/>
    <w:tmpl w:val="7D0A6FB4"/>
    <w:lvl w:ilvl="0" w:tplc="5BE84A3E">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E2437CB"/>
    <w:multiLevelType w:val="hybridMultilevel"/>
    <w:tmpl w:val="7D0A6FB4"/>
    <w:lvl w:ilvl="0" w:tplc="5BE84A3E">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06B1101"/>
    <w:multiLevelType w:val="hybridMultilevel"/>
    <w:tmpl w:val="76BC723E"/>
    <w:lvl w:ilvl="0" w:tplc="A6744BC6">
      <w:start w:val="1"/>
      <w:numFmt w:val="lowerLetter"/>
      <w:lvlText w:val="%1)"/>
      <w:lvlJc w:val="left"/>
      <w:pPr>
        <w:ind w:left="720" w:hanging="360"/>
      </w:pPr>
      <w:rPr>
        <w:rFonts w:cstheme="minorBidi"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2BD08F0"/>
    <w:multiLevelType w:val="hybridMultilevel"/>
    <w:tmpl w:val="65AAAB00"/>
    <w:lvl w:ilvl="0" w:tplc="E4BA4460">
      <w:start w:val="1"/>
      <w:numFmt w:val="decimal"/>
      <w:lvlText w:val="%1."/>
      <w:lvlJc w:val="left"/>
      <w:pPr>
        <w:ind w:left="1211" w:hanging="360"/>
      </w:pPr>
      <w:rPr>
        <w:rFonts w:ascii="Verdana" w:hAnsi="Verdana" w:hint="default"/>
        <w:b w:val="0"/>
        <w:i w:val="0"/>
        <w:strike w:val="0"/>
        <w:color w:val="auto"/>
        <w:sz w:val="20"/>
        <w:szCs w:val="20"/>
      </w:rPr>
    </w:lvl>
    <w:lvl w:ilvl="1" w:tplc="CD862E20">
      <w:start w:val="1"/>
      <w:numFmt w:val="lowerLetter"/>
      <w:lvlText w:val="%2)"/>
      <w:lvlJc w:val="left"/>
      <w:pPr>
        <w:ind w:left="1440" w:hanging="360"/>
      </w:pPr>
      <w:rPr>
        <w:rFonts w:hint="default"/>
        <w:b w:val="0"/>
        <w:i/>
      </w:rPr>
    </w:lvl>
    <w:lvl w:ilvl="2" w:tplc="0409001B">
      <w:start w:val="1"/>
      <w:numFmt w:val="lowerRoman"/>
      <w:lvlText w:val="%3."/>
      <w:lvlJc w:val="right"/>
      <w:pPr>
        <w:ind w:left="2160" w:hanging="180"/>
      </w:pPr>
    </w:lvl>
    <w:lvl w:ilvl="3" w:tplc="99C8344C">
      <w:start w:val="1"/>
      <w:numFmt w:val="upp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E34CBF"/>
    <w:multiLevelType w:val="hybridMultilevel"/>
    <w:tmpl w:val="26E46E2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C093F55"/>
    <w:multiLevelType w:val="hybridMultilevel"/>
    <w:tmpl w:val="6E08C97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F5D646A"/>
    <w:multiLevelType w:val="hybridMultilevel"/>
    <w:tmpl w:val="6D5017B8"/>
    <w:lvl w:ilvl="0" w:tplc="9C40F1FC">
      <w:start w:val="1"/>
      <w:numFmt w:val="decimal"/>
      <w:lvlText w:val="%1."/>
      <w:lvlJc w:val="left"/>
      <w:pPr>
        <w:tabs>
          <w:tab w:val="num" w:pos="567"/>
        </w:tabs>
        <w:ind w:left="0" w:firstLine="0"/>
      </w:pPr>
      <w:rPr>
        <w:rFonts w:ascii="Verdana" w:hAnsi="Verdana" w:hint="default"/>
        <w:b w:val="0"/>
        <w:i w:val="0"/>
        <w:strike w:val="0"/>
        <w:color w:val="auto"/>
        <w:sz w:val="20"/>
        <w:szCs w:val="20"/>
      </w:rPr>
    </w:lvl>
    <w:lvl w:ilvl="1" w:tplc="50F6700A">
      <w:start w:val="1"/>
      <w:numFmt w:val="lowerLetter"/>
      <w:lvlText w:val="%2)"/>
      <w:lvlJc w:val="left"/>
      <w:pPr>
        <w:tabs>
          <w:tab w:val="num" w:pos="1440"/>
        </w:tabs>
        <w:ind w:left="1440" w:hanging="360"/>
      </w:pPr>
      <w:rPr>
        <w:rFonts w:hint="default"/>
        <w:b w:val="0"/>
        <w:i w:val="0"/>
        <w:color w:val="auto"/>
        <w:sz w:val="20"/>
        <w:szCs w:val="20"/>
      </w:rPr>
    </w:lvl>
    <w:lvl w:ilvl="2" w:tplc="D8DAAB54">
      <w:start w:val="1"/>
      <w:numFmt w:val="lowerLetter"/>
      <w:lvlText w:val="%3)"/>
      <w:lvlJc w:val="left"/>
      <w:pPr>
        <w:tabs>
          <w:tab w:val="num" w:pos="2340"/>
        </w:tabs>
        <w:ind w:left="2340" w:hanging="360"/>
      </w:pPr>
      <w:rPr>
        <w:rFonts w:ascii="Verdana" w:eastAsia="MS Mincho" w:hAnsi="Verdana" w:cs="Times New Roman"/>
        <w:b w:val="0"/>
        <w:i w:val="0"/>
        <w:strike w:val="0"/>
        <w:sz w:val="16"/>
        <w:szCs w:val="16"/>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3F51BA9"/>
    <w:multiLevelType w:val="hybridMultilevel"/>
    <w:tmpl w:val="7D0A6FB4"/>
    <w:lvl w:ilvl="0" w:tplc="5BE84A3E">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5A02D4A"/>
    <w:multiLevelType w:val="hybridMultilevel"/>
    <w:tmpl w:val="0A08390C"/>
    <w:lvl w:ilvl="0" w:tplc="EA845086">
      <w:start w:val="1"/>
      <w:numFmt w:val="decimal"/>
      <w:lvlText w:val="%1."/>
      <w:lvlJc w:val="left"/>
      <w:pPr>
        <w:ind w:left="72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A0F3965"/>
    <w:multiLevelType w:val="hybridMultilevel"/>
    <w:tmpl w:val="BD585F14"/>
    <w:lvl w:ilvl="0" w:tplc="B56C7C08">
      <w:start w:val="1"/>
      <w:numFmt w:val="lowerRoman"/>
      <w:lvlText w:val="%1)"/>
      <w:lvlJc w:val="left"/>
      <w:pPr>
        <w:ind w:left="1428" w:hanging="720"/>
      </w:pPr>
      <w:rPr>
        <w:rFonts w:hint="default"/>
        <w:color w:val="auto"/>
        <w:sz w:val="18"/>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6" w15:restartNumberingAfterBreak="0">
    <w:nsid w:val="2ACF7AEB"/>
    <w:multiLevelType w:val="hybridMultilevel"/>
    <w:tmpl w:val="5A609CE6"/>
    <w:lvl w:ilvl="0" w:tplc="001CB2F8">
      <w:start w:val="1"/>
      <w:numFmt w:val="upp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7" w15:restartNumberingAfterBreak="0">
    <w:nsid w:val="2C5271BB"/>
    <w:multiLevelType w:val="hybridMultilevel"/>
    <w:tmpl w:val="7D0A6FB4"/>
    <w:lvl w:ilvl="0" w:tplc="5BE84A3E">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3563270"/>
    <w:multiLevelType w:val="hybridMultilevel"/>
    <w:tmpl w:val="62D4BF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B60079E"/>
    <w:multiLevelType w:val="hybridMultilevel"/>
    <w:tmpl w:val="C13EF750"/>
    <w:lvl w:ilvl="0" w:tplc="05D4D060">
      <w:start w:val="1"/>
      <w:numFmt w:val="decimal"/>
      <w:lvlText w:val="%1."/>
      <w:lvlJc w:val="left"/>
      <w:pPr>
        <w:tabs>
          <w:tab w:val="num" w:pos="1152"/>
        </w:tabs>
        <w:ind w:left="360" w:firstLine="0"/>
      </w:pPr>
      <w:rPr>
        <w:rFonts w:ascii="Verdana" w:hAnsi="Verdana" w:hint="default"/>
        <w:b w:val="0"/>
        <w:strike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B660A6C"/>
    <w:multiLevelType w:val="hybridMultilevel"/>
    <w:tmpl w:val="7D0A6FB4"/>
    <w:lvl w:ilvl="0" w:tplc="5BE84A3E">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3C414D38"/>
    <w:multiLevelType w:val="hybridMultilevel"/>
    <w:tmpl w:val="A796A580"/>
    <w:lvl w:ilvl="0" w:tplc="5BE84A3E">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3CDF6568"/>
    <w:multiLevelType w:val="hybridMultilevel"/>
    <w:tmpl w:val="269E086C"/>
    <w:lvl w:ilvl="0" w:tplc="E1D077FC">
      <w:start w:val="145"/>
      <w:numFmt w:val="decimal"/>
      <w:lvlText w:val="%1."/>
      <w:lvlJc w:val="left"/>
      <w:pPr>
        <w:ind w:left="4046" w:hanging="360"/>
      </w:pPr>
      <w:rPr>
        <w:rFonts w:ascii="Verdana" w:hAnsi="Verdana" w:hint="default"/>
        <w:b w:val="0"/>
        <w:i w:val="0"/>
        <w:strike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3E807DA2"/>
    <w:multiLevelType w:val="hybridMultilevel"/>
    <w:tmpl w:val="5E426ED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40DA2D9B"/>
    <w:multiLevelType w:val="hybridMultilevel"/>
    <w:tmpl w:val="22BCDA36"/>
    <w:lvl w:ilvl="0" w:tplc="FFCCD182">
      <w:start w:val="1"/>
      <w:numFmt w:val="decimal"/>
      <w:lvlText w:val="%1."/>
      <w:lvlJc w:val="left"/>
      <w:pPr>
        <w:ind w:left="360" w:hanging="360"/>
      </w:pPr>
      <w:rPr>
        <w:rFonts w:ascii="Verdana" w:hAnsi="Verdana" w:hint="default"/>
        <w:b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3CC314F"/>
    <w:multiLevelType w:val="hybridMultilevel"/>
    <w:tmpl w:val="3A74ECB6"/>
    <w:lvl w:ilvl="0" w:tplc="17706D5A">
      <w:start w:val="2"/>
      <w:numFmt w:val="decimal"/>
      <w:lvlText w:val="%1."/>
      <w:lvlJc w:val="left"/>
      <w:pPr>
        <w:tabs>
          <w:tab w:val="num" w:pos="1152"/>
        </w:tabs>
        <w:ind w:left="360" w:firstLine="0"/>
      </w:pPr>
      <w:rPr>
        <w:rFonts w:ascii="Verdana" w:hAnsi="Verdana"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095AF3"/>
    <w:multiLevelType w:val="hybridMultilevel"/>
    <w:tmpl w:val="76BC723E"/>
    <w:lvl w:ilvl="0" w:tplc="A6744BC6">
      <w:start w:val="1"/>
      <w:numFmt w:val="lowerLetter"/>
      <w:lvlText w:val="%1)"/>
      <w:lvlJc w:val="left"/>
      <w:pPr>
        <w:ind w:left="720" w:hanging="360"/>
      </w:pPr>
      <w:rPr>
        <w:rFonts w:cstheme="minorBidi"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48216DC7"/>
    <w:multiLevelType w:val="hybridMultilevel"/>
    <w:tmpl w:val="4692D27A"/>
    <w:lvl w:ilvl="0" w:tplc="3C0E511E">
      <w:start w:val="1"/>
      <w:numFmt w:val="decimal"/>
      <w:lvlText w:val="%1."/>
      <w:lvlJc w:val="left"/>
      <w:pPr>
        <w:ind w:left="1287" w:hanging="360"/>
      </w:pPr>
      <w:rPr>
        <w:b w:val="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8" w15:restartNumberingAfterBreak="0">
    <w:nsid w:val="49032D73"/>
    <w:multiLevelType w:val="hybridMultilevel"/>
    <w:tmpl w:val="4802050C"/>
    <w:lvl w:ilvl="0" w:tplc="A210B9AA">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9" w15:restartNumberingAfterBreak="0">
    <w:nsid w:val="56F24C92"/>
    <w:multiLevelType w:val="hybridMultilevel"/>
    <w:tmpl w:val="A9A22644"/>
    <w:lvl w:ilvl="0" w:tplc="3B58F8B4">
      <w:start w:val="1"/>
      <w:numFmt w:val="lowerRoman"/>
      <w:lvlText w:val="%1)"/>
      <w:lvlJc w:val="left"/>
      <w:pPr>
        <w:ind w:left="1440" w:hanging="72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0" w15:restartNumberingAfterBreak="0">
    <w:nsid w:val="575B0E41"/>
    <w:multiLevelType w:val="hybridMultilevel"/>
    <w:tmpl w:val="7D0A6FB4"/>
    <w:lvl w:ilvl="0" w:tplc="5BE84A3E">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5ED900D8"/>
    <w:multiLevelType w:val="hybridMultilevel"/>
    <w:tmpl w:val="A126E176"/>
    <w:lvl w:ilvl="0" w:tplc="F992F39C">
      <w:start w:val="1"/>
      <w:numFmt w:val="decimal"/>
      <w:lvlText w:val="%1."/>
      <w:lvlJc w:val="left"/>
      <w:pPr>
        <w:ind w:left="450" w:hanging="360"/>
      </w:pPr>
      <w:rPr>
        <w:rFonts w:hint="default"/>
        <w:b w:val="0"/>
        <w:strike w:val="0"/>
        <w:color w:val="auto"/>
        <w:sz w:val="20"/>
        <w:szCs w:val="20"/>
      </w:rPr>
    </w:lvl>
    <w:lvl w:ilvl="1" w:tplc="140A0019">
      <w:start w:val="1"/>
      <w:numFmt w:val="lowerLetter"/>
      <w:lvlText w:val="%2."/>
      <w:lvlJc w:val="left"/>
      <w:pPr>
        <w:ind w:left="108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5F34172C"/>
    <w:multiLevelType w:val="hybridMultilevel"/>
    <w:tmpl w:val="B39CEB9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1A956B6"/>
    <w:multiLevelType w:val="hybridMultilevel"/>
    <w:tmpl w:val="A68846EA"/>
    <w:lvl w:ilvl="0" w:tplc="71F64FA2">
      <w:start w:val="1"/>
      <w:numFmt w:val="decimal"/>
      <w:lvlText w:val="%1."/>
      <w:lvlJc w:val="left"/>
      <w:pPr>
        <w:ind w:left="720" w:hanging="360"/>
      </w:pPr>
      <w:rPr>
        <w:rFonts w:hint="default"/>
        <w:b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656804ED"/>
    <w:multiLevelType w:val="hybridMultilevel"/>
    <w:tmpl w:val="3AB0C99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5C863E2"/>
    <w:multiLevelType w:val="hybridMultilevel"/>
    <w:tmpl w:val="4FE0C286"/>
    <w:lvl w:ilvl="0" w:tplc="2228D268">
      <w:start w:val="2"/>
      <w:numFmt w:val="decimal"/>
      <w:lvlText w:val="%1."/>
      <w:lvlJc w:val="left"/>
      <w:pPr>
        <w:tabs>
          <w:tab w:val="num" w:pos="792"/>
        </w:tabs>
        <w:ind w:left="0" w:firstLine="0"/>
      </w:pPr>
      <w:rPr>
        <w:rFonts w:ascii="Verdana" w:hAnsi="Verdana" w:hint="default"/>
        <w:b w:val="0"/>
        <w:strike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8B70D0"/>
    <w:multiLevelType w:val="hybridMultilevel"/>
    <w:tmpl w:val="ABC415C4"/>
    <w:lvl w:ilvl="0" w:tplc="140A0017">
      <w:start w:val="1"/>
      <w:numFmt w:val="lowerLetter"/>
      <w:lvlText w:val="%1)"/>
      <w:lvlJc w:val="left"/>
      <w:pPr>
        <w:ind w:left="720" w:hanging="360"/>
      </w:pPr>
      <w:rPr>
        <w:rFonts w:hint="default"/>
        <w:b w:val="0"/>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6DA11262"/>
    <w:multiLevelType w:val="hybridMultilevel"/>
    <w:tmpl w:val="BF583CE4"/>
    <w:lvl w:ilvl="0" w:tplc="570AA9B8">
      <w:start w:val="1"/>
      <w:numFmt w:val="decimal"/>
      <w:lvlText w:val="%1."/>
      <w:lvlJc w:val="left"/>
      <w:pPr>
        <w:ind w:left="540" w:hanging="360"/>
      </w:pPr>
      <w:rPr>
        <w:b w:val="0"/>
        <w:i w:val="0"/>
        <w:strike w:val="0"/>
        <w:sz w:val="20"/>
        <w:lang w:val="es-CR"/>
      </w:rPr>
    </w:lvl>
    <w:lvl w:ilvl="1" w:tplc="140A0017">
      <w:start w:val="1"/>
      <w:numFmt w:val="lowerLetter"/>
      <w:lvlText w:val="%2)"/>
      <w:lvlJc w:val="left"/>
      <w:pPr>
        <w:ind w:left="1080" w:hanging="360"/>
      </w:pPr>
      <w:rPr>
        <w:b w:val="0"/>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6E9B74FD"/>
    <w:multiLevelType w:val="hybridMultilevel"/>
    <w:tmpl w:val="DAD6D4BE"/>
    <w:lvl w:ilvl="0" w:tplc="9C82B7C6">
      <w:start w:val="1"/>
      <w:numFmt w:val="lowerRoman"/>
      <w:lvlText w:val="%1)"/>
      <w:lvlJc w:val="left"/>
      <w:pPr>
        <w:ind w:left="1440" w:hanging="720"/>
      </w:pPr>
      <w:rPr>
        <w:rFonts w:cstheme="minorBidi"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15:restartNumberingAfterBreak="0">
    <w:nsid w:val="7C121A9D"/>
    <w:multiLevelType w:val="hybridMultilevel"/>
    <w:tmpl w:val="22BCDA36"/>
    <w:lvl w:ilvl="0" w:tplc="FFCCD182">
      <w:start w:val="1"/>
      <w:numFmt w:val="decimal"/>
      <w:lvlText w:val="%1."/>
      <w:lvlJc w:val="left"/>
      <w:pPr>
        <w:ind w:left="360" w:hanging="360"/>
      </w:pPr>
      <w:rPr>
        <w:rFonts w:ascii="Verdana" w:hAnsi="Verdana" w:hint="default"/>
        <w:b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7D2D73A7"/>
    <w:multiLevelType w:val="hybridMultilevel"/>
    <w:tmpl w:val="AD0E994A"/>
    <w:lvl w:ilvl="0" w:tplc="15CC9FEA">
      <w:start w:val="1"/>
      <w:numFmt w:val="decimal"/>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15:restartNumberingAfterBreak="0">
    <w:nsid w:val="7E7948C6"/>
    <w:multiLevelType w:val="hybridMultilevel"/>
    <w:tmpl w:val="2C24C076"/>
    <w:lvl w:ilvl="0" w:tplc="26F632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332076"/>
    <w:multiLevelType w:val="hybridMultilevel"/>
    <w:tmpl w:val="AD0C1AE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4"/>
  </w:num>
  <w:num w:numId="3">
    <w:abstractNumId w:val="2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6"/>
  </w:num>
  <w:num w:numId="7">
    <w:abstractNumId w:val="33"/>
  </w:num>
  <w:num w:numId="8">
    <w:abstractNumId w:val="23"/>
  </w:num>
  <w:num w:numId="9">
    <w:abstractNumId w:val="37"/>
  </w:num>
  <w:num w:numId="10">
    <w:abstractNumId w:val="30"/>
  </w:num>
  <w:num w:numId="11">
    <w:abstractNumId w:val="7"/>
  </w:num>
  <w:num w:numId="12">
    <w:abstractNumId w:val="32"/>
  </w:num>
  <w:num w:numId="13">
    <w:abstractNumId w:val="29"/>
  </w:num>
  <w:num w:numId="14">
    <w:abstractNumId w:val="13"/>
  </w:num>
  <w:num w:numId="15">
    <w:abstractNumId w:val="10"/>
  </w:num>
  <w:num w:numId="16">
    <w:abstractNumId w:val="28"/>
  </w:num>
  <w:num w:numId="17">
    <w:abstractNumId w:val="42"/>
  </w:num>
  <w:num w:numId="18">
    <w:abstractNumId w:val="12"/>
  </w:num>
  <w:num w:numId="19">
    <w:abstractNumId w:val="34"/>
  </w:num>
  <w:num w:numId="20">
    <w:abstractNumId w:val="40"/>
  </w:num>
  <w:num w:numId="21">
    <w:abstractNumId w:val="17"/>
  </w:num>
  <w:num w:numId="22">
    <w:abstractNumId w:val="22"/>
  </w:num>
  <w:num w:numId="23">
    <w:abstractNumId w:val="20"/>
  </w:num>
  <w:num w:numId="24">
    <w:abstractNumId w:val="16"/>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9"/>
  </w:num>
  <w:num w:numId="28">
    <w:abstractNumId w:val="5"/>
  </w:num>
  <w:num w:numId="29">
    <w:abstractNumId w:val="38"/>
  </w:num>
  <w:num w:numId="30">
    <w:abstractNumId w:val="25"/>
  </w:num>
  <w:num w:numId="31">
    <w:abstractNumId w:val="18"/>
  </w:num>
  <w:num w:numId="32">
    <w:abstractNumId w:val="31"/>
  </w:num>
  <w:num w:numId="33">
    <w:abstractNumId w:val="8"/>
  </w:num>
  <w:num w:numId="34">
    <w:abstractNumId w:val="19"/>
  </w:num>
  <w:num w:numId="35">
    <w:abstractNumId w:val="39"/>
  </w:num>
  <w:num w:numId="36">
    <w:abstractNumId w:val="24"/>
  </w:num>
  <w:num w:numId="37">
    <w:abstractNumId w:val="15"/>
  </w:num>
  <w:num w:numId="38">
    <w:abstractNumId w:val="41"/>
  </w:num>
  <w:num w:numId="39">
    <w:abstractNumId w:val="4"/>
  </w:num>
  <w:num w:numId="40">
    <w:abstractNumId w:val="11"/>
  </w:num>
  <w:num w:numId="41">
    <w:abstractNumId w:val="3"/>
  </w:num>
  <w:num w:numId="42">
    <w:abstractNumId w:val="6"/>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009"/>
    <w:rsid w:val="00005BAF"/>
    <w:rsid w:val="000061DB"/>
    <w:rsid w:val="00013ACA"/>
    <w:rsid w:val="00013F2E"/>
    <w:rsid w:val="00015E6E"/>
    <w:rsid w:val="00020DC1"/>
    <w:rsid w:val="00021F19"/>
    <w:rsid w:val="000269B0"/>
    <w:rsid w:val="000319EA"/>
    <w:rsid w:val="000325F9"/>
    <w:rsid w:val="00032D30"/>
    <w:rsid w:val="0003311C"/>
    <w:rsid w:val="000346A0"/>
    <w:rsid w:val="0003524D"/>
    <w:rsid w:val="00037D0E"/>
    <w:rsid w:val="0004191D"/>
    <w:rsid w:val="00041A1B"/>
    <w:rsid w:val="00042376"/>
    <w:rsid w:val="00042BD1"/>
    <w:rsid w:val="00043806"/>
    <w:rsid w:val="0004463F"/>
    <w:rsid w:val="00044ADD"/>
    <w:rsid w:val="00044D51"/>
    <w:rsid w:val="000467DB"/>
    <w:rsid w:val="00052635"/>
    <w:rsid w:val="00054A87"/>
    <w:rsid w:val="00057A35"/>
    <w:rsid w:val="00061E54"/>
    <w:rsid w:val="0006208B"/>
    <w:rsid w:val="000629D1"/>
    <w:rsid w:val="00064925"/>
    <w:rsid w:val="00065F41"/>
    <w:rsid w:val="000661BA"/>
    <w:rsid w:val="00070BD0"/>
    <w:rsid w:val="00070E6F"/>
    <w:rsid w:val="00071080"/>
    <w:rsid w:val="0007156A"/>
    <w:rsid w:val="0007302A"/>
    <w:rsid w:val="0008378B"/>
    <w:rsid w:val="000840CA"/>
    <w:rsid w:val="000856EC"/>
    <w:rsid w:val="0009061B"/>
    <w:rsid w:val="00090FD3"/>
    <w:rsid w:val="00093CE4"/>
    <w:rsid w:val="00094031"/>
    <w:rsid w:val="00094FA6"/>
    <w:rsid w:val="00096572"/>
    <w:rsid w:val="000A0EFD"/>
    <w:rsid w:val="000A108E"/>
    <w:rsid w:val="000A1BA0"/>
    <w:rsid w:val="000A27A1"/>
    <w:rsid w:val="000A3C09"/>
    <w:rsid w:val="000A4710"/>
    <w:rsid w:val="000A60EA"/>
    <w:rsid w:val="000B1220"/>
    <w:rsid w:val="000B2B74"/>
    <w:rsid w:val="000C01D8"/>
    <w:rsid w:val="000C01E4"/>
    <w:rsid w:val="000C1DAD"/>
    <w:rsid w:val="000C59CC"/>
    <w:rsid w:val="000D32F9"/>
    <w:rsid w:val="000D5B5D"/>
    <w:rsid w:val="000D6BBF"/>
    <w:rsid w:val="000D6C52"/>
    <w:rsid w:val="000E1623"/>
    <w:rsid w:val="000E1978"/>
    <w:rsid w:val="000E33B1"/>
    <w:rsid w:val="000E3922"/>
    <w:rsid w:val="000E430F"/>
    <w:rsid w:val="000F00F1"/>
    <w:rsid w:val="000F0658"/>
    <w:rsid w:val="000F0A89"/>
    <w:rsid w:val="000F2BAB"/>
    <w:rsid w:val="001035E0"/>
    <w:rsid w:val="00103650"/>
    <w:rsid w:val="00103C4D"/>
    <w:rsid w:val="00104F5E"/>
    <w:rsid w:val="00111905"/>
    <w:rsid w:val="001124A6"/>
    <w:rsid w:val="001223DA"/>
    <w:rsid w:val="00122E9B"/>
    <w:rsid w:val="00127E0E"/>
    <w:rsid w:val="00131D16"/>
    <w:rsid w:val="00135E9E"/>
    <w:rsid w:val="001366E9"/>
    <w:rsid w:val="00137DBC"/>
    <w:rsid w:val="00142B6F"/>
    <w:rsid w:val="0014437F"/>
    <w:rsid w:val="00145495"/>
    <w:rsid w:val="0014641E"/>
    <w:rsid w:val="00151FC9"/>
    <w:rsid w:val="00152337"/>
    <w:rsid w:val="00154F00"/>
    <w:rsid w:val="00155FD1"/>
    <w:rsid w:val="0016041B"/>
    <w:rsid w:val="001624CF"/>
    <w:rsid w:val="001635B3"/>
    <w:rsid w:val="00165563"/>
    <w:rsid w:val="00167A0E"/>
    <w:rsid w:val="00167B7E"/>
    <w:rsid w:val="00170B22"/>
    <w:rsid w:val="00172596"/>
    <w:rsid w:val="00173DEC"/>
    <w:rsid w:val="001745CC"/>
    <w:rsid w:val="00175AAD"/>
    <w:rsid w:val="00175CE1"/>
    <w:rsid w:val="001774E7"/>
    <w:rsid w:val="00185891"/>
    <w:rsid w:val="00186D8B"/>
    <w:rsid w:val="00187029"/>
    <w:rsid w:val="00194D84"/>
    <w:rsid w:val="00194E2A"/>
    <w:rsid w:val="0019593B"/>
    <w:rsid w:val="00195DB8"/>
    <w:rsid w:val="001970DD"/>
    <w:rsid w:val="001A1C2E"/>
    <w:rsid w:val="001A7E48"/>
    <w:rsid w:val="001B094D"/>
    <w:rsid w:val="001B2979"/>
    <w:rsid w:val="001B3BED"/>
    <w:rsid w:val="001B73BE"/>
    <w:rsid w:val="001C246B"/>
    <w:rsid w:val="001C55AE"/>
    <w:rsid w:val="001D29E4"/>
    <w:rsid w:val="001D4B93"/>
    <w:rsid w:val="001E0A05"/>
    <w:rsid w:val="001E524E"/>
    <w:rsid w:val="001E5A00"/>
    <w:rsid w:val="001F00F7"/>
    <w:rsid w:val="001F1250"/>
    <w:rsid w:val="001F2122"/>
    <w:rsid w:val="001F2536"/>
    <w:rsid w:val="001F354A"/>
    <w:rsid w:val="001F5123"/>
    <w:rsid w:val="001F717D"/>
    <w:rsid w:val="00201871"/>
    <w:rsid w:val="00201D77"/>
    <w:rsid w:val="002027C9"/>
    <w:rsid w:val="002053AC"/>
    <w:rsid w:val="00205D55"/>
    <w:rsid w:val="002104DD"/>
    <w:rsid w:val="00210705"/>
    <w:rsid w:val="00210980"/>
    <w:rsid w:val="0021289C"/>
    <w:rsid w:val="0021544E"/>
    <w:rsid w:val="00217886"/>
    <w:rsid w:val="00220618"/>
    <w:rsid w:val="002217B5"/>
    <w:rsid w:val="00230A63"/>
    <w:rsid w:val="00230F2B"/>
    <w:rsid w:val="00231062"/>
    <w:rsid w:val="00231C16"/>
    <w:rsid w:val="00231E0D"/>
    <w:rsid w:val="002345C9"/>
    <w:rsid w:val="00237304"/>
    <w:rsid w:val="002410F0"/>
    <w:rsid w:val="0024176E"/>
    <w:rsid w:val="00253D0C"/>
    <w:rsid w:val="00254087"/>
    <w:rsid w:val="002540BF"/>
    <w:rsid w:val="00254C32"/>
    <w:rsid w:val="00255EB6"/>
    <w:rsid w:val="00256361"/>
    <w:rsid w:val="00257D2F"/>
    <w:rsid w:val="002606D4"/>
    <w:rsid w:val="002617CF"/>
    <w:rsid w:val="002620F0"/>
    <w:rsid w:val="00263246"/>
    <w:rsid w:val="002633AB"/>
    <w:rsid w:val="00271549"/>
    <w:rsid w:val="0027726E"/>
    <w:rsid w:val="002773A2"/>
    <w:rsid w:val="002824A9"/>
    <w:rsid w:val="002828D5"/>
    <w:rsid w:val="00282F49"/>
    <w:rsid w:val="00283261"/>
    <w:rsid w:val="00286495"/>
    <w:rsid w:val="00286AE8"/>
    <w:rsid w:val="002876CF"/>
    <w:rsid w:val="00290A7D"/>
    <w:rsid w:val="002935B2"/>
    <w:rsid w:val="00295812"/>
    <w:rsid w:val="0029790C"/>
    <w:rsid w:val="002A0437"/>
    <w:rsid w:val="002A220F"/>
    <w:rsid w:val="002A4541"/>
    <w:rsid w:val="002A48DA"/>
    <w:rsid w:val="002A7F8B"/>
    <w:rsid w:val="002B0F31"/>
    <w:rsid w:val="002B19B1"/>
    <w:rsid w:val="002B1E8B"/>
    <w:rsid w:val="002B310F"/>
    <w:rsid w:val="002B3579"/>
    <w:rsid w:val="002B58D7"/>
    <w:rsid w:val="002B7F3A"/>
    <w:rsid w:val="002B7F94"/>
    <w:rsid w:val="002C0848"/>
    <w:rsid w:val="002C2744"/>
    <w:rsid w:val="002C2816"/>
    <w:rsid w:val="002C3120"/>
    <w:rsid w:val="002C51E5"/>
    <w:rsid w:val="002D4A02"/>
    <w:rsid w:val="002E0187"/>
    <w:rsid w:val="002E203A"/>
    <w:rsid w:val="002F32D3"/>
    <w:rsid w:val="002F4DD1"/>
    <w:rsid w:val="002F6186"/>
    <w:rsid w:val="0030331B"/>
    <w:rsid w:val="00303995"/>
    <w:rsid w:val="003039CF"/>
    <w:rsid w:val="003114A5"/>
    <w:rsid w:val="00311B82"/>
    <w:rsid w:val="00311F46"/>
    <w:rsid w:val="00312C9A"/>
    <w:rsid w:val="00314672"/>
    <w:rsid w:val="00316C46"/>
    <w:rsid w:val="0031765E"/>
    <w:rsid w:val="003176F2"/>
    <w:rsid w:val="00317B3C"/>
    <w:rsid w:val="003217AA"/>
    <w:rsid w:val="00322B33"/>
    <w:rsid w:val="003237F3"/>
    <w:rsid w:val="00331A2E"/>
    <w:rsid w:val="0033284C"/>
    <w:rsid w:val="00333AF6"/>
    <w:rsid w:val="0033752E"/>
    <w:rsid w:val="00337FB1"/>
    <w:rsid w:val="00340569"/>
    <w:rsid w:val="00340E64"/>
    <w:rsid w:val="003436C3"/>
    <w:rsid w:val="003445A1"/>
    <w:rsid w:val="00347759"/>
    <w:rsid w:val="00352F86"/>
    <w:rsid w:val="0035477C"/>
    <w:rsid w:val="00354EAA"/>
    <w:rsid w:val="00355223"/>
    <w:rsid w:val="003578EC"/>
    <w:rsid w:val="00360CCA"/>
    <w:rsid w:val="00361568"/>
    <w:rsid w:val="00362C97"/>
    <w:rsid w:val="00366FBF"/>
    <w:rsid w:val="00370ED4"/>
    <w:rsid w:val="00373854"/>
    <w:rsid w:val="00373F78"/>
    <w:rsid w:val="00381E3C"/>
    <w:rsid w:val="00383738"/>
    <w:rsid w:val="003846DF"/>
    <w:rsid w:val="003863F7"/>
    <w:rsid w:val="00386BD0"/>
    <w:rsid w:val="0039109B"/>
    <w:rsid w:val="003912C6"/>
    <w:rsid w:val="0039265E"/>
    <w:rsid w:val="00392F4C"/>
    <w:rsid w:val="003931DE"/>
    <w:rsid w:val="00393FB8"/>
    <w:rsid w:val="0039747A"/>
    <w:rsid w:val="003977B4"/>
    <w:rsid w:val="003A1279"/>
    <w:rsid w:val="003A1BCA"/>
    <w:rsid w:val="003A2244"/>
    <w:rsid w:val="003A2613"/>
    <w:rsid w:val="003A2998"/>
    <w:rsid w:val="003A422F"/>
    <w:rsid w:val="003A4399"/>
    <w:rsid w:val="003B05D1"/>
    <w:rsid w:val="003B429A"/>
    <w:rsid w:val="003B4E91"/>
    <w:rsid w:val="003B541E"/>
    <w:rsid w:val="003B565E"/>
    <w:rsid w:val="003B5CCC"/>
    <w:rsid w:val="003B738F"/>
    <w:rsid w:val="003C0203"/>
    <w:rsid w:val="003C0E4B"/>
    <w:rsid w:val="003C10DF"/>
    <w:rsid w:val="003C1F92"/>
    <w:rsid w:val="003C2148"/>
    <w:rsid w:val="003C2C06"/>
    <w:rsid w:val="003C3236"/>
    <w:rsid w:val="003C39AF"/>
    <w:rsid w:val="003C40FC"/>
    <w:rsid w:val="003C7820"/>
    <w:rsid w:val="003C7DC6"/>
    <w:rsid w:val="003D1286"/>
    <w:rsid w:val="003D297A"/>
    <w:rsid w:val="003D5244"/>
    <w:rsid w:val="003D734F"/>
    <w:rsid w:val="003E19D8"/>
    <w:rsid w:val="003E2BC6"/>
    <w:rsid w:val="003E5B98"/>
    <w:rsid w:val="003E6B0B"/>
    <w:rsid w:val="003E7866"/>
    <w:rsid w:val="003F0E79"/>
    <w:rsid w:val="003F64DE"/>
    <w:rsid w:val="0040191C"/>
    <w:rsid w:val="0040274D"/>
    <w:rsid w:val="00402D4A"/>
    <w:rsid w:val="004059E2"/>
    <w:rsid w:val="00405CD6"/>
    <w:rsid w:val="00407E47"/>
    <w:rsid w:val="004109B0"/>
    <w:rsid w:val="004145B7"/>
    <w:rsid w:val="00421E21"/>
    <w:rsid w:val="0042207E"/>
    <w:rsid w:val="00436B02"/>
    <w:rsid w:val="00440594"/>
    <w:rsid w:val="004418A2"/>
    <w:rsid w:val="00450D97"/>
    <w:rsid w:val="00451801"/>
    <w:rsid w:val="00454454"/>
    <w:rsid w:val="004566A4"/>
    <w:rsid w:val="00462A26"/>
    <w:rsid w:val="00463E12"/>
    <w:rsid w:val="004654F6"/>
    <w:rsid w:val="004663D6"/>
    <w:rsid w:val="00467612"/>
    <w:rsid w:val="00471E76"/>
    <w:rsid w:val="004728A5"/>
    <w:rsid w:val="004733DA"/>
    <w:rsid w:val="00473671"/>
    <w:rsid w:val="00480625"/>
    <w:rsid w:val="00490353"/>
    <w:rsid w:val="0049104B"/>
    <w:rsid w:val="00495496"/>
    <w:rsid w:val="004A083A"/>
    <w:rsid w:val="004A0B78"/>
    <w:rsid w:val="004A11E5"/>
    <w:rsid w:val="004A1799"/>
    <w:rsid w:val="004A25AF"/>
    <w:rsid w:val="004A2F48"/>
    <w:rsid w:val="004A3544"/>
    <w:rsid w:val="004A4ED7"/>
    <w:rsid w:val="004A511A"/>
    <w:rsid w:val="004A5962"/>
    <w:rsid w:val="004A5C15"/>
    <w:rsid w:val="004A61A1"/>
    <w:rsid w:val="004B3D31"/>
    <w:rsid w:val="004B6979"/>
    <w:rsid w:val="004B7EA4"/>
    <w:rsid w:val="004C5A4F"/>
    <w:rsid w:val="004C6835"/>
    <w:rsid w:val="004D1316"/>
    <w:rsid w:val="004E00C6"/>
    <w:rsid w:val="004E2C33"/>
    <w:rsid w:val="004E33BC"/>
    <w:rsid w:val="004E5A7E"/>
    <w:rsid w:val="004F05F0"/>
    <w:rsid w:val="004F26CC"/>
    <w:rsid w:val="004F3B3E"/>
    <w:rsid w:val="004F506F"/>
    <w:rsid w:val="004F64E0"/>
    <w:rsid w:val="004F65B7"/>
    <w:rsid w:val="004F6D7E"/>
    <w:rsid w:val="005013B4"/>
    <w:rsid w:val="00501E2C"/>
    <w:rsid w:val="005024E7"/>
    <w:rsid w:val="00505D74"/>
    <w:rsid w:val="0050613D"/>
    <w:rsid w:val="00506EF3"/>
    <w:rsid w:val="0050745F"/>
    <w:rsid w:val="0051602D"/>
    <w:rsid w:val="00516BE1"/>
    <w:rsid w:val="00520BC3"/>
    <w:rsid w:val="00520F28"/>
    <w:rsid w:val="0052105A"/>
    <w:rsid w:val="00523C4C"/>
    <w:rsid w:val="00526B2D"/>
    <w:rsid w:val="00531951"/>
    <w:rsid w:val="00531F03"/>
    <w:rsid w:val="00532997"/>
    <w:rsid w:val="00545810"/>
    <w:rsid w:val="005469BA"/>
    <w:rsid w:val="0054748F"/>
    <w:rsid w:val="0055152D"/>
    <w:rsid w:val="00553960"/>
    <w:rsid w:val="005556AC"/>
    <w:rsid w:val="005566AD"/>
    <w:rsid w:val="00556997"/>
    <w:rsid w:val="00556A08"/>
    <w:rsid w:val="005577D6"/>
    <w:rsid w:val="0057091E"/>
    <w:rsid w:val="00575367"/>
    <w:rsid w:val="0058304D"/>
    <w:rsid w:val="005859B6"/>
    <w:rsid w:val="00587198"/>
    <w:rsid w:val="005871AC"/>
    <w:rsid w:val="00587AD2"/>
    <w:rsid w:val="00594F70"/>
    <w:rsid w:val="0059757F"/>
    <w:rsid w:val="005A1D73"/>
    <w:rsid w:val="005A47BD"/>
    <w:rsid w:val="005A5284"/>
    <w:rsid w:val="005A55EB"/>
    <w:rsid w:val="005B02FC"/>
    <w:rsid w:val="005B4879"/>
    <w:rsid w:val="005C1C93"/>
    <w:rsid w:val="005C62A7"/>
    <w:rsid w:val="005C6D5F"/>
    <w:rsid w:val="005C6E55"/>
    <w:rsid w:val="005D0566"/>
    <w:rsid w:val="005D0CD2"/>
    <w:rsid w:val="005D198B"/>
    <w:rsid w:val="005D1A9E"/>
    <w:rsid w:val="005D1B6E"/>
    <w:rsid w:val="005D5155"/>
    <w:rsid w:val="005D64F5"/>
    <w:rsid w:val="005D6AC8"/>
    <w:rsid w:val="005E104A"/>
    <w:rsid w:val="005E2950"/>
    <w:rsid w:val="005E55AE"/>
    <w:rsid w:val="005F37F1"/>
    <w:rsid w:val="005F51B9"/>
    <w:rsid w:val="005F55CF"/>
    <w:rsid w:val="005F5E55"/>
    <w:rsid w:val="005F72DE"/>
    <w:rsid w:val="00602CFA"/>
    <w:rsid w:val="00602EF3"/>
    <w:rsid w:val="00604107"/>
    <w:rsid w:val="00604DCB"/>
    <w:rsid w:val="00605A99"/>
    <w:rsid w:val="006063CE"/>
    <w:rsid w:val="0061044B"/>
    <w:rsid w:val="00610543"/>
    <w:rsid w:val="006127D7"/>
    <w:rsid w:val="0061365C"/>
    <w:rsid w:val="00614356"/>
    <w:rsid w:val="00624B53"/>
    <w:rsid w:val="00626378"/>
    <w:rsid w:val="0063653D"/>
    <w:rsid w:val="00640131"/>
    <w:rsid w:val="00643E1C"/>
    <w:rsid w:val="00651A8C"/>
    <w:rsid w:val="00660BAD"/>
    <w:rsid w:val="00660CD4"/>
    <w:rsid w:val="006632F6"/>
    <w:rsid w:val="00667822"/>
    <w:rsid w:val="00672774"/>
    <w:rsid w:val="006749EC"/>
    <w:rsid w:val="006753A3"/>
    <w:rsid w:val="00676CF1"/>
    <w:rsid w:val="0067711C"/>
    <w:rsid w:val="00677465"/>
    <w:rsid w:val="00677BB3"/>
    <w:rsid w:val="00677FCC"/>
    <w:rsid w:val="00680490"/>
    <w:rsid w:val="00680984"/>
    <w:rsid w:val="00681DE2"/>
    <w:rsid w:val="00681EDC"/>
    <w:rsid w:val="00683A1B"/>
    <w:rsid w:val="00691164"/>
    <w:rsid w:val="00692689"/>
    <w:rsid w:val="00692C8F"/>
    <w:rsid w:val="006A003D"/>
    <w:rsid w:val="006A037E"/>
    <w:rsid w:val="006B17C2"/>
    <w:rsid w:val="006B4A4D"/>
    <w:rsid w:val="006C309A"/>
    <w:rsid w:val="006D27C7"/>
    <w:rsid w:val="006D3A74"/>
    <w:rsid w:val="006D44F8"/>
    <w:rsid w:val="006D7BC5"/>
    <w:rsid w:val="006E199E"/>
    <w:rsid w:val="006E34F3"/>
    <w:rsid w:val="006E6BAE"/>
    <w:rsid w:val="006E780A"/>
    <w:rsid w:val="006F1D2B"/>
    <w:rsid w:val="006F1F53"/>
    <w:rsid w:val="006F4108"/>
    <w:rsid w:val="006F4E43"/>
    <w:rsid w:val="00710033"/>
    <w:rsid w:val="007156BE"/>
    <w:rsid w:val="007249EC"/>
    <w:rsid w:val="0072515A"/>
    <w:rsid w:val="00727E94"/>
    <w:rsid w:val="00731254"/>
    <w:rsid w:val="00733C12"/>
    <w:rsid w:val="00740FCE"/>
    <w:rsid w:val="00741C46"/>
    <w:rsid w:val="00746EBF"/>
    <w:rsid w:val="007471FC"/>
    <w:rsid w:val="00747256"/>
    <w:rsid w:val="007505DE"/>
    <w:rsid w:val="0075248A"/>
    <w:rsid w:val="00752EBE"/>
    <w:rsid w:val="0075455B"/>
    <w:rsid w:val="00755294"/>
    <w:rsid w:val="00757436"/>
    <w:rsid w:val="007678C6"/>
    <w:rsid w:val="007722F6"/>
    <w:rsid w:val="00773D66"/>
    <w:rsid w:val="007750B1"/>
    <w:rsid w:val="007843B6"/>
    <w:rsid w:val="00784B44"/>
    <w:rsid w:val="007859ED"/>
    <w:rsid w:val="00785FE8"/>
    <w:rsid w:val="00790DE1"/>
    <w:rsid w:val="00793DC1"/>
    <w:rsid w:val="0079429C"/>
    <w:rsid w:val="00794AC2"/>
    <w:rsid w:val="00794EAE"/>
    <w:rsid w:val="00795D7E"/>
    <w:rsid w:val="00796664"/>
    <w:rsid w:val="007A287C"/>
    <w:rsid w:val="007A506F"/>
    <w:rsid w:val="007A594E"/>
    <w:rsid w:val="007A62BA"/>
    <w:rsid w:val="007A7FAB"/>
    <w:rsid w:val="007B0942"/>
    <w:rsid w:val="007B0B9C"/>
    <w:rsid w:val="007B2458"/>
    <w:rsid w:val="007B26EF"/>
    <w:rsid w:val="007C363A"/>
    <w:rsid w:val="007C4C5D"/>
    <w:rsid w:val="007C4EB8"/>
    <w:rsid w:val="007C5105"/>
    <w:rsid w:val="007C6EE5"/>
    <w:rsid w:val="007D2C59"/>
    <w:rsid w:val="007D5468"/>
    <w:rsid w:val="007E2299"/>
    <w:rsid w:val="007E2C33"/>
    <w:rsid w:val="007E2F43"/>
    <w:rsid w:val="007E3039"/>
    <w:rsid w:val="007E6F12"/>
    <w:rsid w:val="007F03FD"/>
    <w:rsid w:val="007F0724"/>
    <w:rsid w:val="007F2F19"/>
    <w:rsid w:val="007F3830"/>
    <w:rsid w:val="007F425E"/>
    <w:rsid w:val="008071BD"/>
    <w:rsid w:val="00807AEF"/>
    <w:rsid w:val="00811599"/>
    <w:rsid w:val="0081214D"/>
    <w:rsid w:val="00813471"/>
    <w:rsid w:val="008177BD"/>
    <w:rsid w:val="00820B6F"/>
    <w:rsid w:val="008212FD"/>
    <w:rsid w:val="00821ABE"/>
    <w:rsid w:val="00825CC3"/>
    <w:rsid w:val="008262CA"/>
    <w:rsid w:val="00827C99"/>
    <w:rsid w:val="00830412"/>
    <w:rsid w:val="008313C8"/>
    <w:rsid w:val="00831780"/>
    <w:rsid w:val="00834047"/>
    <w:rsid w:val="00840F5B"/>
    <w:rsid w:val="00841806"/>
    <w:rsid w:val="00841CDF"/>
    <w:rsid w:val="00842C50"/>
    <w:rsid w:val="008430A5"/>
    <w:rsid w:val="00843290"/>
    <w:rsid w:val="00850D80"/>
    <w:rsid w:val="008536A5"/>
    <w:rsid w:val="008547D2"/>
    <w:rsid w:val="00861032"/>
    <w:rsid w:val="0086518D"/>
    <w:rsid w:val="00866A66"/>
    <w:rsid w:val="008716A4"/>
    <w:rsid w:val="00874D6A"/>
    <w:rsid w:val="00876244"/>
    <w:rsid w:val="00876944"/>
    <w:rsid w:val="008823E4"/>
    <w:rsid w:val="00882E5A"/>
    <w:rsid w:val="00883310"/>
    <w:rsid w:val="008845AC"/>
    <w:rsid w:val="00886EE4"/>
    <w:rsid w:val="00887DCD"/>
    <w:rsid w:val="0089384A"/>
    <w:rsid w:val="00893EE1"/>
    <w:rsid w:val="008A2E54"/>
    <w:rsid w:val="008B0776"/>
    <w:rsid w:val="008B11EE"/>
    <w:rsid w:val="008B1629"/>
    <w:rsid w:val="008B1F7D"/>
    <w:rsid w:val="008C19CC"/>
    <w:rsid w:val="008C3389"/>
    <w:rsid w:val="008C4119"/>
    <w:rsid w:val="008C77B1"/>
    <w:rsid w:val="008D1D09"/>
    <w:rsid w:val="008D3783"/>
    <w:rsid w:val="008D390D"/>
    <w:rsid w:val="008D41DF"/>
    <w:rsid w:val="008D468D"/>
    <w:rsid w:val="008D4762"/>
    <w:rsid w:val="008D5198"/>
    <w:rsid w:val="008E10EF"/>
    <w:rsid w:val="008E4E2B"/>
    <w:rsid w:val="008E70B3"/>
    <w:rsid w:val="008F206C"/>
    <w:rsid w:val="008F380B"/>
    <w:rsid w:val="008F6868"/>
    <w:rsid w:val="00901282"/>
    <w:rsid w:val="00904C19"/>
    <w:rsid w:val="00905EF3"/>
    <w:rsid w:val="00907E8E"/>
    <w:rsid w:val="00921291"/>
    <w:rsid w:val="00924C4E"/>
    <w:rsid w:val="009253D8"/>
    <w:rsid w:val="009273F3"/>
    <w:rsid w:val="00932E5D"/>
    <w:rsid w:val="009340CB"/>
    <w:rsid w:val="009360BD"/>
    <w:rsid w:val="00941BA3"/>
    <w:rsid w:val="009423E7"/>
    <w:rsid w:val="009425D7"/>
    <w:rsid w:val="0094322B"/>
    <w:rsid w:val="00944D02"/>
    <w:rsid w:val="00951F78"/>
    <w:rsid w:val="009521C5"/>
    <w:rsid w:val="0095279A"/>
    <w:rsid w:val="00953771"/>
    <w:rsid w:val="009545D5"/>
    <w:rsid w:val="0095752F"/>
    <w:rsid w:val="00961C4B"/>
    <w:rsid w:val="00963D56"/>
    <w:rsid w:val="00964411"/>
    <w:rsid w:val="00964D79"/>
    <w:rsid w:val="0096577E"/>
    <w:rsid w:val="00972211"/>
    <w:rsid w:val="009752D4"/>
    <w:rsid w:val="009760A8"/>
    <w:rsid w:val="0098082C"/>
    <w:rsid w:val="00980F63"/>
    <w:rsid w:val="009814ED"/>
    <w:rsid w:val="00982369"/>
    <w:rsid w:val="00983954"/>
    <w:rsid w:val="00985E59"/>
    <w:rsid w:val="009927E1"/>
    <w:rsid w:val="00992DA1"/>
    <w:rsid w:val="009953F9"/>
    <w:rsid w:val="009A06D0"/>
    <w:rsid w:val="009A322B"/>
    <w:rsid w:val="009A5551"/>
    <w:rsid w:val="009A591E"/>
    <w:rsid w:val="009A75C2"/>
    <w:rsid w:val="009B590D"/>
    <w:rsid w:val="009C4C1B"/>
    <w:rsid w:val="009C52FB"/>
    <w:rsid w:val="009C7502"/>
    <w:rsid w:val="009C7A4B"/>
    <w:rsid w:val="009D5CB4"/>
    <w:rsid w:val="009D797A"/>
    <w:rsid w:val="009E07F4"/>
    <w:rsid w:val="009E2B25"/>
    <w:rsid w:val="009E39FE"/>
    <w:rsid w:val="009E3DDD"/>
    <w:rsid w:val="009E42D3"/>
    <w:rsid w:val="009E733C"/>
    <w:rsid w:val="009F051F"/>
    <w:rsid w:val="009F5914"/>
    <w:rsid w:val="00A02008"/>
    <w:rsid w:val="00A032E9"/>
    <w:rsid w:val="00A03F94"/>
    <w:rsid w:val="00A04917"/>
    <w:rsid w:val="00A07E1C"/>
    <w:rsid w:val="00A10B41"/>
    <w:rsid w:val="00A13DD2"/>
    <w:rsid w:val="00A15ABF"/>
    <w:rsid w:val="00A15C78"/>
    <w:rsid w:val="00A16365"/>
    <w:rsid w:val="00A217AE"/>
    <w:rsid w:val="00A23352"/>
    <w:rsid w:val="00A26A8E"/>
    <w:rsid w:val="00A31134"/>
    <w:rsid w:val="00A31BF9"/>
    <w:rsid w:val="00A32BC4"/>
    <w:rsid w:val="00A33B66"/>
    <w:rsid w:val="00A40080"/>
    <w:rsid w:val="00A426BC"/>
    <w:rsid w:val="00A42D99"/>
    <w:rsid w:val="00A42EA9"/>
    <w:rsid w:val="00A4428F"/>
    <w:rsid w:val="00A450EC"/>
    <w:rsid w:val="00A52248"/>
    <w:rsid w:val="00A5533B"/>
    <w:rsid w:val="00A57994"/>
    <w:rsid w:val="00A60958"/>
    <w:rsid w:val="00A61239"/>
    <w:rsid w:val="00A62300"/>
    <w:rsid w:val="00A74E5F"/>
    <w:rsid w:val="00A75F0D"/>
    <w:rsid w:val="00A7627D"/>
    <w:rsid w:val="00A76C55"/>
    <w:rsid w:val="00A76EB9"/>
    <w:rsid w:val="00A77418"/>
    <w:rsid w:val="00A806B2"/>
    <w:rsid w:val="00A80ECE"/>
    <w:rsid w:val="00A8166C"/>
    <w:rsid w:val="00A81B61"/>
    <w:rsid w:val="00A87DBE"/>
    <w:rsid w:val="00A87DD1"/>
    <w:rsid w:val="00A91273"/>
    <w:rsid w:val="00A9135D"/>
    <w:rsid w:val="00A9495E"/>
    <w:rsid w:val="00A971D6"/>
    <w:rsid w:val="00AA300A"/>
    <w:rsid w:val="00AA6FF9"/>
    <w:rsid w:val="00AA7160"/>
    <w:rsid w:val="00AA799E"/>
    <w:rsid w:val="00AB41B1"/>
    <w:rsid w:val="00AB488C"/>
    <w:rsid w:val="00AB60B5"/>
    <w:rsid w:val="00AB7F12"/>
    <w:rsid w:val="00AC2823"/>
    <w:rsid w:val="00AC4FA3"/>
    <w:rsid w:val="00AC5C17"/>
    <w:rsid w:val="00AC603E"/>
    <w:rsid w:val="00AC6DC2"/>
    <w:rsid w:val="00AC72A6"/>
    <w:rsid w:val="00AC78DF"/>
    <w:rsid w:val="00AD00BC"/>
    <w:rsid w:val="00AD121B"/>
    <w:rsid w:val="00AE17B4"/>
    <w:rsid w:val="00AF11ED"/>
    <w:rsid w:val="00AF1DD0"/>
    <w:rsid w:val="00AF54F7"/>
    <w:rsid w:val="00B0392F"/>
    <w:rsid w:val="00B03E95"/>
    <w:rsid w:val="00B0479D"/>
    <w:rsid w:val="00B055DB"/>
    <w:rsid w:val="00B070E4"/>
    <w:rsid w:val="00B10335"/>
    <w:rsid w:val="00B130FA"/>
    <w:rsid w:val="00B1392A"/>
    <w:rsid w:val="00B14684"/>
    <w:rsid w:val="00B15F81"/>
    <w:rsid w:val="00B16C05"/>
    <w:rsid w:val="00B17093"/>
    <w:rsid w:val="00B205A8"/>
    <w:rsid w:val="00B2431D"/>
    <w:rsid w:val="00B26D25"/>
    <w:rsid w:val="00B30617"/>
    <w:rsid w:val="00B3083A"/>
    <w:rsid w:val="00B31009"/>
    <w:rsid w:val="00B31894"/>
    <w:rsid w:val="00B31D5D"/>
    <w:rsid w:val="00B3253A"/>
    <w:rsid w:val="00B32A5F"/>
    <w:rsid w:val="00B34451"/>
    <w:rsid w:val="00B34CCC"/>
    <w:rsid w:val="00B34FD3"/>
    <w:rsid w:val="00B419A7"/>
    <w:rsid w:val="00B4329C"/>
    <w:rsid w:val="00B4679E"/>
    <w:rsid w:val="00B4746C"/>
    <w:rsid w:val="00B50789"/>
    <w:rsid w:val="00B52766"/>
    <w:rsid w:val="00B54F1E"/>
    <w:rsid w:val="00B62B72"/>
    <w:rsid w:val="00B64B79"/>
    <w:rsid w:val="00B6556B"/>
    <w:rsid w:val="00B657F9"/>
    <w:rsid w:val="00B65D5A"/>
    <w:rsid w:val="00B721C3"/>
    <w:rsid w:val="00B723BA"/>
    <w:rsid w:val="00B808B3"/>
    <w:rsid w:val="00B809A0"/>
    <w:rsid w:val="00B82E0B"/>
    <w:rsid w:val="00B84076"/>
    <w:rsid w:val="00B8586C"/>
    <w:rsid w:val="00BA0521"/>
    <w:rsid w:val="00BA2839"/>
    <w:rsid w:val="00BA30B3"/>
    <w:rsid w:val="00BA360E"/>
    <w:rsid w:val="00BA4B27"/>
    <w:rsid w:val="00BA7728"/>
    <w:rsid w:val="00BB0C59"/>
    <w:rsid w:val="00BB1028"/>
    <w:rsid w:val="00BB3639"/>
    <w:rsid w:val="00BB3EC6"/>
    <w:rsid w:val="00BB553F"/>
    <w:rsid w:val="00BB707C"/>
    <w:rsid w:val="00BC2AB4"/>
    <w:rsid w:val="00BC34CA"/>
    <w:rsid w:val="00BC4611"/>
    <w:rsid w:val="00BC5CE4"/>
    <w:rsid w:val="00BC6355"/>
    <w:rsid w:val="00BC701E"/>
    <w:rsid w:val="00BC7B35"/>
    <w:rsid w:val="00BC7D84"/>
    <w:rsid w:val="00BD48BA"/>
    <w:rsid w:val="00BD5C59"/>
    <w:rsid w:val="00BD656E"/>
    <w:rsid w:val="00BD6B78"/>
    <w:rsid w:val="00BE18CD"/>
    <w:rsid w:val="00BE1E20"/>
    <w:rsid w:val="00BE5FD4"/>
    <w:rsid w:val="00BE7EDE"/>
    <w:rsid w:val="00BF05BC"/>
    <w:rsid w:val="00BF1B9C"/>
    <w:rsid w:val="00BF424C"/>
    <w:rsid w:val="00C0505E"/>
    <w:rsid w:val="00C0584F"/>
    <w:rsid w:val="00C15FF0"/>
    <w:rsid w:val="00C20907"/>
    <w:rsid w:val="00C21FFA"/>
    <w:rsid w:val="00C22290"/>
    <w:rsid w:val="00C23BB5"/>
    <w:rsid w:val="00C25FA7"/>
    <w:rsid w:val="00C2641B"/>
    <w:rsid w:val="00C26B98"/>
    <w:rsid w:val="00C310C8"/>
    <w:rsid w:val="00C359E4"/>
    <w:rsid w:val="00C36B01"/>
    <w:rsid w:val="00C375B4"/>
    <w:rsid w:val="00C418C7"/>
    <w:rsid w:val="00C475FD"/>
    <w:rsid w:val="00C52D6C"/>
    <w:rsid w:val="00C544DE"/>
    <w:rsid w:val="00C553C7"/>
    <w:rsid w:val="00C56B00"/>
    <w:rsid w:val="00C618F7"/>
    <w:rsid w:val="00C63D01"/>
    <w:rsid w:val="00C6489F"/>
    <w:rsid w:val="00C662E7"/>
    <w:rsid w:val="00C67780"/>
    <w:rsid w:val="00C70979"/>
    <w:rsid w:val="00C76007"/>
    <w:rsid w:val="00C76375"/>
    <w:rsid w:val="00C770EA"/>
    <w:rsid w:val="00C85E65"/>
    <w:rsid w:val="00C871AE"/>
    <w:rsid w:val="00C87BBB"/>
    <w:rsid w:val="00C93E06"/>
    <w:rsid w:val="00C94DA1"/>
    <w:rsid w:val="00C96B80"/>
    <w:rsid w:val="00CA1E35"/>
    <w:rsid w:val="00CA3602"/>
    <w:rsid w:val="00CA5585"/>
    <w:rsid w:val="00CA7000"/>
    <w:rsid w:val="00CB3C39"/>
    <w:rsid w:val="00CB400A"/>
    <w:rsid w:val="00CB5BF9"/>
    <w:rsid w:val="00CB7641"/>
    <w:rsid w:val="00CC0BA3"/>
    <w:rsid w:val="00CC1E86"/>
    <w:rsid w:val="00CC47B6"/>
    <w:rsid w:val="00CC5AEA"/>
    <w:rsid w:val="00CC5D1A"/>
    <w:rsid w:val="00CD0874"/>
    <w:rsid w:val="00CD0D1F"/>
    <w:rsid w:val="00CD20CC"/>
    <w:rsid w:val="00CD21F0"/>
    <w:rsid w:val="00CD53C6"/>
    <w:rsid w:val="00CD5DF2"/>
    <w:rsid w:val="00CE13AE"/>
    <w:rsid w:val="00CE23CC"/>
    <w:rsid w:val="00CE3C81"/>
    <w:rsid w:val="00CE417A"/>
    <w:rsid w:val="00CE41A5"/>
    <w:rsid w:val="00CE5BEC"/>
    <w:rsid w:val="00CE7852"/>
    <w:rsid w:val="00CF4B6D"/>
    <w:rsid w:val="00CF4D92"/>
    <w:rsid w:val="00CF4E89"/>
    <w:rsid w:val="00CF4FD8"/>
    <w:rsid w:val="00CF58C4"/>
    <w:rsid w:val="00CF6136"/>
    <w:rsid w:val="00CF6F09"/>
    <w:rsid w:val="00D00F82"/>
    <w:rsid w:val="00D014E2"/>
    <w:rsid w:val="00D01956"/>
    <w:rsid w:val="00D041E8"/>
    <w:rsid w:val="00D05812"/>
    <w:rsid w:val="00D0601C"/>
    <w:rsid w:val="00D068D5"/>
    <w:rsid w:val="00D076B3"/>
    <w:rsid w:val="00D115AA"/>
    <w:rsid w:val="00D123FC"/>
    <w:rsid w:val="00D17723"/>
    <w:rsid w:val="00D1775E"/>
    <w:rsid w:val="00D2333A"/>
    <w:rsid w:val="00D26B91"/>
    <w:rsid w:val="00D27166"/>
    <w:rsid w:val="00D2745E"/>
    <w:rsid w:val="00D31728"/>
    <w:rsid w:val="00D3237A"/>
    <w:rsid w:val="00D338D8"/>
    <w:rsid w:val="00D34E3A"/>
    <w:rsid w:val="00D35066"/>
    <w:rsid w:val="00D3514D"/>
    <w:rsid w:val="00D3518F"/>
    <w:rsid w:val="00D354FA"/>
    <w:rsid w:val="00D35710"/>
    <w:rsid w:val="00D35CEF"/>
    <w:rsid w:val="00D361A1"/>
    <w:rsid w:val="00D3627F"/>
    <w:rsid w:val="00D36EC6"/>
    <w:rsid w:val="00D4023E"/>
    <w:rsid w:val="00D415FC"/>
    <w:rsid w:val="00D43CB2"/>
    <w:rsid w:val="00D45ECC"/>
    <w:rsid w:val="00D46713"/>
    <w:rsid w:val="00D502FB"/>
    <w:rsid w:val="00D5297C"/>
    <w:rsid w:val="00D60EF2"/>
    <w:rsid w:val="00D63311"/>
    <w:rsid w:val="00D63B2B"/>
    <w:rsid w:val="00D7232E"/>
    <w:rsid w:val="00D73DDA"/>
    <w:rsid w:val="00D75C50"/>
    <w:rsid w:val="00D76D45"/>
    <w:rsid w:val="00D84C48"/>
    <w:rsid w:val="00D86117"/>
    <w:rsid w:val="00D914EB"/>
    <w:rsid w:val="00D925A6"/>
    <w:rsid w:val="00D930EB"/>
    <w:rsid w:val="00D95389"/>
    <w:rsid w:val="00D967B8"/>
    <w:rsid w:val="00D97484"/>
    <w:rsid w:val="00DA60E5"/>
    <w:rsid w:val="00DA6B4A"/>
    <w:rsid w:val="00DA6E51"/>
    <w:rsid w:val="00DB423B"/>
    <w:rsid w:val="00DB4284"/>
    <w:rsid w:val="00DB439A"/>
    <w:rsid w:val="00DB6C65"/>
    <w:rsid w:val="00DB7888"/>
    <w:rsid w:val="00DC0E77"/>
    <w:rsid w:val="00DC31C3"/>
    <w:rsid w:val="00DC6003"/>
    <w:rsid w:val="00DC69CA"/>
    <w:rsid w:val="00DD1B49"/>
    <w:rsid w:val="00DD394F"/>
    <w:rsid w:val="00DD469D"/>
    <w:rsid w:val="00DD5FAD"/>
    <w:rsid w:val="00DE3C4C"/>
    <w:rsid w:val="00DF0207"/>
    <w:rsid w:val="00DF09DF"/>
    <w:rsid w:val="00DF1269"/>
    <w:rsid w:val="00DF1C66"/>
    <w:rsid w:val="00DF2727"/>
    <w:rsid w:val="00DF4DC2"/>
    <w:rsid w:val="00E01A93"/>
    <w:rsid w:val="00E03CE4"/>
    <w:rsid w:val="00E0529F"/>
    <w:rsid w:val="00E06B3C"/>
    <w:rsid w:val="00E12107"/>
    <w:rsid w:val="00E12671"/>
    <w:rsid w:val="00E13231"/>
    <w:rsid w:val="00E13978"/>
    <w:rsid w:val="00E16D59"/>
    <w:rsid w:val="00E218FD"/>
    <w:rsid w:val="00E22542"/>
    <w:rsid w:val="00E22AF3"/>
    <w:rsid w:val="00E2398E"/>
    <w:rsid w:val="00E2453C"/>
    <w:rsid w:val="00E24B64"/>
    <w:rsid w:val="00E255A4"/>
    <w:rsid w:val="00E2634A"/>
    <w:rsid w:val="00E31AC4"/>
    <w:rsid w:val="00E33F61"/>
    <w:rsid w:val="00E34BF4"/>
    <w:rsid w:val="00E3597C"/>
    <w:rsid w:val="00E40B79"/>
    <w:rsid w:val="00E41879"/>
    <w:rsid w:val="00E436FA"/>
    <w:rsid w:val="00E44360"/>
    <w:rsid w:val="00E46556"/>
    <w:rsid w:val="00E575C8"/>
    <w:rsid w:val="00E57D3F"/>
    <w:rsid w:val="00E60B72"/>
    <w:rsid w:val="00E61EF0"/>
    <w:rsid w:val="00E6461D"/>
    <w:rsid w:val="00E67C88"/>
    <w:rsid w:val="00E71882"/>
    <w:rsid w:val="00E73289"/>
    <w:rsid w:val="00E7709F"/>
    <w:rsid w:val="00E82696"/>
    <w:rsid w:val="00E9219B"/>
    <w:rsid w:val="00E9265E"/>
    <w:rsid w:val="00EA00AB"/>
    <w:rsid w:val="00EA0940"/>
    <w:rsid w:val="00EA09C3"/>
    <w:rsid w:val="00EA414D"/>
    <w:rsid w:val="00EA7B90"/>
    <w:rsid w:val="00EB4E75"/>
    <w:rsid w:val="00EB621A"/>
    <w:rsid w:val="00EB636A"/>
    <w:rsid w:val="00EB717A"/>
    <w:rsid w:val="00EB7686"/>
    <w:rsid w:val="00EC07D5"/>
    <w:rsid w:val="00EC168A"/>
    <w:rsid w:val="00EC1DD6"/>
    <w:rsid w:val="00ED0114"/>
    <w:rsid w:val="00ED23E9"/>
    <w:rsid w:val="00ED305A"/>
    <w:rsid w:val="00ED3543"/>
    <w:rsid w:val="00ED4F11"/>
    <w:rsid w:val="00ED645D"/>
    <w:rsid w:val="00ED738E"/>
    <w:rsid w:val="00EE0D54"/>
    <w:rsid w:val="00EE1841"/>
    <w:rsid w:val="00EE1904"/>
    <w:rsid w:val="00EE52A4"/>
    <w:rsid w:val="00EE6909"/>
    <w:rsid w:val="00EE6B25"/>
    <w:rsid w:val="00EE701F"/>
    <w:rsid w:val="00EE798C"/>
    <w:rsid w:val="00EE7DA8"/>
    <w:rsid w:val="00EF0EAB"/>
    <w:rsid w:val="00EF233D"/>
    <w:rsid w:val="00EF49B9"/>
    <w:rsid w:val="00F00564"/>
    <w:rsid w:val="00F03A4C"/>
    <w:rsid w:val="00F0464A"/>
    <w:rsid w:val="00F06EEB"/>
    <w:rsid w:val="00F07593"/>
    <w:rsid w:val="00F15691"/>
    <w:rsid w:val="00F16C5D"/>
    <w:rsid w:val="00F17BCE"/>
    <w:rsid w:val="00F21DEF"/>
    <w:rsid w:val="00F2269B"/>
    <w:rsid w:val="00F2384C"/>
    <w:rsid w:val="00F24EAE"/>
    <w:rsid w:val="00F25FE1"/>
    <w:rsid w:val="00F266B2"/>
    <w:rsid w:val="00F27C9A"/>
    <w:rsid w:val="00F3324E"/>
    <w:rsid w:val="00F33802"/>
    <w:rsid w:val="00F348C6"/>
    <w:rsid w:val="00F350FB"/>
    <w:rsid w:val="00F37D93"/>
    <w:rsid w:val="00F407BA"/>
    <w:rsid w:val="00F42B8C"/>
    <w:rsid w:val="00F51DA6"/>
    <w:rsid w:val="00F54727"/>
    <w:rsid w:val="00F5725E"/>
    <w:rsid w:val="00F57330"/>
    <w:rsid w:val="00F656A2"/>
    <w:rsid w:val="00F6614A"/>
    <w:rsid w:val="00F72A70"/>
    <w:rsid w:val="00F75071"/>
    <w:rsid w:val="00F75CD1"/>
    <w:rsid w:val="00F75F91"/>
    <w:rsid w:val="00F77D7D"/>
    <w:rsid w:val="00F813FE"/>
    <w:rsid w:val="00F84260"/>
    <w:rsid w:val="00F8490B"/>
    <w:rsid w:val="00F865F1"/>
    <w:rsid w:val="00F9061A"/>
    <w:rsid w:val="00F91081"/>
    <w:rsid w:val="00F910A5"/>
    <w:rsid w:val="00F91515"/>
    <w:rsid w:val="00F92666"/>
    <w:rsid w:val="00F941CC"/>
    <w:rsid w:val="00F951EE"/>
    <w:rsid w:val="00F96002"/>
    <w:rsid w:val="00FA500F"/>
    <w:rsid w:val="00FA5049"/>
    <w:rsid w:val="00FA5C85"/>
    <w:rsid w:val="00FB463C"/>
    <w:rsid w:val="00FB63D2"/>
    <w:rsid w:val="00FC0B41"/>
    <w:rsid w:val="00FC21B2"/>
    <w:rsid w:val="00FC4D34"/>
    <w:rsid w:val="00FE3A8F"/>
    <w:rsid w:val="00FE5EA1"/>
    <w:rsid w:val="00FE66A3"/>
    <w:rsid w:val="00FF02F2"/>
    <w:rsid w:val="00FF4357"/>
    <w:rsid w:val="00FF6746"/>
    <w:rsid w:val="00FF74B4"/>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FB7DA2A"/>
  <w15:docId w15:val="{254070D9-9525-4F37-920E-1ECBD984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Título Verdana"/>
    <w:basedOn w:val="Normal"/>
    <w:next w:val="Normal"/>
    <w:link w:val="Ttulo1Car1"/>
    <w:autoRedefine/>
    <w:qFormat/>
    <w:rsid w:val="006F4108"/>
    <w:pPr>
      <w:keepNext/>
      <w:shd w:val="clear" w:color="auto" w:fill="FFFFFF"/>
      <w:spacing w:after="0" w:line="240" w:lineRule="auto"/>
      <w:jc w:val="both"/>
      <w:outlineLvl w:val="0"/>
    </w:pPr>
    <w:rPr>
      <w:rFonts w:ascii="Verdana" w:eastAsia="Batang" w:hAnsi="Verdana" w:cs="Times New Roman"/>
      <w:bCs/>
      <w:kern w:val="32"/>
      <w:sz w:val="16"/>
      <w:szCs w:val="16"/>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ootnote,Párrafo de lista1,Colorful List - Accent 11,Cuadrícula clara - Énfasis 31,List Paragraph1,List Paragraph2,Lista vistosa - Énfasis 11"/>
    <w:basedOn w:val="Normal"/>
    <w:link w:val="PrrafodelistaCar"/>
    <w:uiPriority w:val="34"/>
    <w:qFormat/>
    <w:rsid w:val="00B31009"/>
    <w:pPr>
      <w:ind w:left="720"/>
      <w:contextualSpacing/>
    </w:pPr>
  </w:style>
  <w:style w:type="paragraph" w:styleId="Textonotapie">
    <w:name w:val="footnote text"/>
    <w:aliases w:val="FA Fu,Footnote Text Char Char Char Char Char,Footnote Text Char Char Char Char,Footnote reference,Footnote Text Char Char Char,Footnote Text Cha,FA Fußnotentext,FA Fuﬂnotentext,Footnote Text Char Char,FA Fu Car,Ca,ft,C,FA Fu?notentext"/>
    <w:basedOn w:val="Normal"/>
    <w:link w:val="TextonotapieCar"/>
    <w:uiPriority w:val="99"/>
    <w:unhideWhenUsed/>
    <w:qFormat/>
    <w:rsid w:val="00B31009"/>
    <w:pPr>
      <w:spacing w:after="0" w:line="240" w:lineRule="auto"/>
    </w:pPr>
    <w:rPr>
      <w:sz w:val="20"/>
      <w:szCs w:val="20"/>
    </w:rPr>
  </w:style>
  <w:style w:type="character" w:customStyle="1" w:styleId="TextonotapieCar">
    <w:name w:val="Texto nota pie Car"/>
    <w:aliases w:val="FA Fu Car1,Footnote Text Char Char Char Char Char Car,Footnote Text Char Char Char Char Car,Footnote reference Car,Footnote Text Char Char Char Car,Footnote Text Cha Car,FA Fußnotentext Car,FA Fuﬂnotentext Car,FA Fu Car Car,Ca Car"/>
    <w:basedOn w:val="Fuentedeprrafopredeter"/>
    <w:link w:val="Textonotapie"/>
    <w:uiPriority w:val="99"/>
    <w:qFormat/>
    <w:rsid w:val="00B31009"/>
    <w:rPr>
      <w:sz w:val="20"/>
      <w:szCs w:val="20"/>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basedOn w:val="Fuentedeprrafopredeter"/>
    <w:link w:val="4GChar"/>
    <w:uiPriority w:val="99"/>
    <w:unhideWhenUsed/>
    <w:qFormat/>
    <w:rsid w:val="00B31009"/>
    <w:rPr>
      <w:vertAlign w:val="superscript"/>
    </w:rPr>
  </w:style>
  <w:style w:type="character" w:styleId="Hipervnculo">
    <w:name w:val="Hyperlink"/>
    <w:basedOn w:val="Fuentedeprrafopredeter"/>
    <w:uiPriority w:val="99"/>
    <w:unhideWhenUsed/>
    <w:rsid w:val="00B31009"/>
    <w:rPr>
      <w:color w:val="0000FF" w:themeColor="hyperlink"/>
      <w:u w:val="single"/>
    </w:rPr>
  </w:style>
  <w:style w:type="character" w:customStyle="1" w:styleId="PrrafodelistaCar">
    <w:name w:val="Párrafo de lista Car"/>
    <w:aliases w:val="Footnote Car,Párrafo de lista1 Car,Colorful List - Accent 11 Car,Cuadrícula clara - Énfasis 31 Car,List Paragraph1 Car,List Paragraph2 Car,Lista vistosa - Énfasis 11 Car"/>
    <w:link w:val="Prrafodelista"/>
    <w:uiPriority w:val="34"/>
    <w:locked/>
    <w:rsid w:val="00283261"/>
  </w:style>
  <w:style w:type="character" w:styleId="Textoennegrita">
    <w:name w:val="Strong"/>
    <w:basedOn w:val="Fuentedeprrafopredeter"/>
    <w:uiPriority w:val="22"/>
    <w:qFormat/>
    <w:rsid w:val="00DF2727"/>
    <w:rPr>
      <w:b/>
      <w:bCs/>
    </w:rPr>
  </w:style>
  <w:style w:type="character" w:styleId="Refdecomentario">
    <w:name w:val="annotation reference"/>
    <w:basedOn w:val="Fuentedeprrafopredeter"/>
    <w:uiPriority w:val="99"/>
    <w:semiHidden/>
    <w:unhideWhenUsed/>
    <w:rsid w:val="00F91081"/>
    <w:rPr>
      <w:sz w:val="16"/>
      <w:szCs w:val="16"/>
    </w:rPr>
  </w:style>
  <w:style w:type="paragraph" w:styleId="Textocomentario">
    <w:name w:val="annotation text"/>
    <w:basedOn w:val="Normal"/>
    <w:link w:val="TextocomentarioCar"/>
    <w:uiPriority w:val="99"/>
    <w:semiHidden/>
    <w:unhideWhenUsed/>
    <w:rsid w:val="00F910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1081"/>
    <w:rPr>
      <w:sz w:val="20"/>
      <w:szCs w:val="20"/>
    </w:rPr>
  </w:style>
  <w:style w:type="paragraph" w:styleId="Asuntodelcomentario">
    <w:name w:val="annotation subject"/>
    <w:basedOn w:val="Textocomentario"/>
    <w:next w:val="Textocomentario"/>
    <w:link w:val="AsuntodelcomentarioCar"/>
    <w:uiPriority w:val="99"/>
    <w:semiHidden/>
    <w:unhideWhenUsed/>
    <w:rsid w:val="00F91081"/>
    <w:rPr>
      <w:b/>
      <w:bCs/>
    </w:rPr>
  </w:style>
  <w:style w:type="character" w:customStyle="1" w:styleId="AsuntodelcomentarioCar">
    <w:name w:val="Asunto del comentario Car"/>
    <w:basedOn w:val="TextocomentarioCar"/>
    <w:link w:val="Asuntodelcomentario"/>
    <w:uiPriority w:val="99"/>
    <w:semiHidden/>
    <w:rsid w:val="00F91081"/>
    <w:rPr>
      <w:b/>
      <w:bCs/>
      <w:sz w:val="20"/>
      <w:szCs w:val="20"/>
    </w:rPr>
  </w:style>
  <w:style w:type="paragraph" w:styleId="Textodeglobo">
    <w:name w:val="Balloon Text"/>
    <w:basedOn w:val="Normal"/>
    <w:link w:val="TextodegloboCar"/>
    <w:uiPriority w:val="99"/>
    <w:semiHidden/>
    <w:unhideWhenUsed/>
    <w:rsid w:val="00F910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1081"/>
    <w:rPr>
      <w:rFonts w:ascii="Tahoma" w:hAnsi="Tahoma" w:cs="Tahoma"/>
      <w:sz w:val="16"/>
      <w:szCs w:val="16"/>
    </w:rPr>
  </w:style>
  <w:style w:type="paragraph" w:customStyle="1" w:styleId="Default">
    <w:name w:val="Default"/>
    <w:rsid w:val="00992DA1"/>
    <w:pPr>
      <w:autoSpaceDE w:val="0"/>
      <w:autoSpaceDN w:val="0"/>
      <w:adjustRightInd w:val="0"/>
      <w:spacing w:after="0" w:line="240" w:lineRule="auto"/>
    </w:pPr>
    <w:rPr>
      <w:rFonts w:ascii="Verdana" w:hAnsi="Verdana" w:cs="Verdana"/>
      <w:color w:val="000000"/>
      <w:sz w:val="24"/>
      <w:szCs w:val="24"/>
    </w:rPr>
  </w:style>
  <w:style w:type="paragraph" w:styleId="Encabezado">
    <w:name w:val="header"/>
    <w:basedOn w:val="Normal"/>
    <w:link w:val="EncabezadoCar"/>
    <w:uiPriority w:val="99"/>
    <w:unhideWhenUsed/>
    <w:rsid w:val="00D415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15FC"/>
  </w:style>
  <w:style w:type="paragraph" w:styleId="Piedepgina">
    <w:name w:val="footer"/>
    <w:basedOn w:val="Normal"/>
    <w:link w:val="PiedepginaCar"/>
    <w:uiPriority w:val="99"/>
    <w:unhideWhenUsed/>
    <w:rsid w:val="00D415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15FC"/>
  </w:style>
  <w:style w:type="character" w:styleId="Nmerodelnea">
    <w:name w:val="line number"/>
    <w:basedOn w:val="Fuentedeprrafopredeter"/>
    <w:uiPriority w:val="99"/>
    <w:semiHidden/>
    <w:unhideWhenUsed/>
    <w:rsid w:val="00D415FC"/>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D5B5D"/>
    <w:pPr>
      <w:spacing w:after="0" w:line="240" w:lineRule="auto"/>
      <w:jc w:val="both"/>
    </w:pPr>
    <w:rPr>
      <w:vertAlign w:val="superscript"/>
    </w:rPr>
  </w:style>
  <w:style w:type="character" w:styleId="Hipervnculovisitado">
    <w:name w:val="FollowedHyperlink"/>
    <w:basedOn w:val="Fuentedeprrafopredeter"/>
    <w:uiPriority w:val="99"/>
    <w:semiHidden/>
    <w:unhideWhenUsed/>
    <w:rsid w:val="00676CF1"/>
    <w:rPr>
      <w:color w:val="800080" w:themeColor="followedHyperlink"/>
      <w:u w:val="single"/>
    </w:rPr>
  </w:style>
  <w:style w:type="character" w:customStyle="1" w:styleId="apple-converted-space">
    <w:name w:val="apple-converted-space"/>
    <w:basedOn w:val="Fuentedeprrafopredeter"/>
    <w:rsid w:val="007678C6"/>
  </w:style>
  <w:style w:type="character" w:styleId="nfasis">
    <w:name w:val="Emphasis"/>
    <w:basedOn w:val="Fuentedeprrafopredeter"/>
    <w:uiPriority w:val="20"/>
    <w:qFormat/>
    <w:rsid w:val="00331A2E"/>
    <w:rPr>
      <w:i/>
      <w:iCs/>
    </w:rPr>
  </w:style>
  <w:style w:type="character" w:customStyle="1" w:styleId="Ttulo1Car">
    <w:name w:val="Título 1 Car"/>
    <w:basedOn w:val="Fuentedeprrafopredeter"/>
    <w:uiPriority w:val="9"/>
    <w:rsid w:val="0072515A"/>
    <w:rPr>
      <w:rFonts w:asciiTheme="majorHAnsi" w:eastAsiaTheme="majorEastAsia" w:hAnsiTheme="majorHAnsi" w:cstheme="majorBidi"/>
      <w:b/>
      <w:bCs/>
      <w:color w:val="365F91" w:themeColor="accent1" w:themeShade="BF"/>
      <w:sz w:val="28"/>
      <w:szCs w:val="28"/>
    </w:rPr>
  </w:style>
  <w:style w:type="character" w:customStyle="1" w:styleId="Ttulo1Car1">
    <w:name w:val="Título 1 Car1"/>
    <w:aliases w:val="Título Verdana Car"/>
    <w:basedOn w:val="Fuentedeprrafopredeter"/>
    <w:link w:val="Ttulo1"/>
    <w:rsid w:val="006F4108"/>
    <w:rPr>
      <w:rFonts w:ascii="Verdana" w:eastAsia="Batang" w:hAnsi="Verdana" w:cs="Times New Roman"/>
      <w:bCs/>
      <w:kern w:val="32"/>
      <w:sz w:val="16"/>
      <w:szCs w:val="16"/>
      <w:shd w:val="clear" w:color="auto" w:fill="FFFFFF"/>
      <w:lang w:val="es-AR"/>
    </w:rPr>
  </w:style>
  <w:style w:type="paragraph" w:styleId="Textonotaalfinal">
    <w:name w:val="endnote text"/>
    <w:basedOn w:val="Normal"/>
    <w:link w:val="TextonotaalfinalCar"/>
    <w:uiPriority w:val="99"/>
    <w:semiHidden/>
    <w:unhideWhenUsed/>
    <w:rsid w:val="00B5078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50789"/>
    <w:rPr>
      <w:sz w:val="20"/>
      <w:szCs w:val="20"/>
    </w:rPr>
  </w:style>
  <w:style w:type="character" w:styleId="Refdenotaalfinal">
    <w:name w:val="endnote reference"/>
    <w:basedOn w:val="Fuentedeprrafopredeter"/>
    <w:uiPriority w:val="99"/>
    <w:semiHidden/>
    <w:unhideWhenUsed/>
    <w:rsid w:val="00B507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042822">
      <w:bodyDiv w:val="1"/>
      <w:marLeft w:val="0"/>
      <w:marRight w:val="0"/>
      <w:marTop w:val="0"/>
      <w:marBottom w:val="0"/>
      <w:divBdr>
        <w:top w:val="none" w:sz="0" w:space="0" w:color="auto"/>
        <w:left w:val="none" w:sz="0" w:space="0" w:color="auto"/>
        <w:bottom w:val="none" w:sz="0" w:space="0" w:color="auto"/>
        <w:right w:val="none" w:sz="0" w:space="0" w:color="auto"/>
      </w:divBdr>
    </w:div>
    <w:div w:id="396635343">
      <w:bodyDiv w:val="1"/>
      <w:marLeft w:val="0"/>
      <w:marRight w:val="0"/>
      <w:marTop w:val="0"/>
      <w:marBottom w:val="0"/>
      <w:divBdr>
        <w:top w:val="none" w:sz="0" w:space="0" w:color="auto"/>
        <w:left w:val="none" w:sz="0" w:space="0" w:color="auto"/>
        <w:bottom w:val="none" w:sz="0" w:space="0" w:color="auto"/>
        <w:right w:val="none" w:sz="0" w:space="0" w:color="auto"/>
      </w:divBdr>
    </w:div>
    <w:div w:id="419717724">
      <w:bodyDiv w:val="1"/>
      <w:marLeft w:val="0"/>
      <w:marRight w:val="0"/>
      <w:marTop w:val="0"/>
      <w:marBottom w:val="0"/>
      <w:divBdr>
        <w:top w:val="none" w:sz="0" w:space="0" w:color="auto"/>
        <w:left w:val="none" w:sz="0" w:space="0" w:color="auto"/>
        <w:bottom w:val="none" w:sz="0" w:space="0" w:color="auto"/>
        <w:right w:val="none" w:sz="0" w:space="0" w:color="auto"/>
      </w:divBdr>
      <w:divsChild>
        <w:div w:id="1392776160">
          <w:marLeft w:val="0"/>
          <w:marRight w:val="0"/>
          <w:marTop w:val="0"/>
          <w:marBottom w:val="0"/>
          <w:divBdr>
            <w:top w:val="none" w:sz="0" w:space="0" w:color="auto"/>
            <w:left w:val="none" w:sz="0" w:space="0" w:color="auto"/>
            <w:bottom w:val="none" w:sz="0" w:space="0" w:color="auto"/>
            <w:right w:val="none" w:sz="0" w:space="0" w:color="auto"/>
          </w:divBdr>
          <w:divsChild>
            <w:div w:id="997851364">
              <w:marLeft w:val="0"/>
              <w:marRight w:val="0"/>
              <w:marTop w:val="0"/>
              <w:marBottom w:val="0"/>
              <w:divBdr>
                <w:top w:val="none" w:sz="0" w:space="0" w:color="auto"/>
                <w:left w:val="none" w:sz="0" w:space="0" w:color="auto"/>
                <w:bottom w:val="none" w:sz="0" w:space="0" w:color="auto"/>
                <w:right w:val="none" w:sz="0" w:space="0" w:color="auto"/>
              </w:divBdr>
              <w:divsChild>
                <w:div w:id="1416168083">
                  <w:marLeft w:val="0"/>
                  <w:marRight w:val="0"/>
                  <w:marTop w:val="0"/>
                  <w:marBottom w:val="0"/>
                  <w:divBdr>
                    <w:top w:val="none" w:sz="0" w:space="0" w:color="auto"/>
                    <w:left w:val="none" w:sz="0" w:space="0" w:color="auto"/>
                    <w:bottom w:val="none" w:sz="0" w:space="0" w:color="auto"/>
                    <w:right w:val="none" w:sz="0" w:space="0" w:color="auto"/>
                  </w:divBdr>
                </w:div>
              </w:divsChild>
            </w:div>
            <w:div w:id="939021632">
              <w:marLeft w:val="0"/>
              <w:marRight w:val="0"/>
              <w:marTop w:val="0"/>
              <w:marBottom w:val="0"/>
              <w:divBdr>
                <w:top w:val="none" w:sz="0" w:space="0" w:color="auto"/>
                <w:left w:val="none" w:sz="0" w:space="0" w:color="auto"/>
                <w:bottom w:val="none" w:sz="0" w:space="0" w:color="auto"/>
                <w:right w:val="none" w:sz="0" w:space="0" w:color="auto"/>
              </w:divBdr>
              <w:divsChild>
                <w:div w:id="768501585">
                  <w:marLeft w:val="0"/>
                  <w:marRight w:val="0"/>
                  <w:marTop w:val="0"/>
                  <w:marBottom w:val="0"/>
                  <w:divBdr>
                    <w:top w:val="none" w:sz="0" w:space="0" w:color="auto"/>
                    <w:left w:val="none" w:sz="0" w:space="0" w:color="auto"/>
                    <w:bottom w:val="none" w:sz="0" w:space="0" w:color="auto"/>
                    <w:right w:val="none" w:sz="0" w:space="0" w:color="auto"/>
                  </w:divBdr>
                </w:div>
              </w:divsChild>
            </w:div>
            <w:div w:id="2042514256">
              <w:marLeft w:val="0"/>
              <w:marRight w:val="0"/>
              <w:marTop w:val="0"/>
              <w:marBottom w:val="0"/>
              <w:divBdr>
                <w:top w:val="none" w:sz="0" w:space="0" w:color="auto"/>
                <w:left w:val="none" w:sz="0" w:space="0" w:color="auto"/>
                <w:bottom w:val="none" w:sz="0" w:space="0" w:color="auto"/>
                <w:right w:val="none" w:sz="0" w:space="0" w:color="auto"/>
              </w:divBdr>
              <w:divsChild>
                <w:div w:id="74726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6358">
      <w:bodyDiv w:val="1"/>
      <w:marLeft w:val="0"/>
      <w:marRight w:val="0"/>
      <w:marTop w:val="0"/>
      <w:marBottom w:val="0"/>
      <w:divBdr>
        <w:top w:val="none" w:sz="0" w:space="0" w:color="auto"/>
        <w:left w:val="none" w:sz="0" w:space="0" w:color="auto"/>
        <w:bottom w:val="none" w:sz="0" w:space="0" w:color="auto"/>
        <w:right w:val="none" w:sz="0" w:space="0" w:color="auto"/>
      </w:divBdr>
    </w:div>
    <w:div w:id="720597615">
      <w:bodyDiv w:val="1"/>
      <w:marLeft w:val="0"/>
      <w:marRight w:val="0"/>
      <w:marTop w:val="0"/>
      <w:marBottom w:val="0"/>
      <w:divBdr>
        <w:top w:val="none" w:sz="0" w:space="0" w:color="auto"/>
        <w:left w:val="none" w:sz="0" w:space="0" w:color="auto"/>
        <w:bottom w:val="none" w:sz="0" w:space="0" w:color="auto"/>
        <w:right w:val="none" w:sz="0" w:space="0" w:color="auto"/>
      </w:divBdr>
    </w:div>
    <w:div w:id="905064909">
      <w:bodyDiv w:val="1"/>
      <w:marLeft w:val="0"/>
      <w:marRight w:val="0"/>
      <w:marTop w:val="0"/>
      <w:marBottom w:val="0"/>
      <w:divBdr>
        <w:top w:val="none" w:sz="0" w:space="0" w:color="auto"/>
        <w:left w:val="none" w:sz="0" w:space="0" w:color="auto"/>
        <w:bottom w:val="none" w:sz="0" w:space="0" w:color="auto"/>
        <w:right w:val="none" w:sz="0" w:space="0" w:color="auto"/>
      </w:divBdr>
    </w:div>
    <w:div w:id="1082875149">
      <w:bodyDiv w:val="1"/>
      <w:marLeft w:val="0"/>
      <w:marRight w:val="0"/>
      <w:marTop w:val="0"/>
      <w:marBottom w:val="0"/>
      <w:divBdr>
        <w:top w:val="none" w:sz="0" w:space="0" w:color="auto"/>
        <w:left w:val="none" w:sz="0" w:space="0" w:color="auto"/>
        <w:bottom w:val="none" w:sz="0" w:space="0" w:color="auto"/>
        <w:right w:val="none" w:sz="0" w:space="0" w:color="auto"/>
      </w:divBdr>
    </w:div>
    <w:div w:id="1309704143">
      <w:bodyDiv w:val="1"/>
      <w:marLeft w:val="0"/>
      <w:marRight w:val="0"/>
      <w:marTop w:val="0"/>
      <w:marBottom w:val="0"/>
      <w:divBdr>
        <w:top w:val="none" w:sz="0" w:space="0" w:color="auto"/>
        <w:left w:val="none" w:sz="0" w:space="0" w:color="auto"/>
        <w:bottom w:val="none" w:sz="0" w:space="0" w:color="auto"/>
        <w:right w:val="none" w:sz="0" w:space="0" w:color="auto"/>
      </w:divBdr>
    </w:div>
    <w:div w:id="1321621414">
      <w:bodyDiv w:val="1"/>
      <w:marLeft w:val="0"/>
      <w:marRight w:val="0"/>
      <w:marTop w:val="0"/>
      <w:marBottom w:val="0"/>
      <w:divBdr>
        <w:top w:val="none" w:sz="0" w:space="0" w:color="auto"/>
        <w:left w:val="none" w:sz="0" w:space="0" w:color="auto"/>
        <w:bottom w:val="none" w:sz="0" w:space="0" w:color="auto"/>
        <w:right w:val="none" w:sz="0" w:space="0" w:color="auto"/>
      </w:divBdr>
    </w:div>
    <w:div w:id="184057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supervisiones/mozote_31_08_17.pdf" TargetMode="External"/><Relationship Id="rId7" Type="http://schemas.openxmlformats.org/officeDocument/2006/relationships/hyperlink" Target="http://ow.ly/d/7MZW" TargetMode="External"/><Relationship Id="rId2" Type="http://schemas.openxmlformats.org/officeDocument/2006/relationships/hyperlink" Target="http://www.corteidh.or.cr/docs/supervisiones/mozote_03_05_16.pdf" TargetMode="External"/><Relationship Id="rId1" Type="http://schemas.openxmlformats.org/officeDocument/2006/relationships/hyperlink" Target="http://corteidh.or.cr/docs/casos/articulos/seriec_252_esp.pdf" TargetMode="External"/><Relationship Id="rId6" Type="http://schemas.openxmlformats.org/officeDocument/2006/relationships/hyperlink" Target="http://www.oas.org/es/cidh/prensa/comunicados/2019/123.asp" TargetMode="External"/><Relationship Id="rId5" Type="http://schemas.openxmlformats.org/officeDocument/2006/relationships/hyperlink" Target="http://www.corteidh.or.cr/docs/supervisiones/mozote_28_11_18.pdf" TargetMode="External"/><Relationship Id="rId4" Type="http://schemas.openxmlformats.org/officeDocument/2006/relationships/hyperlink" Target="http://www.corteidh.or.cr/docs/supervisiones/mozote_30_05_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DE2AB-899F-456B-9A65-A3B9F0EFC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11176</Words>
  <Characters>61469</Characters>
  <Application>Microsoft Office Word</Application>
  <DocSecurity>4</DocSecurity>
  <Lines>512</Lines>
  <Paragraphs>144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72501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Julliana Saborio</cp:lastModifiedBy>
  <cp:revision>2</cp:revision>
  <cp:lastPrinted>2019-05-28T20:58:00Z</cp:lastPrinted>
  <dcterms:created xsi:type="dcterms:W3CDTF">2019-05-28T22:05:00Z</dcterms:created>
  <dcterms:modified xsi:type="dcterms:W3CDTF">2019-05-28T22:05:00Z</dcterms:modified>
</cp:coreProperties>
</file>