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BFB" w:rsidRDefault="003B7BFB" w:rsidP="004C10F9">
      <w:pPr>
        <w:spacing w:after="0"/>
        <w:jc w:val="center"/>
        <w:rPr>
          <w:rFonts w:ascii="Verdana" w:hAnsi="Verdana"/>
          <w:b/>
          <w:sz w:val="20"/>
          <w:szCs w:val="20"/>
        </w:rPr>
      </w:pPr>
      <w:bookmarkStart w:id="0" w:name="_GoBack"/>
      <w:bookmarkEnd w:id="0"/>
    </w:p>
    <w:p w:rsidR="003B7BFB" w:rsidRDefault="003B7BFB" w:rsidP="004C10F9">
      <w:pPr>
        <w:spacing w:after="0"/>
        <w:jc w:val="center"/>
        <w:rPr>
          <w:rFonts w:ascii="Verdana" w:hAnsi="Verdana"/>
          <w:b/>
          <w:sz w:val="20"/>
          <w:szCs w:val="20"/>
        </w:rPr>
      </w:pPr>
    </w:p>
    <w:p w:rsidR="003B7BFB" w:rsidRDefault="003B7BFB" w:rsidP="004C10F9">
      <w:pPr>
        <w:spacing w:after="0"/>
        <w:jc w:val="center"/>
        <w:rPr>
          <w:rFonts w:ascii="Verdana" w:hAnsi="Verdana"/>
          <w:b/>
          <w:sz w:val="20"/>
          <w:szCs w:val="20"/>
        </w:rPr>
      </w:pPr>
    </w:p>
    <w:p w:rsidR="003B7BFB" w:rsidRDefault="003B7BFB" w:rsidP="004C10F9">
      <w:pPr>
        <w:spacing w:after="0"/>
        <w:jc w:val="center"/>
        <w:rPr>
          <w:rFonts w:ascii="Verdana" w:hAnsi="Verdana"/>
          <w:b/>
          <w:sz w:val="20"/>
          <w:szCs w:val="20"/>
        </w:rPr>
      </w:pPr>
    </w:p>
    <w:p w:rsidR="003B7BFB" w:rsidRDefault="003B7BFB" w:rsidP="004C10F9">
      <w:pPr>
        <w:spacing w:after="0"/>
        <w:jc w:val="center"/>
        <w:rPr>
          <w:rFonts w:ascii="Verdana" w:hAnsi="Verdana"/>
          <w:b/>
          <w:sz w:val="20"/>
          <w:szCs w:val="20"/>
        </w:rPr>
      </w:pPr>
    </w:p>
    <w:p w:rsidR="00F84637" w:rsidRPr="00DF1F41" w:rsidRDefault="004C10F9" w:rsidP="004C10F9">
      <w:pPr>
        <w:spacing w:after="0"/>
        <w:jc w:val="center"/>
        <w:rPr>
          <w:rFonts w:ascii="Verdana" w:hAnsi="Verdana"/>
          <w:b/>
          <w:sz w:val="20"/>
          <w:szCs w:val="20"/>
        </w:rPr>
      </w:pPr>
      <w:r>
        <w:rPr>
          <w:rFonts w:ascii="Verdana" w:hAnsi="Verdana"/>
          <w:b/>
          <w:sz w:val="20"/>
          <w:szCs w:val="20"/>
        </w:rPr>
        <w:t xml:space="preserve">VOTO PARCIALMENTE DISIDENTE </w:t>
      </w:r>
      <w:r w:rsidR="00F84637" w:rsidRPr="00DF1F41">
        <w:rPr>
          <w:rFonts w:ascii="Verdana" w:hAnsi="Verdana"/>
          <w:b/>
          <w:sz w:val="20"/>
          <w:szCs w:val="20"/>
        </w:rPr>
        <w:t>DEL JUEZ EDUARDO VIO GROSSI,</w:t>
      </w:r>
    </w:p>
    <w:p w:rsidR="00F84637" w:rsidRPr="00DF1F41" w:rsidRDefault="004C10F9" w:rsidP="004C10F9">
      <w:pPr>
        <w:spacing w:after="0"/>
        <w:jc w:val="center"/>
        <w:rPr>
          <w:rFonts w:ascii="Verdana" w:hAnsi="Verdana"/>
          <w:b/>
          <w:sz w:val="20"/>
          <w:szCs w:val="20"/>
        </w:rPr>
      </w:pPr>
      <w:r>
        <w:rPr>
          <w:rFonts w:ascii="Verdana" w:hAnsi="Verdana"/>
          <w:b/>
          <w:sz w:val="20"/>
          <w:szCs w:val="20"/>
        </w:rPr>
        <w:t xml:space="preserve">RESOLUCIÓN DE LA </w:t>
      </w:r>
      <w:r w:rsidR="00F84637" w:rsidRPr="00DF1F41">
        <w:rPr>
          <w:rFonts w:ascii="Verdana" w:hAnsi="Verdana"/>
          <w:b/>
          <w:sz w:val="20"/>
          <w:szCs w:val="20"/>
        </w:rPr>
        <w:t>CORTE INTERAMERICANA DE DERECHOS HUMANOS,</w:t>
      </w:r>
    </w:p>
    <w:p w:rsidR="00F84637" w:rsidRPr="00DF1F41" w:rsidRDefault="004C10F9" w:rsidP="004C10F9">
      <w:pPr>
        <w:spacing w:after="0"/>
        <w:jc w:val="center"/>
        <w:rPr>
          <w:rFonts w:ascii="Verdana" w:hAnsi="Verdana"/>
          <w:b/>
          <w:sz w:val="20"/>
          <w:szCs w:val="20"/>
        </w:rPr>
      </w:pPr>
      <w:r>
        <w:rPr>
          <w:rFonts w:ascii="Verdana" w:hAnsi="Verdana"/>
          <w:b/>
          <w:sz w:val="20"/>
          <w:szCs w:val="20"/>
        </w:rPr>
        <w:t>DE 12 DE MARZO DE 2019,</w:t>
      </w:r>
      <w:r w:rsidR="00F962D3">
        <w:rPr>
          <w:rFonts w:ascii="Verdana" w:hAnsi="Verdana"/>
          <w:b/>
          <w:sz w:val="20"/>
          <w:szCs w:val="20"/>
        </w:rPr>
        <w:t xml:space="preserve"> </w:t>
      </w:r>
      <w:r w:rsidR="00F84637" w:rsidRPr="00DF1F41">
        <w:rPr>
          <w:rFonts w:ascii="Verdana" w:hAnsi="Verdana"/>
          <w:b/>
          <w:sz w:val="20"/>
          <w:szCs w:val="20"/>
        </w:rPr>
        <w:t>MEDIDAS PROVISIONALES</w:t>
      </w:r>
      <w:r w:rsidR="00F962D3">
        <w:rPr>
          <w:rFonts w:ascii="Verdana" w:hAnsi="Verdana"/>
          <w:b/>
          <w:sz w:val="20"/>
          <w:szCs w:val="20"/>
        </w:rPr>
        <w:t xml:space="preserve"> Y SUPERVISIÓN DE CUMPLIMIENTO DE SENTENCIA,</w:t>
      </w:r>
    </w:p>
    <w:p w:rsidR="00F84637" w:rsidRPr="00DF1F41" w:rsidRDefault="00F84637" w:rsidP="00303E7B">
      <w:pPr>
        <w:spacing w:after="0"/>
        <w:jc w:val="center"/>
        <w:rPr>
          <w:rFonts w:ascii="Verdana" w:hAnsi="Verdana"/>
          <w:b/>
          <w:sz w:val="20"/>
          <w:szCs w:val="20"/>
        </w:rPr>
      </w:pPr>
      <w:r w:rsidRPr="00DF1F41">
        <w:rPr>
          <w:rFonts w:ascii="Verdana" w:hAnsi="Verdana"/>
          <w:b/>
          <w:sz w:val="20"/>
          <w:szCs w:val="20"/>
        </w:rPr>
        <w:t xml:space="preserve">CASO DE LOS MIEMBROS DE LA ALDEA CHICHUPAC Y </w:t>
      </w:r>
    </w:p>
    <w:p w:rsidR="00F84637" w:rsidRPr="00DF1F41" w:rsidRDefault="00F84637" w:rsidP="00303E7B">
      <w:pPr>
        <w:spacing w:after="0"/>
        <w:jc w:val="center"/>
        <w:rPr>
          <w:rFonts w:ascii="Verdana" w:hAnsi="Verdana"/>
          <w:b/>
          <w:sz w:val="20"/>
          <w:szCs w:val="20"/>
        </w:rPr>
      </w:pPr>
      <w:r w:rsidRPr="00DF1F41">
        <w:rPr>
          <w:rFonts w:ascii="Verdana" w:hAnsi="Verdana"/>
          <w:b/>
          <w:sz w:val="20"/>
          <w:szCs w:val="20"/>
        </w:rPr>
        <w:t>COMUNIDADES DEL MUNICIPIO DE RABINAL</w:t>
      </w:r>
      <w:r w:rsidR="00F962D3">
        <w:rPr>
          <w:rFonts w:ascii="Verdana" w:hAnsi="Verdana"/>
          <w:b/>
          <w:sz w:val="20"/>
          <w:szCs w:val="20"/>
        </w:rPr>
        <w:t xml:space="preserve">, CASO MOLINA THIESEN Y OTROS 12 CASOS CONTRA </w:t>
      </w:r>
      <w:r w:rsidRPr="00DF1F41">
        <w:rPr>
          <w:rFonts w:ascii="Verdana" w:hAnsi="Verdana"/>
          <w:b/>
          <w:sz w:val="20"/>
          <w:szCs w:val="20"/>
        </w:rPr>
        <w:t>GUATEMALA.</w:t>
      </w:r>
    </w:p>
    <w:p w:rsidR="00A317F9" w:rsidRPr="00DF1F41" w:rsidRDefault="00A317F9" w:rsidP="00303E7B">
      <w:pPr>
        <w:rPr>
          <w:rFonts w:ascii="Verdana" w:hAnsi="Verdana"/>
          <w:sz w:val="20"/>
          <w:szCs w:val="20"/>
        </w:rPr>
      </w:pPr>
    </w:p>
    <w:p w:rsidR="00F84637" w:rsidRPr="00DF1F41" w:rsidRDefault="00F84637" w:rsidP="00303E7B">
      <w:pPr>
        <w:rPr>
          <w:rFonts w:ascii="Verdana" w:hAnsi="Verdana"/>
          <w:b/>
          <w:sz w:val="20"/>
          <w:szCs w:val="20"/>
        </w:rPr>
      </w:pPr>
      <w:r w:rsidRPr="00DF1F41">
        <w:rPr>
          <w:rFonts w:ascii="Verdana" w:hAnsi="Verdana"/>
          <w:b/>
          <w:sz w:val="20"/>
          <w:szCs w:val="20"/>
        </w:rPr>
        <w:t>INTRODUCCIÓN.</w:t>
      </w:r>
    </w:p>
    <w:p w:rsidR="00101E86" w:rsidRDefault="00F84637" w:rsidP="00DF1F41">
      <w:pPr>
        <w:spacing w:after="0"/>
        <w:jc w:val="both"/>
        <w:rPr>
          <w:rFonts w:ascii="Verdana" w:hAnsi="Verdana"/>
          <w:sz w:val="20"/>
          <w:szCs w:val="20"/>
        </w:rPr>
      </w:pPr>
      <w:r w:rsidRPr="00DF1F41">
        <w:rPr>
          <w:rFonts w:ascii="Verdana" w:hAnsi="Verdana"/>
          <w:sz w:val="20"/>
          <w:szCs w:val="20"/>
        </w:rPr>
        <w:t>Se emite el presente voto parcialmente disidente</w:t>
      </w:r>
      <w:r w:rsidRPr="00DF1F41">
        <w:rPr>
          <w:rStyle w:val="Refdenotaalpie"/>
          <w:rFonts w:ascii="Verdana" w:hAnsi="Verdana"/>
          <w:sz w:val="20"/>
          <w:szCs w:val="20"/>
        </w:rPr>
        <w:footnoteReference w:id="1"/>
      </w:r>
      <w:r w:rsidR="00033AB9">
        <w:rPr>
          <w:rFonts w:ascii="Verdana" w:hAnsi="Verdana"/>
          <w:sz w:val="20"/>
          <w:szCs w:val="20"/>
        </w:rPr>
        <w:t xml:space="preserve"> </w:t>
      </w:r>
      <w:r w:rsidR="00101E86" w:rsidRPr="00DF1F41">
        <w:rPr>
          <w:rFonts w:ascii="Verdana" w:hAnsi="Verdana"/>
          <w:sz w:val="20"/>
          <w:szCs w:val="20"/>
        </w:rPr>
        <w:t>respecto de la Resolución</w:t>
      </w:r>
      <w:r w:rsidRPr="00DF1F41">
        <w:rPr>
          <w:rFonts w:ascii="Verdana" w:hAnsi="Verdana"/>
          <w:sz w:val="20"/>
          <w:szCs w:val="20"/>
        </w:rPr>
        <w:t xml:space="preserve"> del epígrafe</w:t>
      </w:r>
      <w:r w:rsidRPr="00DF1F41">
        <w:rPr>
          <w:rStyle w:val="Refdenotaalpie"/>
          <w:rFonts w:ascii="Verdana" w:hAnsi="Verdana"/>
          <w:sz w:val="20"/>
          <w:szCs w:val="20"/>
        </w:rPr>
        <w:footnoteReference w:id="2"/>
      </w:r>
      <w:r w:rsidRPr="00DF1F41">
        <w:rPr>
          <w:rFonts w:ascii="Verdana" w:hAnsi="Verdana"/>
          <w:sz w:val="20"/>
          <w:szCs w:val="20"/>
        </w:rPr>
        <w:t>, por discrepar respecto de lo decidido en su Punto Resolutivo N° 2</w:t>
      </w:r>
      <w:r w:rsidR="00101E86" w:rsidRPr="00DF1F41">
        <w:rPr>
          <w:rFonts w:ascii="Verdana" w:hAnsi="Verdana"/>
          <w:sz w:val="20"/>
          <w:szCs w:val="20"/>
        </w:rPr>
        <w:t>, en el que se expresa:</w:t>
      </w:r>
    </w:p>
    <w:p w:rsidR="00DF1F41" w:rsidRPr="00DF1F41" w:rsidRDefault="00DF1F41" w:rsidP="00DF1F41">
      <w:pPr>
        <w:spacing w:after="0"/>
        <w:jc w:val="both"/>
        <w:rPr>
          <w:rFonts w:ascii="Verdana" w:hAnsi="Verdana"/>
          <w:sz w:val="20"/>
          <w:szCs w:val="20"/>
        </w:rPr>
      </w:pPr>
    </w:p>
    <w:p w:rsidR="00F84637" w:rsidRPr="00DF1F41" w:rsidRDefault="00101E86" w:rsidP="00303E7B">
      <w:pPr>
        <w:ind w:left="567"/>
        <w:jc w:val="both"/>
        <w:rPr>
          <w:rFonts w:ascii="Verdana" w:hAnsi="Verdana"/>
          <w:bCs/>
          <w:i/>
          <w:color w:val="000000"/>
          <w:sz w:val="20"/>
          <w:szCs w:val="20"/>
        </w:rPr>
      </w:pPr>
      <w:r w:rsidRPr="00DF1F41">
        <w:rPr>
          <w:rFonts w:ascii="Verdana" w:hAnsi="Verdana"/>
          <w:i/>
          <w:sz w:val="20"/>
          <w:szCs w:val="20"/>
        </w:rPr>
        <w:t>“</w:t>
      </w:r>
      <w:r w:rsidR="00F84637" w:rsidRPr="00DF1F41">
        <w:rPr>
          <w:rFonts w:ascii="Verdana" w:hAnsi="Verdana"/>
          <w:i/>
          <w:color w:val="000000"/>
          <w:sz w:val="20"/>
          <w:szCs w:val="20"/>
        </w:rPr>
        <w:t>Requerir al Estado de Guatemala que, para garantizar</w:t>
      </w:r>
      <w:r w:rsidR="0045078F">
        <w:rPr>
          <w:rFonts w:ascii="Verdana" w:hAnsi="Verdana"/>
          <w:i/>
          <w:color w:val="000000"/>
          <w:sz w:val="20"/>
          <w:szCs w:val="20"/>
        </w:rPr>
        <w:t xml:space="preserve"> </w:t>
      </w:r>
      <w:r w:rsidR="00F84637" w:rsidRPr="00DF1F41">
        <w:rPr>
          <w:rFonts w:ascii="Verdana" w:hAnsi="Verdana"/>
          <w:i/>
          <w:color w:val="000000"/>
          <w:sz w:val="20"/>
          <w:szCs w:val="20"/>
        </w:rPr>
        <w:t xml:space="preserve">el derecho al acceso a la justicia de las víctimas </w:t>
      </w:r>
      <w:r w:rsidR="009B59B9">
        <w:rPr>
          <w:rFonts w:ascii="Verdana" w:hAnsi="Verdana"/>
          <w:i/>
          <w:color w:val="000000"/>
          <w:sz w:val="20"/>
          <w:szCs w:val="20"/>
        </w:rPr>
        <w:t xml:space="preserve">de </w:t>
      </w:r>
      <w:r w:rsidR="00F962D3">
        <w:rPr>
          <w:rFonts w:ascii="Verdana" w:hAnsi="Verdana"/>
          <w:i/>
          <w:color w:val="000000"/>
          <w:sz w:val="20"/>
          <w:szCs w:val="20"/>
        </w:rPr>
        <w:t>los 14 casos indicados en el Considerando 50,</w:t>
      </w:r>
      <w:r w:rsidR="009B59B9">
        <w:rPr>
          <w:rFonts w:ascii="Verdana" w:hAnsi="Verdana"/>
          <w:i/>
          <w:color w:val="000000"/>
          <w:sz w:val="20"/>
          <w:szCs w:val="20"/>
        </w:rPr>
        <w:t xml:space="preserve"> </w:t>
      </w:r>
      <w:r w:rsidR="00F84637" w:rsidRPr="00DF1F41">
        <w:rPr>
          <w:rFonts w:ascii="Verdana" w:hAnsi="Verdana"/>
          <w:bCs/>
          <w:i/>
          <w:color w:val="000000"/>
          <w:sz w:val="20"/>
          <w:szCs w:val="20"/>
        </w:rPr>
        <w:t xml:space="preserve">interrumpa el trámite </w:t>
      </w:r>
      <w:r w:rsidR="0045078F">
        <w:rPr>
          <w:rFonts w:ascii="Verdana" w:hAnsi="Verdana"/>
          <w:bCs/>
          <w:i/>
          <w:color w:val="000000"/>
          <w:sz w:val="20"/>
          <w:szCs w:val="20"/>
        </w:rPr>
        <w:t xml:space="preserve">legislativo </w:t>
      </w:r>
      <w:r w:rsidR="00F84637" w:rsidRPr="00DF1F41">
        <w:rPr>
          <w:rFonts w:ascii="Verdana" w:hAnsi="Verdana"/>
          <w:bCs/>
          <w:i/>
          <w:color w:val="000000"/>
          <w:sz w:val="20"/>
          <w:szCs w:val="20"/>
        </w:rPr>
        <w:t>de</w:t>
      </w:r>
      <w:r w:rsidR="0045078F">
        <w:rPr>
          <w:rFonts w:ascii="Verdana" w:hAnsi="Verdana"/>
          <w:i/>
          <w:color w:val="000000"/>
          <w:sz w:val="20"/>
          <w:szCs w:val="20"/>
        </w:rPr>
        <w:t xml:space="preserve"> </w:t>
      </w:r>
      <w:r w:rsidR="00673FC4">
        <w:rPr>
          <w:rFonts w:ascii="Verdana" w:hAnsi="Verdana"/>
          <w:i/>
          <w:color w:val="000000"/>
          <w:sz w:val="20"/>
          <w:szCs w:val="20"/>
        </w:rPr>
        <w:t>la iniciativa de ley 5377</w:t>
      </w:r>
      <w:r w:rsidR="00F84637" w:rsidRPr="00DF1F41">
        <w:rPr>
          <w:rFonts w:ascii="Verdana" w:hAnsi="Verdana"/>
          <w:i/>
          <w:color w:val="000000"/>
          <w:sz w:val="20"/>
          <w:szCs w:val="20"/>
        </w:rPr>
        <w:t xml:space="preserve"> que pretende reformar la Ley d</w:t>
      </w:r>
      <w:r w:rsidR="00673FC4">
        <w:rPr>
          <w:rFonts w:ascii="Verdana" w:hAnsi="Verdana"/>
          <w:i/>
          <w:color w:val="000000"/>
          <w:sz w:val="20"/>
          <w:szCs w:val="20"/>
        </w:rPr>
        <w:t>e Reconciliación Nacional de 199</w:t>
      </w:r>
      <w:r w:rsidR="00F84637" w:rsidRPr="00DF1F41">
        <w:rPr>
          <w:rFonts w:ascii="Verdana" w:hAnsi="Verdana"/>
          <w:i/>
          <w:color w:val="000000"/>
          <w:sz w:val="20"/>
          <w:szCs w:val="20"/>
        </w:rPr>
        <w:t>6 concediendo una amnistía para todas las graves violaciones cometidas durante el conflicto armado interno,</w:t>
      </w:r>
      <w:r w:rsidR="0045078F">
        <w:rPr>
          <w:rFonts w:ascii="Verdana" w:hAnsi="Verdana"/>
          <w:i/>
          <w:color w:val="000000"/>
          <w:sz w:val="20"/>
          <w:szCs w:val="20"/>
        </w:rPr>
        <w:t xml:space="preserve"> </w:t>
      </w:r>
      <w:r w:rsidR="00F84637" w:rsidRPr="00DF1F41">
        <w:rPr>
          <w:rFonts w:ascii="Verdana" w:hAnsi="Verdana"/>
          <w:bCs/>
          <w:i/>
          <w:color w:val="000000"/>
          <w:sz w:val="20"/>
          <w:szCs w:val="20"/>
        </w:rPr>
        <w:t>y la archive.</w:t>
      </w:r>
      <w:r w:rsidRPr="00DF1F41">
        <w:rPr>
          <w:rFonts w:ascii="Verdana" w:hAnsi="Verdana"/>
          <w:bCs/>
          <w:i/>
          <w:color w:val="000000"/>
          <w:sz w:val="20"/>
          <w:szCs w:val="20"/>
        </w:rPr>
        <w:t>”</w:t>
      </w:r>
    </w:p>
    <w:p w:rsidR="00101E86" w:rsidRPr="00DF1F41" w:rsidRDefault="00101E86" w:rsidP="00303E7B">
      <w:pPr>
        <w:jc w:val="both"/>
        <w:rPr>
          <w:rFonts w:ascii="Verdana" w:hAnsi="Verdana"/>
          <w:sz w:val="20"/>
          <w:szCs w:val="20"/>
        </w:rPr>
      </w:pPr>
      <w:r w:rsidRPr="00DF1F41">
        <w:rPr>
          <w:rFonts w:ascii="Verdana" w:hAnsi="Verdana"/>
          <w:sz w:val="20"/>
          <w:szCs w:val="20"/>
        </w:rPr>
        <w:t xml:space="preserve">A los efectos de explicar este voto, se abordarán algunas consideraciones </w:t>
      </w:r>
      <w:r w:rsidR="00DF1F41" w:rsidRPr="00DF1F41">
        <w:rPr>
          <w:rFonts w:ascii="Verdana" w:hAnsi="Verdana"/>
          <w:sz w:val="20"/>
          <w:szCs w:val="20"/>
        </w:rPr>
        <w:t>preliminares</w:t>
      </w:r>
      <w:r w:rsidRPr="00DF1F41">
        <w:rPr>
          <w:rFonts w:ascii="Verdana" w:hAnsi="Verdana"/>
          <w:sz w:val="20"/>
          <w:szCs w:val="20"/>
        </w:rPr>
        <w:t>, la procedencia de las medidas provisionales y la disidencia en cuestión.</w:t>
      </w:r>
    </w:p>
    <w:p w:rsidR="00101E86" w:rsidRPr="00DF1F41" w:rsidRDefault="00101E86" w:rsidP="00303E7B">
      <w:pPr>
        <w:pStyle w:val="Prrafodelista"/>
        <w:numPr>
          <w:ilvl w:val="0"/>
          <w:numId w:val="1"/>
        </w:numPr>
        <w:jc w:val="both"/>
        <w:rPr>
          <w:rFonts w:ascii="Verdana" w:hAnsi="Verdana"/>
          <w:sz w:val="20"/>
          <w:szCs w:val="20"/>
        </w:rPr>
      </w:pPr>
      <w:r w:rsidRPr="00DF1F41">
        <w:rPr>
          <w:rFonts w:ascii="Verdana" w:hAnsi="Verdana"/>
          <w:b/>
          <w:sz w:val="20"/>
          <w:szCs w:val="20"/>
        </w:rPr>
        <w:t>CONSIDERACIONES PRELIMINARES.</w:t>
      </w:r>
    </w:p>
    <w:p w:rsidR="003B7BFB" w:rsidRDefault="007C6D32" w:rsidP="00303E7B">
      <w:pPr>
        <w:spacing w:after="120"/>
        <w:jc w:val="both"/>
        <w:rPr>
          <w:rFonts w:ascii="Verdana" w:hAnsi="Verdana"/>
          <w:sz w:val="20"/>
          <w:szCs w:val="20"/>
        </w:rPr>
      </w:pPr>
      <w:r w:rsidRPr="00DF1F41">
        <w:rPr>
          <w:rFonts w:ascii="Verdana" w:hAnsi="Verdana"/>
          <w:sz w:val="20"/>
          <w:szCs w:val="20"/>
        </w:rPr>
        <w:t xml:space="preserve">El presente voto parcialmente </w:t>
      </w:r>
      <w:r w:rsidR="00593D29" w:rsidRPr="00DF1F41">
        <w:rPr>
          <w:rFonts w:ascii="Verdana" w:hAnsi="Verdana"/>
          <w:sz w:val="20"/>
          <w:szCs w:val="20"/>
        </w:rPr>
        <w:t xml:space="preserve">disidente se formula </w:t>
      </w:r>
      <w:r w:rsidRPr="00DF1F41">
        <w:rPr>
          <w:rFonts w:ascii="Verdana" w:hAnsi="Verdana"/>
          <w:sz w:val="20"/>
          <w:szCs w:val="20"/>
        </w:rPr>
        <w:t>con pleno y absoluto respeto de lo r</w:t>
      </w:r>
      <w:r w:rsidR="00593D29" w:rsidRPr="00DF1F41">
        <w:rPr>
          <w:rFonts w:ascii="Verdana" w:hAnsi="Verdana"/>
          <w:sz w:val="20"/>
          <w:szCs w:val="20"/>
        </w:rPr>
        <w:t>esuelto en autos por la Corte</w:t>
      </w:r>
      <w:r w:rsidR="00D86787" w:rsidRPr="00DF1F41">
        <w:rPr>
          <w:rFonts w:ascii="Verdana" w:hAnsi="Verdana"/>
          <w:sz w:val="20"/>
          <w:szCs w:val="20"/>
        </w:rPr>
        <w:t xml:space="preserve"> Interamericana de Derechos Humanos</w:t>
      </w:r>
      <w:r w:rsidR="00D86787" w:rsidRPr="00DF1F41">
        <w:rPr>
          <w:rStyle w:val="Refdenotaalpie"/>
          <w:rFonts w:ascii="Verdana" w:hAnsi="Verdana"/>
          <w:sz w:val="20"/>
          <w:szCs w:val="20"/>
        </w:rPr>
        <w:footnoteReference w:id="3"/>
      </w:r>
      <w:r w:rsidR="00593D29" w:rsidRPr="00DF1F41">
        <w:rPr>
          <w:rFonts w:ascii="Verdana" w:hAnsi="Verdana"/>
          <w:sz w:val="20"/>
          <w:szCs w:val="20"/>
        </w:rPr>
        <w:t xml:space="preserve">, lo </w:t>
      </w:r>
      <w:r w:rsidR="00D86787" w:rsidRPr="00DF1F41">
        <w:rPr>
          <w:rFonts w:ascii="Verdana" w:hAnsi="Verdana"/>
          <w:sz w:val="20"/>
          <w:szCs w:val="20"/>
        </w:rPr>
        <w:t>que, ciertamente</w:t>
      </w:r>
      <w:r w:rsidRPr="00DF1F41">
        <w:rPr>
          <w:rFonts w:ascii="Verdana" w:hAnsi="Verdana"/>
          <w:sz w:val="20"/>
          <w:szCs w:val="20"/>
        </w:rPr>
        <w:t>, debe ser acatado</w:t>
      </w:r>
      <w:r w:rsidR="00593D29" w:rsidRPr="00DF1F41">
        <w:rPr>
          <w:rFonts w:ascii="Verdana" w:hAnsi="Verdana"/>
          <w:sz w:val="20"/>
          <w:szCs w:val="20"/>
        </w:rPr>
        <w:t xml:space="preserve">. </w:t>
      </w:r>
    </w:p>
    <w:p w:rsidR="003B7BFB" w:rsidRDefault="003B7BFB">
      <w:pPr>
        <w:spacing w:after="120" w:line="300" w:lineRule="auto"/>
        <w:ind w:left="851"/>
        <w:jc w:val="both"/>
        <w:rPr>
          <w:rFonts w:ascii="Verdana" w:hAnsi="Verdana"/>
          <w:sz w:val="20"/>
          <w:szCs w:val="20"/>
        </w:rPr>
      </w:pPr>
      <w:r>
        <w:rPr>
          <w:rFonts w:ascii="Verdana" w:hAnsi="Verdana"/>
          <w:sz w:val="20"/>
          <w:szCs w:val="20"/>
        </w:rPr>
        <w:br w:type="page"/>
      </w:r>
    </w:p>
    <w:p w:rsidR="007C6D32" w:rsidRPr="00DF1F41" w:rsidRDefault="007C6D32" w:rsidP="00303E7B">
      <w:pPr>
        <w:spacing w:after="120"/>
        <w:jc w:val="both"/>
        <w:rPr>
          <w:rFonts w:ascii="Verdana" w:hAnsi="Verdana"/>
          <w:sz w:val="20"/>
          <w:szCs w:val="20"/>
        </w:rPr>
      </w:pPr>
    </w:p>
    <w:p w:rsidR="000F7E89" w:rsidRPr="00DF1F41" w:rsidRDefault="00593D29" w:rsidP="00303E7B">
      <w:pPr>
        <w:spacing w:after="120"/>
        <w:jc w:val="both"/>
        <w:rPr>
          <w:rFonts w:ascii="Verdana" w:hAnsi="Verdana"/>
          <w:sz w:val="20"/>
          <w:szCs w:val="20"/>
        </w:rPr>
      </w:pPr>
      <w:r w:rsidRPr="00DF1F41">
        <w:rPr>
          <w:rFonts w:ascii="Verdana" w:hAnsi="Verdana"/>
          <w:sz w:val="20"/>
          <w:szCs w:val="20"/>
        </w:rPr>
        <w:t xml:space="preserve">Asimismo, se emite </w:t>
      </w:r>
      <w:r w:rsidR="000F7E89" w:rsidRPr="00DF1F41">
        <w:rPr>
          <w:rFonts w:ascii="Verdana" w:hAnsi="Verdana"/>
          <w:sz w:val="20"/>
          <w:szCs w:val="20"/>
        </w:rPr>
        <w:t>teniendo presente que el objeto de las medidas provisionales es oportunamente evitar que se produzca la violación de algún derecho humano o que se restablezca su respeto lo más pronto posible.</w:t>
      </w:r>
    </w:p>
    <w:p w:rsidR="00D86787" w:rsidRPr="00DF1F41" w:rsidRDefault="000F7E89" w:rsidP="00DF1F41">
      <w:pPr>
        <w:spacing w:before="120" w:after="120"/>
        <w:jc w:val="both"/>
        <w:rPr>
          <w:rFonts w:ascii="Verdana" w:hAnsi="Verdana"/>
          <w:sz w:val="20"/>
          <w:szCs w:val="20"/>
        </w:rPr>
      </w:pPr>
      <w:r w:rsidRPr="00DF1F41">
        <w:rPr>
          <w:rFonts w:ascii="Verdana" w:hAnsi="Verdana"/>
          <w:sz w:val="20"/>
          <w:szCs w:val="20"/>
        </w:rPr>
        <w:t xml:space="preserve">También se expide considerando que, para lograr lo anterior, se debe proceder </w:t>
      </w:r>
      <w:r w:rsidR="00D86787" w:rsidRPr="00DF1F41">
        <w:rPr>
          <w:rFonts w:ascii="Verdana" w:hAnsi="Verdana"/>
          <w:sz w:val="20"/>
          <w:szCs w:val="20"/>
        </w:rPr>
        <w:t xml:space="preserve">sobre la base del Derecho y </w:t>
      </w:r>
      <w:r w:rsidRPr="00DF1F41">
        <w:rPr>
          <w:rFonts w:ascii="Verdana" w:hAnsi="Verdana"/>
          <w:sz w:val="20"/>
          <w:szCs w:val="20"/>
        </w:rPr>
        <w:t>del</w:t>
      </w:r>
      <w:r w:rsidR="00D86787" w:rsidRPr="00DF1F41">
        <w:rPr>
          <w:rFonts w:ascii="Verdana" w:hAnsi="Verdana"/>
          <w:sz w:val="20"/>
          <w:szCs w:val="20"/>
        </w:rPr>
        <w:t xml:space="preserve"> compromiso contraído</w:t>
      </w:r>
      <w:r w:rsidRPr="00DF1F41">
        <w:rPr>
          <w:rFonts w:ascii="Verdana" w:hAnsi="Verdana"/>
          <w:sz w:val="20"/>
          <w:szCs w:val="20"/>
        </w:rPr>
        <w:t xml:space="preserve"> libre y soberanamente</w:t>
      </w:r>
      <w:r w:rsidR="00D86787" w:rsidRPr="00DF1F41">
        <w:rPr>
          <w:rFonts w:ascii="Verdana" w:hAnsi="Verdana"/>
          <w:sz w:val="20"/>
          <w:szCs w:val="20"/>
        </w:rPr>
        <w:t xml:space="preserve"> por el Estado de Guatemala</w:t>
      </w:r>
      <w:r w:rsidR="00D86787" w:rsidRPr="00DF1F41">
        <w:rPr>
          <w:rStyle w:val="Refdenotaalpie"/>
          <w:rFonts w:ascii="Verdana" w:hAnsi="Verdana"/>
          <w:sz w:val="20"/>
          <w:szCs w:val="20"/>
        </w:rPr>
        <w:footnoteReference w:id="4"/>
      </w:r>
      <w:r w:rsidR="00DF1F41">
        <w:rPr>
          <w:rFonts w:ascii="Verdana" w:hAnsi="Verdana"/>
          <w:sz w:val="20"/>
          <w:szCs w:val="20"/>
        </w:rPr>
        <w:t xml:space="preserve"> </w:t>
      </w:r>
      <w:r w:rsidR="00D86787" w:rsidRPr="00DF1F41">
        <w:rPr>
          <w:rFonts w:ascii="Verdana" w:hAnsi="Verdana"/>
          <w:sz w:val="20"/>
          <w:szCs w:val="20"/>
        </w:rPr>
        <w:t>al ratificar la Convención Americana de Derechos Humanos</w:t>
      </w:r>
      <w:r w:rsidR="00D86787" w:rsidRPr="00DF1F41">
        <w:rPr>
          <w:rStyle w:val="Refdenotaalpie"/>
          <w:rFonts w:ascii="Verdana" w:hAnsi="Verdana"/>
          <w:sz w:val="20"/>
          <w:szCs w:val="20"/>
        </w:rPr>
        <w:footnoteReference w:id="5"/>
      </w:r>
      <w:r w:rsidR="00D86787" w:rsidRPr="00DF1F41">
        <w:rPr>
          <w:rFonts w:ascii="Verdana" w:hAnsi="Verdana"/>
          <w:sz w:val="20"/>
          <w:szCs w:val="20"/>
        </w:rPr>
        <w:t>.</w:t>
      </w:r>
    </w:p>
    <w:p w:rsidR="00D86787" w:rsidRPr="00DF1F41" w:rsidRDefault="00D86787" w:rsidP="00303E7B">
      <w:pPr>
        <w:spacing w:after="120"/>
        <w:jc w:val="both"/>
        <w:rPr>
          <w:rFonts w:ascii="Verdana" w:hAnsi="Verdana"/>
          <w:sz w:val="20"/>
          <w:szCs w:val="20"/>
        </w:rPr>
      </w:pPr>
      <w:r w:rsidRPr="00DF1F41">
        <w:rPr>
          <w:rFonts w:ascii="Verdana" w:hAnsi="Verdana"/>
          <w:sz w:val="20"/>
          <w:szCs w:val="20"/>
        </w:rPr>
        <w:t xml:space="preserve">El presente voto también obedece al </w:t>
      </w:r>
      <w:r w:rsidR="007C6D32" w:rsidRPr="00DF1F41">
        <w:rPr>
          <w:rFonts w:ascii="Verdana" w:hAnsi="Verdana"/>
          <w:sz w:val="20"/>
          <w:szCs w:val="20"/>
        </w:rPr>
        <w:t xml:space="preserve">cumplimiento de un deber, cual es, contribuir a la mejor comprensión de </w:t>
      </w:r>
      <w:r w:rsidRPr="00DF1F41">
        <w:rPr>
          <w:rFonts w:ascii="Verdana" w:hAnsi="Verdana"/>
          <w:sz w:val="20"/>
          <w:szCs w:val="20"/>
        </w:rPr>
        <w:t xml:space="preserve">la función asignada a la Corte, demostrando el diálogo y </w:t>
      </w:r>
      <w:r w:rsidR="007C6D32" w:rsidRPr="00DF1F41">
        <w:rPr>
          <w:rFonts w:ascii="Verdana" w:hAnsi="Verdana"/>
          <w:sz w:val="20"/>
          <w:szCs w:val="20"/>
        </w:rPr>
        <w:t xml:space="preserve">la diversidad de pareceres que existe en </w:t>
      </w:r>
      <w:r w:rsidRPr="00DF1F41">
        <w:rPr>
          <w:rFonts w:ascii="Verdana" w:hAnsi="Verdana"/>
          <w:sz w:val="20"/>
          <w:szCs w:val="20"/>
        </w:rPr>
        <w:t>ella.</w:t>
      </w:r>
      <w:r w:rsidR="007C6D32" w:rsidRPr="00DF1F41">
        <w:rPr>
          <w:rFonts w:ascii="Verdana" w:hAnsi="Verdana"/>
          <w:sz w:val="20"/>
          <w:szCs w:val="20"/>
        </w:rPr>
        <w:t xml:space="preserve"> </w:t>
      </w:r>
    </w:p>
    <w:p w:rsidR="007C6D32" w:rsidRPr="00DF1F41" w:rsidRDefault="000F7E89" w:rsidP="00303E7B">
      <w:pPr>
        <w:spacing w:after="120"/>
        <w:jc w:val="both"/>
        <w:rPr>
          <w:rFonts w:ascii="Verdana" w:hAnsi="Verdana"/>
          <w:sz w:val="20"/>
          <w:szCs w:val="20"/>
        </w:rPr>
      </w:pPr>
      <w:r w:rsidRPr="00DF1F41">
        <w:rPr>
          <w:rFonts w:ascii="Verdana" w:hAnsi="Verdana"/>
          <w:sz w:val="20"/>
          <w:szCs w:val="20"/>
        </w:rPr>
        <w:t xml:space="preserve">Del mismo modo, </w:t>
      </w:r>
      <w:r w:rsidR="00D86787" w:rsidRPr="00DF1F41">
        <w:rPr>
          <w:rFonts w:ascii="Verdana" w:hAnsi="Verdana"/>
          <w:sz w:val="20"/>
          <w:szCs w:val="20"/>
        </w:rPr>
        <w:t>e</w:t>
      </w:r>
      <w:r w:rsidR="007C6D32" w:rsidRPr="00DF1F41">
        <w:rPr>
          <w:rFonts w:ascii="Verdana" w:hAnsi="Verdana"/>
          <w:sz w:val="20"/>
          <w:szCs w:val="20"/>
        </w:rPr>
        <w:t xml:space="preserve">ste escrito se sustenta en que lo </w:t>
      </w:r>
      <w:r w:rsidR="00D86787" w:rsidRPr="00DF1F41">
        <w:rPr>
          <w:rFonts w:ascii="Verdana" w:hAnsi="Verdana"/>
          <w:sz w:val="20"/>
          <w:szCs w:val="20"/>
        </w:rPr>
        <w:t>que le corresponde a la Corte</w:t>
      </w:r>
      <w:r w:rsidR="007C6D32" w:rsidRPr="00DF1F41">
        <w:rPr>
          <w:rFonts w:ascii="Verdana" w:hAnsi="Verdana"/>
          <w:sz w:val="20"/>
          <w:szCs w:val="20"/>
        </w:rPr>
        <w:t xml:space="preserve"> es aplicar e interpretar la Convención</w:t>
      </w:r>
      <w:r w:rsidR="007C6D32" w:rsidRPr="00DF1F41">
        <w:rPr>
          <w:rStyle w:val="Refdenotaalpie"/>
          <w:rFonts w:ascii="Verdana" w:hAnsi="Verdana"/>
          <w:sz w:val="20"/>
          <w:szCs w:val="20"/>
        </w:rPr>
        <w:footnoteReference w:id="6"/>
      </w:r>
      <w:r w:rsidR="007C6D32" w:rsidRPr="00DF1F41">
        <w:rPr>
          <w:rFonts w:ascii="Verdana" w:hAnsi="Verdana"/>
          <w:sz w:val="20"/>
          <w:szCs w:val="20"/>
        </w:rPr>
        <w:t xml:space="preserve">, vale decir, señalar el sentido y alcance de sus disposiciones que, por ser en alguna medida percibidas como oscuras o dudosas, presenten varias posibilidades de aplicación. </w:t>
      </w:r>
      <w:r w:rsidR="00D86787" w:rsidRPr="00DF1F41">
        <w:rPr>
          <w:rFonts w:ascii="Verdana" w:hAnsi="Verdana"/>
          <w:sz w:val="20"/>
          <w:szCs w:val="20"/>
        </w:rPr>
        <w:t xml:space="preserve">Para ello, debe aplicar </w:t>
      </w:r>
      <w:r w:rsidR="00033AB9">
        <w:rPr>
          <w:rFonts w:ascii="Verdana" w:hAnsi="Verdana"/>
          <w:sz w:val="20"/>
          <w:szCs w:val="20"/>
        </w:rPr>
        <w:t>lo prescrito en cuanto a</w:t>
      </w:r>
      <w:r w:rsidR="007C6D32" w:rsidRPr="00DF1F41">
        <w:rPr>
          <w:rFonts w:ascii="Verdana" w:hAnsi="Verdana"/>
          <w:sz w:val="20"/>
          <w:szCs w:val="20"/>
        </w:rPr>
        <w:t xml:space="preserve"> la interpretación de los tratados por la Convención de Viena sobre el Derecho de los Tratados</w:t>
      </w:r>
      <w:r w:rsidRPr="00DF1F41">
        <w:rPr>
          <w:rStyle w:val="Refdenotaalpie"/>
          <w:rFonts w:ascii="Verdana" w:hAnsi="Verdana"/>
          <w:sz w:val="20"/>
          <w:szCs w:val="20"/>
        </w:rPr>
        <w:footnoteReference w:id="7"/>
      </w:r>
      <w:r w:rsidRPr="00DF1F41">
        <w:rPr>
          <w:rFonts w:ascii="Verdana" w:hAnsi="Verdana"/>
          <w:sz w:val="20"/>
          <w:szCs w:val="20"/>
        </w:rPr>
        <w:t>.</w:t>
      </w:r>
    </w:p>
    <w:p w:rsidR="001F6A09" w:rsidRPr="00DF1F41" w:rsidRDefault="001F6A09" w:rsidP="00303E7B">
      <w:pPr>
        <w:spacing w:after="120"/>
        <w:jc w:val="both"/>
        <w:rPr>
          <w:rFonts w:ascii="Verdana" w:hAnsi="Verdana"/>
          <w:sz w:val="20"/>
          <w:szCs w:val="20"/>
        </w:rPr>
      </w:pPr>
      <w:r w:rsidRPr="00DF1F41">
        <w:rPr>
          <w:rFonts w:ascii="Verdana" w:hAnsi="Verdana"/>
          <w:sz w:val="20"/>
          <w:szCs w:val="20"/>
        </w:rPr>
        <w:t>Por último, este voto se apoya en que el Derecho, principalmente el Derecho Internacional</w:t>
      </w:r>
      <w:r w:rsidR="00033AB9">
        <w:rPr>
          <w:rFonts w:ascii="Verdana" w:hAnsi="Verdana"/>
          <w:sz w:val="20"/>
          <w:szCs w:val="20"/>
        </w:rPr>
        <w:t xml:space="preserve"> Público y su rama relativa a los derechos humanos</w:t>
      </w:r>
      <w:r w:rsidRPr="00DF1F41">
        <w:rPr>
          <w:rFonts w:ascii="Verdana" w:hAnsi="Verdana"/>
          <w:sz w:val="20"/>
          <w:szCs w:val="20"/>
        </w:rPr>
        <w:t xml:space="preserve">, es el medio para alcanzar la Justicia y ésta la paz y, por ende, la interpretación y aplicación de lo dispuesto en la </w:t>
      </w:r>
      <w:r w:rsidR="00CB0A3A">
        <w:rPr>
          <w:rFonts w:ascii="Verdana" w:hAnsi="Verdana"/>
          <w:sz w:val="20"/>
          <w:szCs w:val="20"/>
        </w:rPr>
        <w:t>Convención, deben ser realizad</w:t>
      </w:r>
      <w:r w:rsidR="002B5841">
        <w:rPr>
          <w:rFonts w:ascii="Verdana" w:hAnsi="Verdana"/>
          <w:sz w:val="20"/>
          <w:szCs w:val="20"/>
        </w:rPr>
        <w:t>as</w:t>
      </w:r>
      <w:r w:rsidRPr="00DF1F41">
        <w:rPr>
          <w:rFonts w:ascii="Verdana" w:hAnsi="Verdana"/>
          <w:sz w:val="20"/>
          <w:szCs w:val="20"/>
        </w:rPr>
        <w:t xml:space="preserve"> desde la perspectiva jurídica</w:t>
      </w:r>
      <w:r w:rsidR="00CB0A3A">
        <w:rPr>
          <w:rFonts w:ascii="Verdana" w:hAnsi="Verdana"/>
          <w:sz w:val="20"/>
          <w:szCs w:val="20"/>
        </w:rPr>
        <w:t xml:space="preserve"> </w:t>
      </w:r>
      <w:r w:rsidR="00C6776A" w:rsidRPr="00DF1F41">
        <w:rPr>
          <w:rFonts w:ascii="Verdana" w:hAnsi="Verdana"/>
          <w:sz w:val="20"/>
          <w:szCs w:val="20"/>
        </w:rPr>
        <w:t>que, obvia</w:t>
      </w:r>
      <w:r w:rsidR="00033AB9">
        <w:rPr>
          <w:rFonts w:ascii="Verdana" w:hAnsi="Verdana"/>
          <w:sz w:val="20"/>
          <w:szCs w:val="20"/>
        </w:rPr>
        <w:t xml:space="preserve">mente, recoja las peculiaridades de la sociedad </w:t>
      </w:r>
      <w:r w:rsidR="00C6776A" w:rsidRPr="00DF1F41">
        <w:rPr>
          <w:rFonts w:ascii="Verdana" w:hAnsi="Verdana"/>
          <w:sz w:val="20"/>
          <w:szCs w:val="20"/>
        </w:rPr>
        <w:t>que procura regir</w:t>
      </w:r>
      <w:r w:rsidR="0099186C">
        <w:rPr>
          <w:rFonts w:ascii="Verdana" w:hAnsi="Verdana"/>
          <w:sz w:val="20"/>
          <w:szCs w:val="20"/>
        </w:rPr>
        <w:t xml:space="preserve">, </w:t>
      </w:r>
      <w:r w:rsidR="00033AB9">
        <w:rPr>
          <w:rFonts w:ascii="Verdana" w:hAnsi="Verdana"/>
          <w:sz w:val="20"/>
          <w:szCs w:val="20"/>
        </w:rPr>
        <w:t xml:space="preserve">es decir, la internacional, </w:t>
      </w:r>
      <w:r w:rsidR="0099186C">
        <w:rPr>
          <w:rFonts w:ascii="Verdana" w:hAnsi="Verdana"/>
          <w:sz w:val="20"/>
          <w:szCs w:val="20"/>
        </w:rPr>
        <w:t>diferente, sin duda, a</w:t>
      </w:r>
      <w:r w:rsidR="00033AB9">
        <w:rPr>
          <w:rFonts w:ascii="Verdana" w:hAnsi="Verdana"/>
          <w:sz w:val="20"/>
          <w:szCs w:val="20"/>
        </w:rPr>
        <w:t xml:space="preserve"> la </w:t>
      </w:r>
      <w:r w:rsidR="0099186C">
        <w:rPr>
          <w:rFonts w:ascii="Verdana" w:hAnsi="Verdana"/>
          <w:sz w:val="20"/>
          <w:szCs w:val="20"/>
        </w:rPr>
        <w:t>nacional.</w:t>
      </w:r>
    </w:p>
    <w:p w:rsidR="000F7E89" w:rsidRPr="00DF1F41" w:rsidRDefault="000F7E89" w:rsidP="00303E7B">
      <w:pPr>
        <w:pStyle w:val="Prrafodelista"/>
        <w:numPr>
          <w:ilvl w:val="0"/>
          <w:numId w:val="1"/>
        </w:numPr>
        <w:spacing w:after="120"/>
        <w:jc w:val="both"/>
        <w:rPr>
          <w:rFonts w:ascii="Verdana" w:hAnsi="Verdana"/>
          <w:b/>
          <w:sz w:val="20"/>
          <w:szCs w:val="20"/>
        </w:rPr>
      </w:pPr>
      <w:r w:rsidRPr="00DF1F41">
        <w:rPr>
          <w:rFonts w:ascii="Verdana" w:hAnsi="Verdana"/>
          <w:b/>
          <w:sz w:val="20"/>
          <w:szCs w:val="20"/>
        </w:rPr>
        <w:t>PROCEDENCIA DE LAS MEDIDAS PROVISIONALES.</w:t>
      </w:r>
    </w:p>
    <w:p w:rsidR="00ED6BCF" w:rsidRPr="00DF1F41" w:rsidRDefault="000F7E89" w:rsidP="00303E7B">
      <w:pPr>
        <w:spacing w:after="0"/>
        <w:jc w:val="both"/>
        <w:rPr>
          <w:rFonts w:ascii="Verdana" w:hAnsi="Verdana"/>
          <w:sz w:val="20"/>
          <w:szCs w:val="20"/>
        </w:rPr>
      </w:pPr>
      <w:r w:rsidRPr="00DF1F41">
        <w:rPr>
          <w:rFonts w:ascii="Verdana" w:hAnsi="Verdana"/>
          <w:sz w:val="20"/>
          <w:szCs w:val="20"/>
        </w:rPr>
        <w:t>En otros votos disidentes, se ha dado cuenta del parecer en orden a que, habiéndose dictado “</w:t>
      </w:r>
      <w:r w:rsidRPr="0099186C">
        <w:rPr>
          <w:rFonts w:ascii="Verdana" w:hAnsi="Verdana"/>
          <w:i/>
          <w:sz w:val="20"/>
          <w:szCs w:val="20"/>
        </w:rPr>
        <w:t>fallo definitivo e inapelable</w:t>
      </w:r>
      <w:r w:rsidRPr="00DF1F41">
        <w:rPr>
          <w:rFonts w:ascii="Verdana" w:hAnsi="Verdana"/>
          <w:sz w:val="20"/>
          <w:szCs w:val="20"/>
        </w:rPr>
        <w:t>” en un caso contencioso</w:t>
      </w:r>
      <w:r w:rsidRPr="00DF1F41">
        <w:rPr>
          <w:rStyle w:val="Refdenotaalpie"/>
          <w:rFonts w:ascii="Verdana" w:hAnsi="Verdana"/>
          <w:sz w:val="20"/>
          <w:szCs w:val="20"/>
        </w:rPr>
        <w:footnoteReference w:id="8"/>
      </w:r>
      <w:r w:rsidRPr="00DF1F41">
        <w:rPr>
          <w:rFonts w:ascii="Verdana" w:hAnsi="Verdana"/>
          <w:sz w:val="20"/>
          <w:szCs w:val="20"/>
        </w:rPr>
        <w:t xml:space="preserve">, </w:t>
      </w:r>
      <w:r w:rsidR="00ED6BCF" w:rsidRPr="00DF1F41">
        <w:rPr>
          <w:rFonts w:ascii="Verdana" w:hAnsi="Verdana"/>
          <w:sz w:val="20"/>
          <w:szCs w:val="20"/>
        </w:rPr>
        <w:t>la</w:t>
      </w:r>
      <w:r w:rsidRPr="00DF1F41">
        <w:rPr>
          <w:rFonts w:ascii="Verdana" w:hAnsi="Verdana"/>
          <w:sz w:val="20"/>
          <w:szCs w:val="20"/>
        </w:rPr>
        <w:t xml:space="preserve"> competencia</w:t>
      </w:r>
      <w:r w:rsidR="00ED6BCF" w:rsidRPr="00DF1F41">
        <w:rPr>
          <w:rFonts w:ascii="Verdana" w:hAnsi="Verdana"/>
          <w:sz w:val="20"/>
          <w:szCs w:val="20"/>
        </w:rPr>
        <w:t xml:space="preserve"> de la Corte</w:t>
      </w:r>
      <w:r w:rsidRPr="00DF1F41">
        <w:rPr>
          <w:rFonts w:ascii="Verdana" w:hAnsi="Verdana"/>
          <w:sz w:val="20"/>
          <w:szCs w:val="20"/>
        </w:rPr>
        <w:t xml:space="preserve"> para disponer medidas provisionales, ha precluido</w:t>
      </w:r>
      <w:r w:rsidR="0099186C">
        <w:rPr>
          <w:rStyle w:val="Refdenotaalpie"/>
          <w:rFonts w:ascii="Verdana" w:hAnsi="Verdana"/>
          <w:sz w:val="20"/>
          <w:szCs w:val="20"/>
        </w:rPr>
        <w:footnoteReference w:id="9"/>
      </w:r>
      <w:r w:rsidR="00ED6BCF" w:rsidRPr="00DF1F41">
        <w:rPr>
          <w:rFonts w:ascii="Verdana" w:hAnsi="Verdana"/>
          <w:sz w:val="20"/>
          <w:szCs w:val="20"/>
        </w:rPr>
        <w:t xml:space="preserve">. Es lo que acontece </w:t>
      </w:r>
      <w:r w:rsidR="00CB0A3A">
        <w:rPr>
          <w:rFonts w:ascii="Verdana" w:hAnsi="Verdana"/>
          <w:sz w:val="20"/>
          <w:szCs w:val="20"/>
        </w:rPr>
        <w:t xml:space="preserve">en lo pertinente </w:t>
      </w:r>
      <w:r w:rsidR="00CB0A3A">
        <w:rPr>
          <w:rFonts w:ascii="Verdana" w:hAnsi="Verdana"/>
          <w:sz w:val="20"/>
          <w:szCs w:val="20"/>
        </w:rPr>
        <w:lastRenderedPageBreak/>
        <w:t xml:space="preserve">a los casos </w:t>
      </w:r>
      <w:r w:rsidR="00017910">
        <w:rPr>
          <w:rFonts w:ascii="Verdana" w:hAnsi="Verdana"/>
          <w:sz w:val="20"/>
          <w:szCs w:val="20"/>
        </w:rPr>
        <w:t xml:space="preserve">que menciona </w:t>
      </w:r>
      <w:r w:rsidR="00CB0A3A">
        <w:rPr>
          <w:rFonts w:ascii="Verdana" w:hAnsi="Verdana"/>
          <w:sz w:val="20"/>
          <w:szCs w:val="20"/>
        </w:rPr>
        <w:t xml:space="preserve">el título de </w:t>
      </w:r>
      <w:r w:rsidR="00017910">
        <w:rPr>
          <w:rFonts w:ascii="Verdana" w:hAnsi="Verdana"/>
          <w:sz w:val="20"/>
          <w:szCs w:val="20"/>
        </w:rPr>
        <w:t>la Resolución</w:t>
      </w:r>
      <w:r w:rsidR="00CB0A3A">
        <w:rPr>
          <w:rFonts w:ascii="Verdana" w:hAnsi="Verdana"/>
          <w:sz w:val="20"/>
          <w:szCs w:val="20"/>
        </w:rPr>
        <w:t xml:space="preserve"> y su párrafo 50</w:t>
      </w:r>
      <w:r w:rsidR="00CB0A3A">
        <w:rPr>
          <w:rStyle w:val="Refdenotaalpie"/>
          <w:rFonts w:ascii="Verdana" w:hAnsi="Verdana"/>
          <w:sz w:val="20"/>
          <w:szCs w:val="20"/>
        </w:rPr>
        <w:footnoteReference w:id="10"/>
      </w:r>
      <w:r w:rsidR="00CB0A3A">
        <w:rPr>
          <w:rFonts w:ascii="Verdana" w:hAnsi="Verdana"/>
          <w:sz w:val="20"/>
          <w:szCs w:val="20"/>
        </w:rPr>
        <w:t>. Ellos no están siendo conocidos por la Corte</w:t>
      </w:r>
      <w:r w:rsidR="00ED6BCF" w:rsidRPr="00DF1F41">
        <w:rPr>
          <w:rFonts w:ascii="Verdana" w:hAnsi="Verdana"/>
          <w:sz w:val="20"/>
          <w:szCs w:val="20"/>
        </w:rPr>
        <w:t xml:space="preserve"> está conociendo, </w:t>
      </w:r>
      <w:r w:rsidRPr="00DF1F41">
        <w:rPr>
          <w:rFonts w:ascii="Verdana" w:hAnsi="Verdana"/>
          <w:sz w:val="20"/>
          <w:szCs w:val="20"/>
        </w:rPr>
        <w:t>ya lo</w:t>
      </w:r>
      <w:r w:rsidR="00017910">
        <w:rPr>
          <w:rFonts w:ascii="Verdana" w:hAnsi="Verdana"/>
          <w:sz w:val="20"/>
          <w:szCs w:val="20"/>
        </w:rPr>
        <w:t>s</w:t>
      </w:r>
      <w:r w:rsidRPr="00DF1F41">
        <w:rPr>
          <w:rFonts w:ascii="Verdana" w:hAnsi="Verdana"/>
          <w:sz w:val="20"/>
          <w:szCs w:val="20"/>
        </w:rPr>
        <w:t xml:space="preserve"> ha “juzgado”. </w:t>
      </w:r>
    </w:p>
    <w:p w:rsidR="00ED6BCF" w:rsidRPr="00DF1F41" w:rsidRDefault="00ED6BCF" w:rsidP="00303E7B">
      <w:pPr>
        <w:spacing w:after="0"/>
        <w:jc w:val="both"/>
        <w:rPr>
          <w:rFonts w:ascii="Verdana" w:hAnsi="Verdana"/>
          <w:sz w:val="20"/>
          <w:szCs w:val="20"/>
        </w:rPr>
      </w:pPr>
    </w:p>
    <w:p w:rsidR="00ED6BCF" w:rsidRPr="00DF1F41" w:rsidRDefault="00ED6BCF" w:rsidP="00303E7B">
      <w:pPr>
        <w:spacing w:after="120"/>
        <w:jc w:val="both"/>
        <w:rPr>
          <w:rFonts w:ascii="Verdana" w:hAnsi="Verdana"/>
          <w:sz w:val="20"/>
          <w:szCs w:val="20"/>
        </w:rPr>
      </w:pPr>
      <w:r w:rsidRPr="00DF1F41">
        <w:rPr>
          <w:rFonts w:ascii="Verdana" w:hAnsi="Verdana"/>
          <w:sz w:val="20"/>
          <w:szCs w:val="20"/>
        </w:rPr>
        <w:t xml:space="preserve">Y es que </w:t>
      </w:r>
      <w:r w:rsidR="000F7E89" w:rsidRPr="00DF1F41">
        <w:rPr>
          <w:rFonts w:ascii="Verdana" w:hAnsi="Verdana"/>
          <w:sz w:val="20"/>
          <w:szCs w:val="20"/>
        </w:rPr>
        <w:t>una vez dictada una sentencia</w:t>
      </w:r>
      <w:r w:rsidR="00033AB9">
        <w:rPr>
          <w:rFonts w:ascii="Verdana" w:hAnsi="Verdana"/>
          <w:sz w:val="20"/>
          <w:szCs w:val="20"/>
        </w:rPr>
        <w:t xml:space="preserve"> de fondo</w:t>
      </w:r>
      <w:r w:rsidR="000F7E89" w:rsidRPr="00DF1F41">
        <w:rPr>
          <w:rFonts w:ascii="Verdana" w:hAnsi="Verdana"/>
          <w:sz w:val="20"/>
          <w:szCs w:val="20"/>
        </w:rPr>
        <w:t xml:space="preserve">, a la Corte </w:t>
      </w:r>
      <w:r w:rsidR="00033AB9">
        <w:rPr>
          <w:rFonts w:ascii="Verdana" w:hAnsi="Verdana"/>
          <w:sz w:val="20"/>
          <w:szCs w:val="20"/>
        </w:rPr>
        <w:t>únicamente le corresponde emitir</w:t>
      </w:r>
      <w:r w:rsidR="000F7E89" w:rsidRPr="00DF1F41">
        <w:rPr>
          <w:rFonts w:ascii="Verdana" w:hAnsi="Verdana"/>
          <w:sz w:val="20"/>
          <w:szCs w:val="20"/>
        </w:rPr>
        <w:t>, siempre que no lo haya ya hecho, la sentencia de reparación y costas</w:t>
      </w:r>
      <w:r w:rsidR="000F7E89" w:rsidRPr="00DF1F41">
        <w:rPr>
          <w:rStyle w:val="Refdenotaalpie"/>
          <w:rFonts w:ascii="Verdana" w:hAnsi="Verdana"/>
          <w:sz w:val="20"/>
          <w:szCs w:val="20"/>
        </w:rPr>
        <w:footnoteReference w:id="11"/>
      </w:r>
      <w:r w:rsidR="000F7E89" w:rsidRPr="00DF1F41">
        <w:rPr>
          <w:rFonts w:ascii="Verdana" w:hAnsi="Verdana"/>
          <w:sz w:val="20"/>
          <w:szCs w:val="20"/>
        </w:rPr>
        <w:t>, interpretar ambos fallos</w:t>
      </w:r>
      <w:r w:rsidR="000F7E89" w:rsidRPr="00DF1F41">
        <w:rPr>
          <w:rStyle w:val="Refdenotaalpie"/>
          <w:rFonts w:ascii="Verdana" w:hAnsi="Verdana"/>
          <w:sz w:val="20"/>
          <w:szCs w:val="20"/>
        </w:rPr>
        <w:footnoteReference w:id="12"/>
      </w:r>
      <w:r w:rsidR="000F7E89" w:rsidRPr="00DF1F41">
        <w:rPr>
          <w:rFonts w:ascii="Verdana" w:hAnsi="Verdana"/>
          <w:sz w:val="20"/>
          <w:szCs w:val="20"/>
        </w:rPr>
        <w:t>, enmendar los errores de edición o de cálculo en que hayan incurrido</w:t>
      </w:r>
      <w:r w:rsidR="000F7E89" w:rsidRPr="00DF1F41">
        <w:rPr>
          <w:rStyle w:val="Refdenotaalpie"/>
          <w:rFonts w:ascii="Verdana" w:hAnsi="Verdana"/>
          <w:sz w:val="20"/>
          <w:szCs w:val="20"/>
        </w:rPr>
        <w:footnoteReference w:id="13"/>
      </w:r>
      <w:r w:rsidR="000F7E89" w:rsidRPr="00DF1F41">
        <w:rPr>
          <w:rFonts w:ascii="Verdana" w:hAnsi="Verdana"/>
          <w:sz w:val="20"/>
          <w:szCs w:val="20"/>
        </w:rPr>
        <w:t>, supervisar su cumplimiento</w:t>
      </w:r>
      <w:r w:rsidR="000F7E89" w:rsidRPr="00DF1F41">
        <w:rPr>
          <w:rStyle w:val="Refdenotaalpie"/>
          <w:rFonts w:ascii="Verdana" w:hAnsi="Verdana"/>
          <w:sz w:val="20"/>
          <w:szCs w:val="20"/>
        </w:rPr>
        <w:footnoteReference w:id="14"/>
      </w:r>
      <w:r w:rsidR="000F7E89" w:rsidRPr="00DF1F41">
        <w:rPr>
          <w:rFonts w:ascii="Verdana" w:hAnsi="Verdana"/>
          <w:sz w:val="20"/>
          <w:szCs w:val="20"/>
        </w:rPr>
        <w:t xml:space="preserve">  e informar a la Asamblea General de la OEA </w:t>
      </w:r>
      <w:r w:rsidR="000F7E89" w:rsidRPr="00DF1F41">
        <w:rPr>
          <w:rFonts w:ascii="Verdana" w:hAnsi="Verdana"/>
          <w:sz w:val="20"/>
          <w:szCs w:val="20"/>
        </w:rPr>
        <w:lastRenderedPageBreak/>
        <w:t>de su eventual incumplimiento</w:t>
      </w:r>
      <w:r w:rsidR="000F7E89" w:rsidRPr="00DF1F41">
        <w:rPr>
          <w:rStyle w:val="Refdenotaalpie"/>
          <w:rFonts w:ascii="Verdana" w:hAnsi="Verdana"/>
          <w:sz w:val="20"/>
          <w:szCs w:val="20"/>
        </w:rPr>
        <w:footnoteReference w:id="15"/>
      </w:r>
      <w:r w:rsidR="000F7E89" w:rsidRPr="00DF1F41">
        <w:rPr>
          <w:rFonts w:ascii="Verdana" w:hAnsi="Verdana"/>
          <w:sz w:val="20"/>
          <w:szCs w:val="20"/>
        </w:rPr>
        <w:t xml:space="preserve">. </w:t>
      </w:r>
      <w:r w:rsidR="00033AB9">
        <w:rPr>
          <w:rFonts w:ascii="Verdana" w:hAnsi="Verdana"/>
          <w:sz w:val="20"/>
          <w:szCs w:val="20"/>
        </w:rPr>
        <w:t>Habida cuenta de que en Derecho público únicamente se puede hacer lo que la norma permite, l</w:t>
      </w:r>
      <w:r w:rsidR="008D39A0">
        <w:rPr>
          <w:rFonts w:ascii="Verdana" w:hAnsi="Verdana"/>
          <w:sz w:val="20"/>
          <w:szCs w:val="20"/>
        </w:rPr>
        <w:t xml:space="preserve">a </w:t>
      </w:r>
      <w:r w:rsidR="00033AB9">
        <w:rPr>
          <w:rFonts w:ascii="Verdana" w:hAnsi="Verdana"/>
          <w:sz w:val="20"/>
          <w:szCs w:val="20"/>
        </w:rPr>
        <w:t>Corte n</w:t>
      </w:r>
      <w:r w:rsidRPr="00DF1F41">
        <w:rPr>
          <w:rFonts w:ascii="Verdana" w:hAnsi="Verdana"/>
          <w:sz w:val="20"/>
          <w:szCs w:val="20"/>
        </w:rPr>
        <w:t>o dispone, pues, de competencia para dictar medida</w:t>
      </w:r>
      <w:r w:rsidR="008D39A0">
        <w:rPr>
          <w:rFonts w:ascii="Verdana" w:hAnsi="Verdana"/>
          <w:sz w:val="20"/>
          <w:szCs w:val="20"/>
        </w:rPr>
        <w:t>s provisionales una vez que ha pronunciado la sentencia definitiva correspondiente</w:t>
      </w:r>
      <w:r w:rsidRPr="00DF1F41">
        <w:rPr>
          <w:rFonts w:ascii="Verdana" w:hAnsi="Verdana"/>
          <w:sz w:val="20"/>
          <w:szCs w:val="20"/>
        </w:rPr>
        <w:t>.</w:t>
      </w:r>
    </w:p>
    <w:p w:rsidR="000F7E89" w:rsidRPr="00DF1F41" w:rsidRDefault="00684F72" w:rsidP="00303E7B">
      <w:pPr>
        <w:spacing w:after="120"/>
        <w:jc w:val="both"/>
        <w:rPr>
          <w:rFonts w:ascii="Verdana" w:hAnsi="Verdana"/>
          <w:sz w:val="20"/>
          <w:szCs w:val="20"/>
        </w:rPr>
      </w:pPr>
      <w:r w:rsidRPr="00DF1F41">
        <w:rPr>
          <w:rFonts w:ascii="Verdana" w:hAnsi="Verdana"/>
          <w:sz w:val="20"/>
          <w:szCs w:val="20"/>
        </w:rPr>
        <w:t>Ahora bien, la situación en lo atingente a las medid</w:t>
      </w:r>
      <w:r w:rsidR="007D100E" w:rsidRPr="00DF1F41">
        <w:rPr>
          <w:rFonts w:ascii="Verdana" w:hAnsi="Verdana"/>
          <w:sz w:val="20"/>
          <w:szCs w:val="20"/>
        </w:rPr>
        <w:t>as decretadas en autos, presenta</w:t>
      </w:r>
      <w:r w:rsidRPr="00DF1F41">
        <w:rPr>
          <w:rFonts w:ascii="Verdana" w:hAnsi="Verdana"/>
          <w:sz w:val="20"/>
          <w:szCs w:val="20"/>
        </w:rPr>
        <w:t xml:space="preserve"> </w:t>
      </w:r>
      <w:r w:rsidR="00ED6BCF" w:rsidRPr="00DF1F41">
        <w:rPr>
          <w:rFonts w:ascii="Verdana" w:hAnsi="Verdana"/>
          <w:sz w:val="20"/>
          <w:szCs w:val="20"/>
        </w:rPr>
        <w:t>ciertos</w:t>
      </w:r>
      <w:r w:rsidR="00817E2E">
        <w:rPr>
          <w:rFonts w:ascii="Verdana" w:hAnsi="Verdana"/>
          <w:sz w:val="20"/>
          <w:szCs w:val="20"/>
        </w:rPr>
        <w:t xml:space="preserve"> matices, que </w:t>
      </w:r>
      <w:r w:rsidR="008D39A0">
        <w:rPr>
          <w:rFonts w:ascii="Verdana" w:hAnsi="Verdana"/>
          <w:sz w:val="20"/>
          <w:szCs w:val="20"/>
        </w:rPr>
        <w:t>hacen se esté ante una situación diferente a la recién aludida</w:t>
      </w:r>
      <w:r w:rsidRPr="00DF1F41">
        <w:rPr>
          <w:rFonts w:ascii="Verdana" w:hAnsi="Verdana"/>
          <w:sz w:val="20"/>
          <w:szCs w:val="20"/>
        </w:rPr>
        <w:t>. Por una parte, el Estado no se opuso</w:t>
      </w:r>
      <w:r w:rsidR="008D39A0">
        <w:rPr>
          <w:rFonts w:ascii="Verdana" w:hAnsi="Verdana"/>
          <w:sz w:val="20"/>
          <w:szCs w:val="20"/>
        </w:rPr>
        <w:t>,</w:t>
      </w:r>
      <w:r w:rsidRPr="00DF1F41">
        <w:rPr>
          <w:rFonts w:ascii="Verdana" w:hAnsi="Verdana"/>
          <w:sz w:val="20"/>
          <w:szCs w:val="20"/>
        </w:rPr>
        <w:t xml:space="preserve"> en realidad, es decir,</w:t>
      </w:r>
      <w:r w:rsidR="00ED6BCF" w:rsidRPr="00DF1F41">
        <w:rPr>
          <w:rFonts w:ascii="Verdana" w:hAnsi="Verdana"/>
          <w:sz w:val="20"/>
          <w:szCs w:val="20"/>
        </w:rPr>
        <w:t xml:space="preserve"> sin dejar margen de </w:t>
      </w:r>
      <w:r w:rsidRPr="00DF1F41">
        <w:rPr>
          <w:rFonts w:ascii="Verdana" w:hAnsi="Verdana"/>
          <w:sz w:val="20"/>
          <w:szCs w:val="20"/>
        </w:rPr>
        <w:t xml:space="preserve">duda alguna, a la petición de las medidas provisionales </w:t>
      </w:r>
      <w:r w:rsidR="00ED6BCF" w:rsidRPr="00DF1F41">
        <w:rPr>
          <w:rFonts w:ascii="Verdana" w:hAnsi="Verdana"/>
          <w:sz w:val="20"/>
          <w:szCs w:val="20"/>
        </w:rPr>
        <w:t>solicitadas</w:t>
      </w:r>
      <w:r w:rsidRPr="00DF1F41">
        <w:rPr>
          <w:rStyle w:val="Refdenotaalpie"/>
          <w:rFonts w:ascii="Verdana" w:hAnsi="Verdana"/>
          <w:sz w:val="20"/>
          <w:szCs w:val="20"/>
        </w:rPr>
        <w:footnoteReference w:id="16"/>
      </w:r>
      <w:r w:rsidR="007D100E" w:rsidRPr="00DF1F41">
        <w:rPr>
          <w:rFonts w:ascii="Verdana" w:hAnsi="Verdana"/>
          <w:sz w:val="20"/>
          <w:szCs w:val="20"/>
        </w:rPr>
        <w:t xml:space="preserve">, sino hasta el 11 del presente y </w:t>
      </w:r>
      <w:r w:rsidR="008D39A0">
        <w:rPr>
          <w:rFonts w:ascii="Verdana" w:hAnsi="Verdana"/>
          <w:sz w:val="20"/>
          <w:szCs w:val="20"/>
        </w:rPr>
        <w:t xml:space="preserve">ello </w:t>
      </w:r>
      <w:r w:rsidR="007D100E" w:rsidRPr="00DF1F41">
        <w:rPr>
          <w:rFonts w:ascii="Verdana" w:hAnsi="Verdana"/>
          <w:sz w:val="20"/>
          <w:szCs w:val="20"/>
        </w:rPr>
        <w:t xml:space="preserve">luego de la realización de la Audiencia pública sobre el cumplimiento de la Sentencia </w:t>
      </w:r>
      <w:r w:rsidR="00ED6BCF" w:rsidRPr="00DF1F41">
        <w:rPr>
          <w:rFonts w:ascii="Verdana" w:hAnsi="Verdana"/>
          <w:sz w:val="20"/>
          <w:szCs w:val="20"/>
        </w:rPr>
        <w:t xml:space="preserve">del </w:t>
      </w:r>
      <w:r w:rsidR="00ED6BCF" w:rsidRPr="002057E7">
        <w:rPr>
          <w:rFonts w:ascii="Verdana" w:hAnsi="Verdana"/>
          <w:i/>
          <w:sz w:val="20"/>
          <w:szCs w:val="20"/>
        </w:rPr>
        <w:t>C</w:t>
      </w:r>
      <w:r w:rsidR="007D100E" w:rsidRPr="002057E7">
        <w:rPr>
          <w:rFonts w:ascii="Verdana" w:hAnsi="Verdana"/>
          <w:i/>
          <w:sz w:val="20"/>
          <w:szCs w:val="20"/>
        </w:rPr>
        <w:t>aso</w:t>
      </w:r>
      <w:r w:rsidR="00180EFE" w:rsidRPr="00180EFE">
        <w:rPr>
          <w:rStyle w:val="Textoennegrita"/>
          <w:rFonts w:ascii="Verdana" w:hAnsi="Verdana"/>
          <w:b w:val="0"/>
          <w:i/>
          <w:color w:val="000000"/>
          <w:sz w:val="20"/>
          <w:szCs w:val="20"/>
          <w:shd w:val="clear" w:color="auto" w:fill="FFFFFF"/>
        </w:rPr>
        <w:t xml:space="preserve"> </w:t>
      </w:r>
      <w:r w:rsidR="005E361C">
        <w:rPr>
          <w:rStyle w:val="Textoennegrita"/>
          <w:rFonts w:ascii="Verdana" w:hAnsi="Verdana"/>
          <w:b w:val="0"/>
          <w:i/>
          <w:color w:val="000000"/>
          <w:sz w:val="20"/>
          <w:szCs w:val="20"/>
          <w:shd w:val="clear" w:color="auto" w:fill="FFFFFF"/>
        </w:rPr>
        <w:t xml:space="preserve">Molina </w:t>
      </w:r>
      <w:proofErr w:type="spellStart"/>
      <w:r w:rsidR="005E361C">
        <w:rPr>
          <w:rStyle w:val="Textoennegrita"/>
          <w:rFonts w:ascii="Verdana" w:hAnsi="Verdana"/>
          <w:b w:val="0"/>
          <w:i/>
          <w:color w:val="000000"/>
          <w:sz w:val="20"/>
          <w:szCs w:val="20"/>
          <w:shd w:val="clear" w:color="auto" w:fill="FFFFFF"/>
        </w:rPr>
        <w:t>Theissen</w:t>
      </w:r>
      <w:proofErr w:type="spellEnd"/>
      <w:r w:rsidR="00817E2E">
        <w:rPr>
          <w:rFonts w:ascii="Verdana" w:hAnsi="Verdana"/>
          <w:sz w:val="20"/>
          <w:szCs w:val="20"/>
        </w:rPr>
        <w:t>, real</w:t>
      </w:r>
      <w:r w:rsidR="00ED6BCF" w:rsidRPr="00DF1F41">
        <w:rPr>
          <w:rFonts w:ascii="Verdana" w:hAnsi="Verdana"/>
          <w:sz w:val="20"/>
          <w:szCs w:val="20"/>
        </w:rPr>
        <w:t>izada ese mismo día</w:t>
      </w:r>
      <w:r w:rsidR="008D39A0">
        <w:rPr>
          <w:rFonts w:ascii="Verdana" w:hAnsi="Verdana"/>
          <w:sz w:val="20"/>
          <w:szCs w:val="20"/>
        </w:rPr>
        <w:t>. Además</w:t>
      </w:r>
      <w:r w:rsidR="00017910">
        <w:rPr>
          <w:rFonts w:ascii="Verdana" w:hAnsi="Verdana"/>
          <w:sz w:val="20"/>
          <w:szCs w:val="20"/>
        </w:rPr>
        <w:t>,</w:t>
      </w:r>
      <w:r w:rsidR="007D100E" w:rsidRPr="00DF1F41">
        <w:rPr>
          <w:rFonts w:ascii="Verdana" w:hAnsi="Verdana"/>
          <w:sz w:val="20"/>
          <w:szCs w:val="20"/>
        </w:rPr>
        <w:t xml:space="preserve"> dicha oposición no resulta del todo clara, habida</w:t>
      </w:r>
      <w:r w:rsidR="00131592">
        <w:rPr>
          <w:rFonts w:ascii="Verdana" w:hAnsi="Verdana"/>
          <w:sz w:val="20"/>
          <w:szCs w:val="20"/>
        </w:rPr>
        <w:t xml:space="preserve"> cuenta que sólo se refiere a la necesidad de la presentación de denuncias en el ámbito nacional para que se tuviera por acreditado el peligro e inminente riesgo</w:t>
      </w:r>
      <w:r w:rsidR="00817E2E">
        <w:rPr>
          <w:rStyle w:val="Refdenotaalpie"/>
          <w:rFonts w:ascii="Verdana" w:hAnsi="Verdana"/>
          <w:sz w:val="20"/>
          <w:szCs w:val="20"/>
        </w:rPr>
        <w:footnoteReference w:id="17"/>
      </w:r>
      <w:r w:rsidR="00131592">
        <w:rPr>
          <w:rFonts w:ascii="Verdana" w:hAnsi="Verdana"/>
          <w:sz w:val="20"/>
          <w:szCs w:val="20"/>
        </w:rPr>
        <w:t>, requisito no exigido por la Convención</w:t>
      </w:r>
      <w:r w:rsidR="007D100E" w:rsidRPr="00DF1F41">
        <w:rPr>
          <w:rFonts w:ascii="Verdana" w:hAnsi="Verdana"/>
          <w:sz w:val="20"/>
          <w:szCs w:val="20"/>
        </w:rPr>
        <w:t xml:space="preserve">. </w:t>
      </w:r>
    </w:p>
    <w:p w:rsidR="00817E2E" w:rsidRDefault="009B2BFB" w:rsidP="00817E2E">
      <w:pPr>
        <w:spacing w:after="0"/>
        <w:jc w:val="both"/>
        <w:rPr>
          <w:rFonts w:ascii="Verdana" w:hAnsi="Verdana"/>
          <w:sz w:val="20"/>
          <w:szCs w:val="20"/>
        </w:rPr>
      </w:pPr>
      <w:r w:rsidRPr="00DF1F41">
        <w:rPr>
          <w:rFonts w:ascii="Verdana" w:hAnsi="Verdana"/>
          <w:sz w:val="20"/>
          <w:szCs w:val="20"/>
        </w:rPr>
        <w:t>Pero todavía</w:t>
      </w:r>
      <w:r w:rsidR="00817E2E">
        <w:rPr>
          <w:rFonts w:ascii="Verdana" w:hAnsi="Verdana"/>
          <w:sz w:val="20"/>
          <w:szCs w:val="20"/>
        </w:rPr>
        <w:t xml:space="preserve"> más. E</w:t>
      </w:r>
      <w:r w:rsidR="007D100E" w:rsidRPr="00DF1F41">
        <w:rPr>
          <w:rFonts w:ascii="Verdana" w:hAnsi="Verdana"/>
          <w:sz w:val="20"/>
          <w:szCs w:val="20"/>
        </w:rPr>
        <w:t>l Estado, en su escrito de observaciones</w:t>
      </w:r>
      <w:r w:rsidR="00ED6BCF" w:rsidRPr="00DF1F41">
        <w:rPr>
          <w:rFonts w:ascii="Verdana" w:hAnsi="Verdana"/>
          <w:sz w:val="20"/>
          <w:szCs w:val="20"/>
        </w:rPr>
        <w:t>, de 5 de marzo de 2019</w:t>
      </w:r>
      <w:r w:rsidR="007D100E" w:rsidRPr="00DF1F41">
        <w:rPr>
          <w:rFonts w:ascii="Verdana" w:hAnsi="Verdana"/>
          <w:sz w:val="20"/>
          <w:szCs w:val="20"/>
        </w:rPr>
        <w:t>, se refirió a las medidas que ha adoptado en resguardo de la seguridad de las víctimas</w:t>
      </w:r>
      <w:r w:rsidR="00ED6BCF" w:rsidRPr="00DF1F41">
        <w:rPr>
          <w:rFonts w:ascii="Verdana" w:hAnsi="Verdana"/>
          <w:sz w:val="20"/>
          <w:szCs w:val="20"/>
        </w:rPr>
        <w:t xml:space="preserve"> </w:t>
      </w:r>
      <w:r w:rsidR="00ED6BCF" w:rsidRPr="00817E2E">
        <w:rPr>
          <w:rFonts w:ascii="Verdana" w:hAnsi="Verdana"/>
          <w:sz w:val="20"/>
          <w:szCs w:val="20"/>
        </w:rPr>
        <w:t xml:space="preserve">del </w:t>
      </w:r>
      <w:r w:rsidR="00817E2E" w:rsidRPr="005E3607">
        <w:rPr>
          <w:rFonts w:ascii="Verdana" w:hAnsi="Verdana"/>
          <w:i/>
          <w:sz w:val="20"/>
          <w:szCs w:val="20"/>
        </w:rPr>
        <w:t>Caso</w:t>
      </w:r>
      <w:r w:rsidR="00817E2E" w:rsidRPr="00817E2E">
        <w:rPr>
          <w:rFonts w:ascii="Verdana" w:hAnsi="Verdana"/>
          <w:sz w:val="20"/>
          <w:szCs w:val="20"/>
        </w:rPr>
        <w:t xml:space="preserve"> </w:t>
      </w:r>
      <w:r w:rsidR="00817E2E" w:rsidRPr="00817E2E">
        <w:rPr>
          <w:rStyle w:val="Textoennegrita"/>
          <w:rFonts w:ascii="Verdana" w:hAnsi="Verdana"/>
          <w:b w:val="0"/>
          <w:i/>
          <w:color w:val="000000"/>
          <w:sz w:val="20"/>
          <w:szCs w:val="20"/>
          <w:shd w:val="clear" w:color="auto" w:fill="FFFFFF"/>
        </w:rPr>
        <w:t xml:space="preserve">Miembros de la Aldea </w:t>
      </w:r>
      <w:proofErr w:type="spellStart"/>
      <w:r w:rsidR="00817E2E" w:rsidRPr="00817E2E">
        <w:rPr>
          <w:rStyle w:val="Textoennegrita"/>
          <w:rFonts w:ascii="Verdana" w:hAnsi="Verdana"/>
          <w:b w:val="0"/>
          <w:i/>
          <w:color w:val="000000"/>
          <w:sz w:val="20"/>
          <w:szCs w:val="20"/>
          <w:shd w:val="clear" w:color="auto" w:fill="FFFFFF"/>
        </w:rPr>
        <w:t>Chichupac</w:t>
      </w:r>
      <w:proofErr w:type="spellEnd"/>
      <w:r w:rsidR="00817E2E" w:rsidRPr="00817E2E">
        <w:rPr>
          <w:rStyle w:val="Textoennegrita"/>
          <w:rFonts w:ascii="Verdana" w:hAnsi="Verdana"/>
          <w:b w:val="0"/>
          <w:i/>
          <w:color w:val="000000"/>
          <w:sz w:val="20"/>
          <w:szCs w:val="20"/>
          <w:shd w:val="clear" w:color="auto" w:fill="FFFFFF"/>
        </w:rPr>
        <w:t xml:space="preserve"> y comunidades </w:t>
      </w:r>
      <w:r w:rsidR="00817E2E">
        <w:rPr>
          <w:rStyle w:val="Textoennegrita"/>
          <w:rFonts w:ascii="Verdana" w:hAnsi="Verdana"/>
          <w:b w:val="0"/>
          <w:i/>
          <w:color w:val="000000"/>
          <w:sz w:val="20"/>
          <w:szCs w:val="20"/>
          <w:shd w:val="clear" w:color="auto" w:fill="FFFFFF"/>
        </w:rPr>
        <w:t xml:space="preserve">vecinas del Municipio de </w:t>
      </w:r>
      <w:r w:rsidR="00817E2E" w:rsidRPr="00817E2E">
        <w:rPr>
          <w:rStyle w:val="Textoennegrita"/>
          <w:rFonts w:ascii="Verdana" w:hAnsi="Verdana"/>
          <w:b w:val="0"/>
          <w:i/>
          <w:color w:val="000000"/>
          <w:sz w:val="20"/>
          <w:szCs w:val="20"/>
          <w:shd w:val="clear" w:color="auto" w:fill="FFFFFF"/>
        </w:rPr>
        <w:t>Rabinal</w:t>
      </w:r>
      <w:r w:rsidR="00ED6BCF" w:rsidRPr="00817E2E">
        <w:rPr>
          <w:rStyle w:val="Refdenotaalpie"/>
          <w:rFonts w:ascii="Verdana" w:hAnsi="Verdana"/>
          <w:sz w:val="20"/>
          <w:szCs w:val="20"/>
        </w:rPr>
        <w:footnoteReference w:id="18"/>
      </w:r>
      <w:r w:rsidR="00ED6BCF" w:rsidRPr="00817E2E">
        <w:rPr>
          <w:rFonts w:ascii="Verdana" w:hAnsi="Verdana"/>
          <w:sz w:val="20"/>
          <w:szCs w:val="20"/>
        </w:rPr>
        <w:t>.</w:t>
      </w:r>
    </w:p>
    <w:p w:rsidR="00ED6BCF" w:rsidRPr="00817E2E" w:rsidRDefault="00ED6BCF" w:rsidP="00817E2E">
      <w:pPr>
        <w:spacing w:after="0"/>
        <w:jc w:val="both"/>
        <w:rPr>
          <w:rFonts w:ascii="Verdana" w:hAnsi="Verdana"/>
          <w:b/>
          <w:sz w:val="20"/>
          <w:szCs w:val="20"/>
        </w:rPr>
      </w:pPr>
    </w:p>
    <w:p w:rsidR="007D100E" w:rsidRPr="00DF1F41" w:rsidRDefault="00ED6BCF" w:rsidP="00303E7B">
      <w:pPr>
        <w:jc w:val="both"/>
        <w:rPr>
          <w:rFonts w:ascii="Verdana" w:hAnsi="Verdana"/>
          <w:sz w:val="20"/>
          <w:szCs w:val="20"/>
        </w:rPr>
      </w:pPr>
      <w:r w:rsidRPr="00DF1F41">
        <w:rPr>
          <w:rFonts w:ascii="Verdana" w:hAnsi="Verdana"/>
          <w:sz w:val="20"/>
          <w:szCs w:val="20"/>
        </w:rPr>
        <w:t>De suerte, por ende, que puede colegirse de su proceder al respecto, que no manifestó oposición al otorgamiento de medidas provisionales</w:t>
      </w:r>
      <w:r w:rsidR="00180EFE">
        <w:rPr>
          <w:rFonts w:ascii="Verdana" w:hAnsi="Verdana"/>
          <w:sz w:val="20"/>
          <w:szCs w:val="20"/>
        </w:rPr>
        <w:t>,</w:t>
      </w:r>
      <w:r w:rsidRPr="00DF1F41">
        <w:rPr>
          <w:rFonts w:ascii="Verdana" w:hAnsi="Verdana"/>
          <w:sz w:val="20"/>
          <w:szCs w:val="20"/>
        </w:rPr>
        <w:t xml:space="preserve"> </w:t>
      </w:r>
      <w:r w:rsidR="00180EFE">
        <w:rPr>
          <w:rFonts w:ascii="Verdana" w:hAnsi="Verdana"/>
          <w:sz w:val="20"/>
          <w:szCs w:val="20"/>
        </w:rPr>
        <w:t xml:space="preserve">presumiblemente, </w:t>
      </w:r>
      <w:r w:rsidRPr="00DF1F41">
        <w:rPr>
          <w:rFonts w:ascii="Verdana" w:hAnsi="Verdana"/>
          <w:sz w:val="20"/>
          <w:szCs w:val="20"/>
        </w:rPr>
        <w:t xml:space="preserve">en atención </w:t>
      </w:r>
      <w:r w:rsidR="00180EFE">
        <w:rPr>
          <w:rFonts w:ascii="Verdana" w:hAnsi="Verdana"/>
          <w:sz w:val="20"/>
          <w:szCs w:val="20"/>
        </w:rPr>
        <w:t xml:space="preserve">a </w:t>
      </w:r>
      <w:r w:rsidRPr="00DF1F41">
        <w:rPr>
          <w:rFonts w:ascii="Verdana" w:hAnsi="Verdana"/>
          <w:sz w:val="20"/>
          <w:szCs w:val="20"/>
        </w:rPr>
        <w:t>que ya había decretado y estaba aplicando medidas de seguridad</w:t>
      </w:r>
      <w:r w:rsidR="009B2BFB" w:rsidRPr="00DF1F41">
        <w:rPr>
          <w:rFonts w:ascii="Verdana" w:hAnsi="Verdana"/>
          <w:sz w:val="20"/>
          <w:szCs w:val="20"/>
        </w:rPr>
        <w:t>,</w:t>
      </w:r>
      <w:r w:rsidRPr="00DF1F41">
        <w:rPr>
          <w:rFonts w:ascii="Verdana" w:hAnsi="Verdana"/>
          <w:sz w:val="20"/>
          <w:szCs w:val="20"/>
        </w:rPr>
        <w:t xml:space="preserve"> dado que las personas beneficiadas se encuentran en una situación “</w:t>
      </w:r>
      <w:r w:rsidRPr="00DF1F41">
        <w:rPr>
          <w:rFonts w:ascii="Verdana" w:hAnsi="Verdana"/>
          <w:i/>
          <w:sz w:val="20"/>
          <w:szCs w:val="20"/>
        </w:rPr>
        <w:t>de extrema gravedad y urgencia</w:t>
      </w:r>
      <w:r w:rsidRPr="00DF1F41">
        <w:rPr>
          <w:rFonts w:ascii="Verdana" w:hAnsi="Verdana"/>
          <w:sz w:val="20"/>
          <w:szCs w:val="20"/>
        </w:rPr>
        <w:t xml:space="preserve">” </w:t>
      </w:r>
      <w:r w:rsidR="00180EFE">
        <w:rPr>
          <w:rFonts w:ascii="Verdana" w:hAnsi="Verdana"/>
          <w:sz w:val="20"/>
          <w:szCs w:val="20"/>
        </w:rPr>
        <w:t xml:space="preserve">y en la que, consecuentemente, </w:t>
      </w:r>
      <w:r w:rsidRPr="00DF1F41">
        <w:rPr>
          <w:rFonts w:ascii="Verdana" w:hAnsi="Verdana"/>
          <w:sz w:val="20"/>
          <w:szCs w:val="20"/>
        </w:rPr>
        <w:t xml:space="preserve">hay </w:t>
      </w:r>
      <w:r w:rsidR="005E361C">
        <w:rPr>
          <w:rFonts w:ascii="Verdana" w:hAnsi="Verdana"/>
          <w:sz w:val="20"/>
          <w:szCs w:val="20"/>
        </w:rPr>
        <w:t xml:space="preserve">que </w:t>
      </w:r>
      <w:r w:rsidRPr="00DF1F41">
        <w:rPr>
          <w:rFonts w:ascii="Verdana" w:hAnsi="Verdana"/>
          <w:sz w:val="20"/>
          <w:szCs w:val="20"/>
        </w:rPr>
        <w:t>evitarles “</w:t>
      </w:r>
      <w:r w:rsidRPr="00DF1F41">
        <w:rPr>
          <w:rFonts w:ascii="Verdana" w:hAnsi="Verdana"/>
          <w:i/>
          <w:sz w:val="20"/>
          <w:szCs w:val="20"/>
        </w:rPr>
        <w:t>daños irreparables</w:t>
      </w:r>
      <w:r w:rsidRPr="00DF1F41">
        <w:rPr>
          <w:rFonts w:ascii="Verdana" w:hAnsi="Verdana"/>
          <w:sz w:val="20"/>
          <w:szCs w:val="20"/>
        </w:rPr>
        <w:t>”</w:t>
      </w:r>
      <w:r w:rsidR="00180EFE">
        <w:rPr>
          <w:rStyle w:val="Refdenotaalpie"/>
          <w:rFonts w:ascii="Verdana" w:hAnsi="Verdana"/>
          <w:sz w:val="20"/>
          <w:szCs w:val="20"/>
        </w:rPr>
        <w:footnoteReference w:id="19"/>
      </w:r>
      <w:r w:rsidRPr="00DF1F41">
        <w:rPr>
          <w:rFonts w:ascii="Verdana" w:hAnsi="Verdana"/>
          <w:sz w:val="20"/>
          <w:szCs w:val="20"/>
        </w:rPr>
        <w:t>. De otro modo, no se comprende, por una parte, que haya dispuesto aquellas y por la otra, que se oponga a que la Corte decrete medidas provisionales similares</w:t>
      </w:r>
      <w:r w:rsidR="00817E2E">
        <w:rPr>
          <w:rFonts w:ascii="Verdana" w:hAnsi="Verdana"/>
          <w:sz w:val="20"/>
          <w:szCs w:val="20"/>
        </w:rPr>
        <w:t xml:space="preserve">, máxime cuando éstas responden </w:t>
      </w:r>
      <w:r w:rsidR="00555BD4" w:rsidRPr="00DF1F41">
        <w:rPr>
          <w:rFonts w:ascii="Verdana" w:hAnsi="Verdana"/>
          <w:sz w:val="20"/>
          <w:szCs w:val="20"/>
        </w:rPr>
        <w:t>a la “</w:t>
      </w:r>
      <w:r w:rsidR="00555BD4" w:rsidRPr="00DF1F41">
        <w:rPr>
          <w:rFonts w:ascii="Verdana" w:hAnsi="Verdana"/>
          <w:i/>
          <w:sz w:val="20"/>
          <w:szCs w:val="20"/>
        </w:rPr>
        <w:t>naturaleza convencional coadyuvante o complementaria”</w:t>
      </w:r>
      <w:r w:rsidR="00555BD4" w:rsidRPr="00DF1F41">
        <w:rPr>
          <w:rFonts w:ascii="Verdana" w:hAnsi="Verdana"/>
          <w:sz w:val="20"/>
          <w:szCs w:val="20"/>
        </w:rPr>
        <w:t xml:space="preserve"> que reviste la protección internacional respecto de la que ofrece el derecho interno de los Estados americanos</w:t>
      </w:r>
      <w:r w:rsidR="00555BD4" w:rsidRPr="00DF1F41">
        <w:rPr>
          <w:rStyle w:val="Refdenotaalpie"/>
          <w:rFonts w:ascii="Verdana" w:hAnsi="Verdana"/>
          <w:sz w:val="20"/>
          <w:szCs w:val="20"/>
        </w:rPr>
        <w:footnoteReference w:id="20"/>
      </w:r>
      <w:r w:rsidRPr="00DF1F41">
        <w:rPr>
          <w:rFonts w:ascii="Verdana" w:hAnsi="Verdana"/>
          <w:sz w:val="20"/>
          <w:szCs w:val="20"/>
        </w:rPr>
        <w:t>.</w:t>
      </w:r>
    </w:p>
    <w:p w:rsidR="00172BD7" w:rsidRPr="00DF1F41" w:rsidRDefault="00ED6BCF" w:rsidP="00303E7B">
      <w:pPr>
        <w:jc w:val="both"/>
        <w:rPr>
          <w:rFonts w:ascii="Verdana" w:eastAsia="Times" w:hAnsi="Verdana" w:cs="Arial"/>
          <w:i/>
          <w:sz w:val="20"/>
          <w:szCs w:val="20"/>
        </w:rPr>
      </w:pPr>
      <w:r w:rsidRPr="00DF1F41">
        <w:rPr>
          <w:rFonts w:ascii="Verdana" w:hAnsi="Verdana"/>
          <w:sz w:val="20"/>
          <w:szCs w:val="20"/>
        </w:rPr>
        <w:lastRenderedPageBreak/>
        <w:t>La segunda peculiaridad es atingente a la Comisión</w:t>
      </w:r>
      <w:r w:rsidR="009B2BFB" w:rsidRPr="00DF1F41">
        <w:rPr>
          <w:rFonts w:ascii="Verdana" w:hAnsi="Verdana"/>
          <w:sz w:val="20"/>
          <w:szCs w:val="20"/>
        </w:rPr>
        <w:t xml:space="preserve"> Interamericana de Derechos Humanos</w:t>
      </w:r>
      <w:r w:rsidR="009B2BFB" w:rsidRPr="00DF1F41">
        <w:rPr>
          <w:rStyle w:val="Refdenotaalpie"/>
          <w:rFonts w:ascii="Verdana" w:hAnsi="Verdana"/>
          <w:sz w:val="20"/>
          <w:szCs w:val="20"/>
        </w:rPr>
        <w:footnoteReference w:id="21"/>
      </w:r>
      <w:r w:rsidR="009B2BFB" w:rsidRPr="00DF1F41">
        <w:rPr>
          <w:rFonts w:ascii="Verdana" w:hAnsi="Verdana"/>
          <w:sz w:val="20"/>
          <w:szCs w:val="20"/>
        </w:rPr>
        <w:t>. Ella no se opuso a la petición de medi</w:t>
      </w:r>
      <w:r w:rsidR="00555BD4" w:rsidRPr="00DF1F41">
        <w:rPr>
          <w:rFonts w:ascii="Verdana" w:hAnsi="Verdana"/>
          <w:sz w:val="20"/>
          <w:szCs w:val="20"/>
        </w:rPr>
        <w:t xml:space="preserve">das provisionales y procedió de esa forma dado que, en su parecer, concurrían todos los requisitos de derecho y de </w:t>
      </w:r>
      <w:r w:rsidR="00555BD4" w:rsidRPr="00DF1F41">
        <w:rPr>
          <w:rFonts w:ascii="Verdana" w:hAnsi="Verdana"/>
          <w:i/>
          <w:sz w:val="20"/>
          <w:szCs w:val="20"/>
        </w:rPr>
        <w:t xml:space="preserve">facto </w:t>
      </w:r>
      <w:r w:rsidR="00555BD4" w:rsidRPr="00DF1F41">
        <w:rPr>
          <w:rFonts w:ascii="Verdana" w:hAnsi="Verdana"/>
          <w:sz w:val="20"/>
          <w:szCs w:val="20"/>
        </w:rPr>
        <w:t>para que se otorgaran</w:t>
      </w:r>
      <w:r w:rsidR="004F398D" w:rsidRPr="00DF1F41">
        <w:rPr>
          <w:rStyle w:val="Refdenotaalpie"/>
          <w:rFonts w:ascii="Verdana" w:hAnsi="Verdana"/>
          <w:sz w:val="20"/>
          <w:szCs w:val="20"/>
        </w:rPr>
        <w:footnoteReference w:id="22"/>
      </w:r>
      <w:r w:rsidR="00555BD4" w:rsidRPr="00DF1F41">
        <w:rPr>
          <w:rFonts w:ascii="Verdana" w:hAnsi="Verdana"/>
          <w:sz w:val="20"/>
          <w:szCs w:val="20"/>
        </w:rPr>
        <w:t>.</w:t>
      </w:r>
      <w:r w:rsidR="009B2BFB" w:rsidRPr="00DF1F41">
        <w:rPr>
          <w:rFonts w:ascii="Verdana" w:hAnsi="Verdana"/>
          <w:sz w:val="20"/>
          <w:szCs w:val="20"/>
        </w:rPr>
        <w:t xml:space="preserve"> </w:t>
      </w:r>
      <w:r w:rsidR="004F398D" w:rsidRPr="00DF1F41">
        <w:rPr>
          <w:rFonts w:ascii="Verdana" w:hAnsi="Verdana"/>
          <w:sz w:val="20"/>
          <w:szCs w:val="20"/>
        </w:rPr>
        <w:t xml:space="preserve">Siendo así las cosas, bien se puede interpretar que </w:t>
      </w:r>
      <w:r w:rsidR="009B2BFB" w:rsidRPr="00DF1F41">
        <w:rPr>
          <w:rFonts w:ascii="Verdana" w:hAnsi="Verdana"/>
          <w:sz w:val="20"/>
          <w:szCs w:val="20"/>
        </w:rPr>
        <w:t>el actuar procesal de la Comisión respondi</w:t>
      </w:r>
      <w:r w:rsidR="004F398D" w:rsidRPr="00DF1F41">
        <w:rPr>
          <w:rFonts w:ascii="Verdana" w:hAnsi="Verdana"/>
          <w:sz w:val="20"/>
          <w:szCs w:val="20"/>
        </w:rPr>
        <w:t>ó al ejercicio de su</w:t>
      </w:r>
      <w:r w:rsidR="009B2BFB" w:rsidRPr="00DF1F41">
        <w:rPr>
          <w:rFonts w:ascii="Verdana" w:hAnsi="Verdana"/>
          <w:sz w:val="20"/>
          <w:szCs w:val="20"/>
        </w:rPr>
        <w:t xml:space="preserve"> facultad de petición ante la Corte </w:t>
      </w:r>
      <w:r w:rsidR="009F67C3">
        <w:rPr>
          <w:rFonts w:ascii="Verdana" w:hAnsi="Verdana"/>
          <w:sz w:val="20"/>
          <w:szCs w:val="20"/>
        </w:rPr>
        <w:t>“</w:t>
      </w:r>
      <w:r w:rsidR="009B2BFB" w:rsidRPr="009F67C3">
        <w:rPr>
          <w:rFonts w:ascii="Verdana" w:hAnsi="Verdana"/>
          <w:i/>
          <w:sz w:val="20"/>
          <w:szCs w:val="20"/>
        </w:rPr>
        <w:t>en asuntos no sometidos</w:t>
      </w:r>
      <w:r w:rsidR="009F67C3">
        <w:rPr>
          <w:rFonts w:ascii="Verdana" w:hAnsi="Verdana"/>
          <w:sz w:val="20"/>
          <w:szCs w:val="20"/>
        </w:rPr>
        <w:t>”</w:t>
      </w:r>
      <w:r w:rsidR="004F398D" w:rsidRPr="00DF1F41">
        <w:rPr>
          <w:rFonts w:ascii="Verdana" w:hAnsi="Verdana"/>
          <w:sz w:val="20"/>
          <w:szCs w:val="20"/>
        </w:rPr>
        <w:t xml:space="preserve"> al</w:t>
      </w:r>
      <w:r w:rsidR="009B2BFB" w:rsidRPr="00DF1F41">
        <w:rPr>
          <w:rFonts w:ascii="Verdana" w:hAnsi="Verdana"/>
          <w:sz w:val="20"/>
          <w:szCs w:val="20"/>
        </w:rPr>
        <w:t xml:space="preserve"> conocimiento</w:t>
      </w:r>
      <w:r w:rsidR="004F398D" w:rsidRPr="00DF1F41">
        <w:rPr>
          <w:rFonts w:ascii="Verdana" w:hAnsi="Verdana"/>
          <w:sz w:val="20"/>
          <w:szCs w:val="20"/>
        </w:rPr>
        <w:t xml:space="preserve"> de esta última</w:t>
      </w:r>
      <w:r w:rsidR="009F67C3">
        <w:rPr>
          <w:rStyle w:val="Refdenotaalpie"/>
          <w:rFonts w:ascii="Verdana" w:hAnsi="Verdana"/>
          <w:sz w:val="20"/>
          <w:szCs w:val="20"/>
        </w:rPr>
        <w:footnoteReference w:id="23"/>
      </w:r>
      <w:r w:rsidR="009B2BFB" w:rsidRPr="00DF1F41">
        <w:rPr>
          <w:rFonts w:ascii="Verdana" w:hAnsi="Verdana"/>
          <w:sz w:val="20"/>
          <w:szCs w:val="20"/>
        </w:rPr>
        <w:t>. Esta interpretación resulta armoniosa con la finalidad específica de la recién citada norma, cual es, “</w:t>
      </w:r>
      <w:r w:rsidR="009B2BFB" w:rsidRPr="00DF1F41">
        <w:rPr>
          <w:rFonts w:ascii="Verdana" w:hAnsi="Verdana"/>
          <w:i/>
          <w:sz w:val="20"/>
          <w:szCs w:val="20"/>
        </w:rPr>
        <w:t>evitar daños irreparables</w:t>
      </w:r>
      <w:r w:rsidR="009B2BFB" w:rsidRPr="00DF1F41">
        <w:rPr>
          <w:rFonts w:ascii="Verdana" w:hAnsi="Verdana"/>
          <w:sz w:val="20"/>
          <w:szCs w:val="20"/>
        </w:rPr>
        <w:t>” en lo concer</w:t>
      </w:r>
      <w:r w:rsidR="004F398D" w:rsidRPr="00DF1F41">
        <w:rPr>
          <w:rFonts w:ascii="Verdana" w:hAnsi="Verdana"/>
          <w:sz w:val="20"/>
          <w:szCs w:val="20"/>
        </w:rPr>
        <w:t xml:space="preserve">niente a los derechos humanos, </w:t>
      </w:r>
      <w:r w:rsidR="00172BD7" w:rsidRPr="00DF1F41">
        <w:rPr>
          <w:rFonts w:ascii="Verdana" w:hAnsi="Verdana"/>
          <w:sz w:val="20"/>
          <w:szCs w:val="20"/>
        </w:rPr>
        <w:t xml:space="preserve">así como </w:t>
      </w:r>
      <w:r w:rsidR="009B2BFB" w:rsidRPr="00DF1F41">
        <w:rPr>
          <w:rFonts w:ascii="Verdana" w:hAnsi="Verdana"/>
          <w:sz w:val="20"/>
          <w:szCs w:val="20"/>
        </w:rPr>
        <w:t xml:space="preserve">con </w:t>
      </w:r>
      <w:r w:rsidR="009F67C3">
        <w:rPr>
          <w:rFonts w:ascii="Verdana" w:hAnsi="Verdana"/>
          <w:sz w:val="20"/>
          <w:szCs w:val="20"/>
        </w:rPr>
        <w:t xml:space="preserve">la </w:t>
      </w:r>
      <w:r w:rsidR="009B2BFB" w:rsidRPr="00DF1F41">
        <w:rPr>
          <w:rFonts w:ascii="Verdana" w:hAnsi="Verdana"/>
          <w:sz w:val="20"/>
          <w:szCs w:val="20"/>
        </w:rPr>
        <w:t>de la Convenci</w:t>
      </w:r>
      <w:r w:rsidR="004F398D" w:rsidRPr="00DF1F41">
        <w:rPr>
          <w:rFonts w:ascii="Verdana" w:hAnsi="Verdana"/>
          <w:sz w:val="20"/>
          <w:szCs w:val="20"/>
        </w:rPr>
        <w:t>ón</w:t>
      </w:r>
      <w:r w:rsidR="009B2BFB" w:rsidRPr="00DF1F41">
        <w:rPr>
          <w:rFonts w:ascii="Verdana" w:hAnsi="Verdana"/>
          <w:sz w:val="20"/>
          <w:szCs w:val="20"/>
        </w:rPr>
        <w:t xml:space="preserve">, </w:t>
      </w:r>
      <w:r w:rsidR="004F398D" w:rsidRPr="00DF1F41">
        <w:rPr>
          <w:rFonts w:ascii="Verdana" w:hAnsi="Verdana"/>
          <w:sz w:val="20"/>
          <w:szCs w:val="20"/>
        </w:rPr>
        <w:t xml:space="preserve">es decir, </w:t>
      </w:r>
      <w:r w:rsidR="00172BD7" w:rsidRPr="00DF1F41">
        <w:rPr>
          <w:rFonts w:ascii="Verdana" w:hAnsi="Verdana"/>
          <w:sz w:val="20"/>
          <w:szCs w:val="20"/>
        </w:rPr>
        <w:t>“</w:t>
      </w:r>
      <w:r w:rsidR="004F398D" w:rsidRPr="00DF1F41">
        <w:rPr>
          <w:rFonts w:ascii="Verdana" w:hAnsi="Verdana"/>
          <w:i/>
          <w:sz w:val="20"/>
          <w:szCs w:val="20"/>
        </w:rPr>
        <w:t>la determinación de la estructura, competencia y procedimiento de los órganos encargados de esa materia</w:t>
      </w:r>
      <w:r w:rsidR="00172BD7" w:rsidRPr="00DF1F41">
        <w:rPr>
          <w:rFonts w:ascii="Verdana" w:hAnsi="Verdana"/>
          <w:i/>
          <w:sz w:val="20"/>
          <w:szCs w:val="20"/>
        </w:rPr>
        <w:t>”</w:t>
      </w:r>
      <w:r w:rsidR="004F398D" w:rsidRPr="00DF1F41">
        <w:rPr>
          <w:rFonts w:ascii="Verdana" w:hAnsi="Verdana"/>
          <w:sz w:val="20"/>
          <w:szCs w:val="20"/>
        </w:rPr>
        <w:t>, entre ellos, por cierto, la Corte, y con el</w:t>
      </w:r>
      <w:r w:rsidR="00172BD7" w:rsidRPr="00DF1F41">
        <w:rPr>
          <w:rFonts w:ascii="Verdana" w:hAnsi="Verdana"/>
          <w:sz w:val="20"/>
          <w:szCs w:val="20"/>
        </w:rPr>
        <w:t xml:space="preserve"> que ella ha indicado igualmente sobre la base de lo que expresa la Convención, es decir, </w:t>
      </w:r>
      <w:r w:rsidR="00172BD7" w:rsidRPr="00DF1F41">
        <w:rPr>
          <w:rFonts w:ascii="Verdana" w:eastAsia="Times" w:hAnsi="Verdana" w:cs="Arial"/>
          <w:i/>
          <w:sz w:val="20"/>
          <w:szCs w:val="20"/>
        </w:rPr>
        <w:t>“la protección de los derechos fundamentales de los seres humanos”</w:t>
      </w:r>
      <w:r w:rsidR="00172BD7" w:rsidRPr="00DF1F41">
        <w:rPr>
          <w:rStyle w:val="Refdenotaalpie"/>
          <w:rFonts w:ascii="Verdana" w:eastAsia="Times" w:hAnsi="Verdana" w:cs="Arial"/>
          <w:i/>
          <w:sz w:val="20"/>
          <w:szCs w:val="20"/>
        </w:rPr>
        <w:footnoteReference w:id="24"/>
      </w:r>
      <w:r w:rsidR="00172BD7" w:rsidRPr="00DF1F41">
        <w:rPr>
          <w:rFonts w:ascii="Verdana" w:eastAsia="Times" w:hAnsi="Verdana" w:cs="Arial"/>
          <w:i/>
          <w:sz w:val="20"/>
          <w:szCs w:val="20"/>
        </w:rPr>
        <w:t xml:space="preserve">. </w:t>
      </w:r>
    </w:p>
    <w:p w:rsidR="008F5B33" w:rsidRDefault="00131592" w:rsidP="00303E7B">
      <w:pPr>
        <w:jc w:val="both"/>
        <w:rPr>
          <w:rFonts w:ascii="Verdana" w:eastAsia="Times" w:hAnsi="Verdana" w:cs="Arial"/>
          <w:sz w:val="20"/>
          <w:szCs w:val="20"/>
        </w:rPr>
      </w:pPr>
      <w:r>
        <w:rPr>
          <w:rFonts w:ascii="Verdana" w:eastAsia="Times" w:hAnsi="Verdana" w:cs="Arial"/>
          <w:sz w:val="20"/>
          <w:szCs w:val="20"/>
        </w:rPr>
        <w:t>Y la tercera peculiaridad que presenta la situación que aborda la Resolución, es q</w:t>
      </w:r>
      <w:r w:rsidR="009F67C3">
        <w:rPr>
          <w:rFonts w:ascii="Verdana" w:eastAsia="Times" w:hAnsi="Verdana" w:cs="Arial"/>
          <w:sz w:val="20"/>
          <w:szCs w:val="20"/>
        </w:rPr>
        <w:t>ue esta última se refiere a catorce casos</w:t>
      </w:r>
      <w:r>
        <w:rPr>
          <w:rFonts w:ascii="Verdana" w:eastAsia="Times" w:hAnsi="Verdana" w:cs="Arial"/>
          <w:sz w:val="20"/>
          <w:szCs w:val="20"/>
        </w:rPr>
        <w:t xml:space="preserve">, lo que queda </w:t>
      </w:r>
      <w:r w:rsidR="009F67C3">
        <w:rPr>
          <w:rFonts w:ascii="Verdana" w:eastAsia="Times" w:hAnsi="Verdana" w:cs="Arial"/>
          <w:sz w:val="20"/>
          <w:szCs w:val="20"/>
        </w:rPr>
        <w:t>en evidencia, de partida, en su título. Cabe resaltar que la Audiencia pública llevada a cabo el 11 de marzo de 2019, fue convocada</w:t>
      </w:r>
      <w:r w:rsidR="001C0CAE">
        <w:rPr>
          <w:rFonts w:ascii="Verdana" w:eastAsia="Times" w:hAnsi="Verdana" w:cs="Arial"/>
          <w:sz w:val="20"/>
          <w:szCs w:val="20"/>
        </w:rPr>
        <w:t xml:space="preserve"> para</w:t>
      </w:r>
      <w:r w:rsidR="002057E7">
        <w:rPr>
          <w:rFonts w:ascii="Verdana" w:eastAsia="Times" w:hAnsi="Verdana" w:cs="Arial"/>
          <w:sz w:val="20"/>
          <w:szCs w:val="20"/>
        </w:rPr>
        <w:t xml:space="preserve"> la “Supervisión de Cumplimiento de Sentencia</w:t>
      </w:r>
      <w:r w:rsidR="0002680D">
        <w:rPr>
          <w:rFonts w:ascii="Verdana" w:eastAsia="Times" w:hAnsi="Verdana" w:cs="Arial"/>
          <w:sz w:val="20"/>
          <w:szCs w:val="20"/>
        </w:rPr>
        <w:t>”</w:t>
      </w:r>
      <w:r w:rsidR="002057E7">
        <w:rPr>
          <w:rFonts w:ascii="Verdana" w:eastAsia="Times" w:hAnsi="Verdana" w:cs="Arial"/>
          <w:sz w:val="20"/>
          <w:szCs w:val="20"/>
        </w:rPr>
        <w:t xml:space="preserve"> </w:t>
      </w:r>
      <w:r w:rsidR="0002680D">
        <w:rPr>
          <w:rFonts w:ascii="Verdana" w:eastAsia="Times" w:hAnsi="Verdana" w:cs="Arial"/>
          <w:sz w:val="20"/>
          <w:szCs w:val="20"/>
        </w:rPr>
        <w:t xml:space="preserve">del </w:t>
      </w:r>
      <w:r w:rsidR="002057E7">
        <w:rPr>
          <w:rFonts w:ascii="Verdana" w:eastAsia="Times" w:hAnsi="Verdana" w:cs="Arial"/>
          <w:sz w:val="20"/>
          <w:szCs w:val="20"/>
        </w:rPr>
        <w:t>“</w:t>
      </w:r>
      <w:r w:rsidR="002057E7" w:rsidRPr="002057E7">
        <w:rPr>
          <w:rFonts w:ascii="Verdana" w:eastAsia="Times" w:hAnsi="Verdana" w:cs="Arial"/>
          <w:i/>
          <w:sz w:val="20"/>
          <w:szCs w:val="20"/>
        </w:rPr>
        <w:t>Caso</w:t>
      </w:r>
      <w:r w:rsidR="002057E7" w:rsidRPr="002057E7">
        <w:rPr>
          <w:rStyle w:val="Textoennegrita"/>
          <w:rFonts w:ascii="Verdana" w:hAnsi="Verdana"/>
          <w:b w:val="0"/>
          <w:i/>
          <w:color w:val="000000"/>
          <w:sz w:val="20"/>
          <w:szCs w:val="20"/>
          <w:shd w:val="clear" w:color="auto" w:fill="FFFFFF"/>
        </w:rPr>
        <w:t xml:space="preserve"> Molina </w:t>
      </w:r>
      <w:proofErr w:type="spellStart"/>
      <w:r w:rsidR="002057E7" w:rsidRPr="002057E7">
        <w:rPr>
          <w:rStyle w:val="Textoennegrita"/>
          <w:rFonts w:ascii="Verdana" w:hAnsi="Verdana"/>
          <w:b w:val="0"/>
          <w:i/>
          <w:color w:val="000000"/>
          <w:sz w:val="20"/>
          <w:szCs w:val="20"/>
          <w:shd w:val="clear" w:color="auto" w:fill="FFFFFF"/>
        </w:rPr>
        <w:t>Theissen</w:t>
      </w:r>
      <w:proofErr w:type="spellEnd"/>
      <w:r w:rsidR="002057E7" w:rsidRPr="002057E7">
        <w:rPr>
          <w:rStyle w:val="Textoennegrita"/>
          <w:rFonts w:ascii="Verdana" w:hAnsi="Verdana"/>
          <w:b w:val="0"/>
          <w:i/>
          <w:color w:val="000000"/>
          <w:sz w:val="20"/>
          <w:szCs w:val="20"/>
          <w:shd w:val="clear" w:color="auto" w:fill="FFFFFF"/>
        </w:rPr>
        <w:t xml:space="preserve"> </w:t>
      </w:r>
      <w:proofErr w:type="spellStart"/>
      <w:r w:rsidR="002057E7" w:rsidRPr="002057E7">
        <w:rPr>
          <w:rStyle w:val="Textoennegrita"/>
          <w:rFonts w:ascii="Verdana" w:hAnsi="Verdana"/>
          <w:b w:val="0"/>
          <w:i/>
          <w:color w:val="000000"/>
          <w:sz w:val="20"/>
          <w:szCs w:val="20"/>
          <w:shd w:val="clear" w:color="auto" w:fill="FFFFFF"/>
        </w:rPr>
        <w:t>Vs.Guatemala</w:t>
      </w:r>
      <w:proofErr w:type="spellEnd"/>
      <w:r w:rsidR="002057E7" w:rsidRPr="002057E7">
        <w:rPr>
          <w:rFonts w:ascii="Verdana" w:eastAsia="Times" w:hAnsi="Verdana" w:cs="Arial"/>
          <w:sz w:val="20"/>
          <w:szCs w:val="20"/>
        </w:rPr>
        <w:t>”</w:t>
      </w:r>
      <w:r w:rsidR="001C0CAE" w:rsidRPr="002057E7">
        <w:rPr>
          <w:rStyle w:val="Refdenotaalpie"/>
          <w:rFonts w:ascii="Verdana" w:eastAsia="Times" w:hAnsi="Verdana" w:cs="Arial"/>
          <w:sz w:val="20"/>
          <w:szCs w:val="20"/>
        </w:rPr>
        <w:footnoteReference w:id="25"/>
      </w:r>
      <w:r w:rsidR="001C0CAE" w:rsidRPr="002057E7">
        <w:rPr>
          <w:rFonts w:ascii="Verdana" w:eastAsia="Times" w:hAnsi="Verdana" w:cs="Arial"/>
          <w:sz w:val="20"/>
          <w:szCs w:val="20"/>
        </w:rPr>
        <w:t>. Entonces, como resultado de la Audiencia, la Resolución aborda los catorce casos antes referidos</w:t>
      </w:r>
      <w:r w:rsidR="001C0CAE" w:rsidRPr="002057E7">
        <w:rPr>
          <w:rStyle w:val="Refdenotaalpie"/>
          <w:rFonts w:ascii="Verdana" w:eastAsia="Times" w:hAnsi="Verdana" w:cs="Arial"/>
          <w:sz w:val="20"/>
          <w:szCs w:val="20"/>
        </w:rPr>
        <w:footnoteReference w:id="26"/>
      </w:r>
      <w:r w:rsidR="001C0CAE" w:rsidRPr="002057E7">
        <w:rPr>
          <w:rFonts w:ascii="Verdana" w:eastAsia="Times" w:hAnsi="Verdana" w:cs="Arial"/>
          <w:sz w:val="20"/>
          <w:szCs w:val="20"/>
        </w:rPr>
        <w:t xml:space="preserve">. </w:t>
      </w:r>
      <w:r w:rsidR="002057E7">
        <w:rPr>
          <w:rFonts w:ascii="Verdana" w:eastAsia="Times" w:hAnsi="Verdana" w:cs="Arial"/>
          <w:sz w:val="20"/>
          <w:szCs w:val="20"/>
        </w:rPr>
        <w:t>Y así, atendido que</w:t>
      </w:r>
      <w:r w:rsidR="001C0CAE" w:rsidRPr="002057E7">
        <w:rPr>
          <w:rFonts w:ascii="Verdana" w:eastAsia="Times" w:hAnsi="Verdana" w:cs="Arial"/>
          <w:sz w:val="20"/>
          <w:szCs w:val="20"/>
        </w:rPr>
        <w:t xml:space="preserve"> si bien las m</w:t>
      </w:r>
      <w:r w:rsidR="001C0CAE">
        <w:rPr>
          <w:rFonts w:ascii="Verdana" w:eastAsia="Times" w:hAnsi="Verdana" w:cs="Arial"/>
          <w:sz w:val="20"/>
          <w:szCs w:val="20"/>
        </w:rPr>
        <w:t xml:space="preserve">edidas provisionales se solicitaron </w:t>
      </w:r>
      <w:r w:rsidR="002057E7">
        <w:rPr>
          <w:rFonts w:ascii="Verdana" w:eastAsia="Times" w:hAnsi="Verdana" w:cs="Arial"/>
          <w:sz w:val="20"/>
          <w:szCs w:val="20"/>
        </w:rPr>
        <w:t xml:space="preserve">solamente </w:t>
      </w:r>
      <w:r w:rsidR="001C0CAE">
        <w:rPr>
          <w:rFonts w:ascii="Verdana" w:eastAsia="Times" w:hAnsi="Verdana" w:cs="Arial"/>
          <w:sz w:val="20"/>
          <w:szCs w:val="20"/>
        </w:rPr>
        <w:t xml:space="preserve">para </w:t>
      </w:r>
      <w:r w:rsidR="002057E7">
        <w:rPr>
          <w:rFonts w:ascii="Verdana" w:eastAsia="Times" w:hAnsi="Verdana" w:cs="Arial"/>
          <w:sz w:val="20"/>
          <w:szCs w:val="20"/>
        </w:rPr>
        <w:t xml:space="preserve">el </w:t>
      </w:r>
      <w:r w:rsidR="002057E7" w:rsidRPr="002057E7">
        <w:rPr>
          <w:rFonts w:ascii="Verdana" w:hAnsi="Verdana"/>
          <w:i/>
          <w:sz w:val="20"/>
          <w:szCs w:val="20"/>
        </w:rPr>
        <w:t>Caso</w:t>
      </w:r>
      <w:r w:rsidR="002057E7" w:rsidRPr="00180EFE">
        <w:rPr>
          <w:rStyle w:val="Textoennegrita"/>
          <w:rFonts w:ascii="Verdana" w:hAnsi="Verdana"/>
          <w:b w:val="0"/>
          <w:i/>
          <w:color w:val="000000"/>
          <w:sz w:val="20"/>
          <w:szCs w:val="20"/>
          <w:shd w:val="clear" w:color="auto" w:fill="FFFFFF"/>
        </w:rPr>
        <w:t xml:space="preserve"> </w:t>
      </w:r>
      <w:r w:rsidR="002057E7" w:rsidRPr="00817E2E">
        <w:rPr>
          <w:rStyle w:val="Textoennegrita"/>
          <w:rFonts w:ascii="Verdana" w:hAnsi="Verdana"/>
          <w:b w:val="0"/>
          <w:i/>
          <w:color w:val="000000"/>
          <w:sz w:val="20"/>
          <w:szCs w:val="20"/>
          <w:shd w:val="clear" w:color="auto" w:fill="FFFFFF"/>
        </w:rPr>
        <w:t xml:space="preserve">Miembros de la Aldea </w:t>
      </w:r>
      <w:proofErr w:type="spellStart"/>
      <w:r w:rsidR="002057E7" w:rsidRPr="00817E2E">
        <w:rPr>
          <w:rStyle w:val="Textoennegrita"/>
          <w:rFonts w:ascii="Verdana" w:hAnsi="Verdana"/>
          <w:b w:val="0"/>
          <w:i/>
          <w:color w:val="000000"/>
          <w:sz w:val="20"/>
          <w:szCs w:val="20"/>
          <w:shd w:val="clear" w:color="auto" w:fill="FFFFFF"/>
        </w:rPr>
        <w:t>Chichupac</w:t>
      </w:r>
      <w:proofErr w:type="spellEnd"/>
      <w:r w:rsidR="002057E7" w:rsidRPr="00817E2E">
        <w:rPr>
          <w:rStyle w:val="Textoennegrita"/>
          <w:rFonts w:ascii="Verdana" w:hAnsi="Verdana"/>
          <w:b w:val="0"/>
          <w:i/>
          <w:color w:val="000000"/>
          <w:sz w:val="20"/>
          <w:szCs w:val="20"/>
          <w:shd w:val="clear" w:color="auto" w:fill="FFFFFF"/>
        </w:rPr>
        <w:t xml:space="preserve"> y comunidades </w:t>
      </w:r>
      <w:r w:rsidR="002057E7">
        <w:rPr>
          <w:rStyle w:val="Textoennegrita"/>
          <w:rFonts w:ascii="Verdana" w:hAnsi="Verdana"/>
          <w:b w:val="0"/>
          <w:i/>
          <w:color w:val="000000"/>
          <w:sz w:val="20"/>
          <w:szCs w:val="20"/>
          <w:shd w:val="clear" w:color="auto" w:fill="FFFFFF"/>
        </w:rPr>
        <w:t xml:space="preserve">vecinas del Municipio de </w:t>
      </w:r>
      <w:r w:rsidR="002057E7" w:rsidRPr="00817E2E">
        <w:rPr>
          <w:rStyle w:val="Textoennegrita"/>
          <w:rFonts w:ascii="Verdana" w:hAnsi="Verdana"/>
          <w:b w:val="0"/>
          <w:i/>
          <w:color w:val="000000"/>
          <w:sz w:val="20"/>
          <w:szCs w:val="20"/>
          <w:shd w:val="clear" w:color="auto" w:fill="FFFFFF"/>
        </w:rPr>
        <w:t>Rabinal</w:t>
      </w:r>
      <w:r w:rsidR="002057E7">
        <w:rPr>
          <w:rStyle w:val="Refdenotaalpie"/>
          <w:rFonts w:ascii="Verdana" w:hAnsi="Verdana"/>
          <w:bCs/>
          <w:i/>
          <w:color w:val="000000"/>
          <w:sz w:val="20"/>
          <w:szCs w:val="20"/>
          <w:shd w:val="clear" w:color="auto" w:fill="FFFFFF"/>
        </w:rPr>
        <w:footnoteReference w:id="27"/>
      </w:r>
      <w:r w:rsidR="002057E7">
        <w:rPr>
          <w:rStyle w:val="Textoennegrita"/>
          <w:rFonts w:ascii="Verdana" w:hAnsi="Verdana"/>
          <w:b w:val="0"/>
          <w:i/>
          <w:color w:val="000000"/>
          <w:sz w:val="20"/>
          <w:szCs w:val="20"/>
          <w:shd w:val="clear" w:color="auto" w:fill="FFFFFF"/>
        </w:rPr>
        <w:t xml:space="preserve"> </w:t>
      </w:r>
      <w:r w:rsidR="002057E7" w:rsidRPr="002057E7">
        <w:rPr>
          <w:rStyle w:val="Textoennegrita"/>
          <w:rFonts w:ascii="Verdana" w:hAnsi="Verdana"/>
          <w:b w:val="0"/>
          <w:color w:val="000000"/>
          <w:sz w:val="20"/>
          <w:szCs w:val="20"/>
          <w:shd w:val="clear" w:color="auto" w:fill="FFFFFF"/>
        </w:rPr>
        <w:t>y</w:t>
      </w:r>
      <w:r w:rsidR="002057E7">
        <w:rPr>
          <w:rFonts w:ascii="Verdana" w:eastAsia="Times" w:hAnsi="Verdana" w:cs="Arial"/>
          <w:sz w:val="20"/>
          <w:szCs w:val="20"/>
        </w:rPr>
        <w:t xml:space="preserve"> considerando que ellas fueron concedidas con respecto a otros </w:t>
      </w:r>
      <w:r w:rsidR="0002680D">
        <w:rPr>
          <w:rFonts w:ascii="Verdana" w:eastAsia="Times" w:hAnsi="Verdana" w:cs="Arial"/>
          <w:sz w:val="20"/>
          <w:szCs w:val="20"/>
        </w:rPr>
        <w:t xml:space="preserve">trece </w:t>
      </w:r>
      <w:r w:rsidR="002057E7">
        <w:rPr>
          <w:rFonts w:ascii="Verdana" w:eastAsia="Times" w:hAnsi="Verdana" w:cs="Arial"/>
          <w:sz w:val="20"/>
          <w:szCs w:val="20"/>
        </w:rPr>
        <w:t xml:space="preserve">casos también ya fallados por la Corte, tal ampliación configura una situación peculiar consistente en que </w:t>
      </w:r>
      <w:r w:rsidR="009B59B9">
        <w:rPr>
          <w:rFonts w:ascii="Verdana" w:eastAsia="Times" w:hAnsi="Verdana" w:cs="Arial"/>
          <w:sz w:val="20"/>
          <w:szCs w:val="20"/>
        </w:rPr>
        <w:t xml:space="preserve">no solo </w:t>
      </w:r>
      <w:r w:rsidR="002057E7">
        <w:rPr>
          <w:rFonts w:ascii="Verdana" w:eastAsia="Times" w:hAnsi="Verdana" w:cs="Arial"/>
          <w:sz w:val="20"/>
          <w:szCs w:val="20"/>
        </w:rPr>
        <w:t xml:space="preserve">se trataba ya </w:t>
      </w:r>
      <w:r w:rsidR="008F5B33">
        <w:rPr>
          <w:rFonts w:ascii="Verdana" w:eastAsia="Times" w:hAnsi="Verdana" w:cs="Arial"/>
          <w:sz w:val="20"/>
          <w:szCs w:val="20"/>
        </w:rPr>
        <w:t xml:space="preserve">de </w:t>
      </w:r>
      <w:r>
        <w:rPr>
          <w:rFonts w:ascii="Verdana" w:eastAsia="Times" w:hAnsi="Verdana" w:cs="Arial"/>
          <w:sz w:val="20"/>
          <w:szCs w:val="20"/>
        </w:rPr>
        <w:t>m</w:t>
      </w:r>
      <w:r w:rsidR="008F5B33">
        <w:rPr>
          <w:rFonts w:ascii="Verdana" w:eastAsia="Times" w:hAnsi="Verdana" w:cs="Arial"/>
          <w:sz w:val="20"/>
          <w:szCs w:val="20"/>
        </w:rPr>
        <w:t>e</w:t>
      </w:r>
      <w:r w:rsidR="002057E7">
        <w:rPr>
          <w:rFonts w:ascii="Verdana" w:eastAsia="Times" w:hAnsi="Verdana" w:cs="Arial"/>
          <w:sz w:val="20"/>
          <w:szCs w:val="20"/>
        </w:rPr>
        <w:t>didas provisionales vinculadas a un</w:t>
      </w:r>
      <w:r w:rsidR="008F5B33">
        <w:rPr>
          <w:rFonts w:ascii="Verdana" w:eastAsia="Times" w:hAnsi="Verdana" w:cs="Arial"/>
          <w:sz w:val="20"/>
          <w:szCs w:val="20"/>
        </w:rPr>
        <w:t xml:space="preserve"> “</w:t>
      </w:r>
      <w:r w:rsidR="008F5B33" w:rsidRPr="00017910">
        <w:rPr>
          <w:rFonts w:ascii="Verdana" w:eastAsia="Times" w:hAnsi="Verdana" w:cs="Arial"/>
          <w:i/>
          <w:sz w:val="20"/>
          <w:szCs w:val="20"/>
        </w:rPr>
        <w:t>caso</w:t>
      </w:r>
      <w:r w:rsidR="00017910" w:rsidRPr="00017910">
        <w:rPr>
          <w:rFonts w:ascii="Verdana" w:eastAsia="Times" w:hAnsi="Verdana" w:cs="Arial"/>
          <w:i/>
          <w:sz w:val="20"/>
          <w:szCs w:val="20"/>
        </w:rPr>
        <w:t xml:space="preserve"> que esté conociendo la Corte</w:t>
      </w:r>
      <w:r w:rsidR="002057E7">
        <w:rPr>
          <w:rFonts w:ascii="Verdana" w:eastAsia="Times" w:hAnsi="Verdana" w:cs="Arial"/>
          <w:sz w:val="20"/>
          <w:szCs w:val="20"/>
        </w:rPr>
        <w:t>” sino d</w:t>
      </w:r>
      <w:r w:rsidR="008F5B33">
        <w:rPr>
          <w:rFonts w:ascii="Verdana" w:eastAsia="Times" w:hAnsi="Verdana" w:cs="Arial"/>
          <w:sz w:val="20"/>
          <w:szCs w:val="20"/>
        </w:rPr>
        <w:t xml:space="preserve">e un </w:t>
      </w:r>
      <w:r w:rsidR="00892FC2">
        <w:rPr>
          <w:rFonts w:ascii="Verdana" w:eastAsia="Times" w:hAnsi="Verdana" w:cs="Arial"/>
          <w:sz w:val="20"/>
          <w:szCs w:val="20"/>
        </w:rPr>
        <w:t xml:space="preserve">nuevo </w:t>
      </w:r>
      <w:r w:rsidR="008F5B33">
        <w:rPr>
          <w:rFonts w:ascii="Verdana" w:eastAsia="Times" w:hAnsi="Verdana" w:cs="Arial"/>
          <w:sz w:val="20"/>
          <w:szCs w:val="20"/>
        </w:rPr>
        <w:t>“</w:t>
      </w:r>
      <w:r w:rsidR="008F5B33" w:rsidRPr="00017910">
        <w:rPr>
          <w:rFonts w:ascii="Verdana" w:eastAsia="Times" w:hAnsi="Verdana" w:cs="Arial"/>
          <w:i/>
          <w:sz w:val="20"/>
          <w:szCs w:val="20"/>
        </w:rPr>
        <w:t>asunto”</w:t>
      </w:r>
      <w:r w:rsidR="00892FC2">
        <w:rPr>
          <w:rFonts w:ascii="Verdana" w:eastAsia="Times" w:hAnsi="Verdana" w:cs="Arial"/>
          <w:sz w:val="20"/>
          <w:szCs w:val="20"/>
        </w:rPr>
        <w:t xml:space="preserve">, </w:t>
      </w:r>
      <w:r w:rsidR="002057E7">
        <w:rPr>
          <w:rFonts w:ascii="Verdana" w:eastAsia="Times" w:hAnsi="Verdana" w:cs="Arial"/>
          <w:sz w:val="20"/>
          <w:szCs w:val="20"/>
        </w:rPr>
        <w:t xml:space="preserve">compuesto por varios casos </w:t>
      </w:r>
      <w:r w:rsidR="009B59B9">
        <w:rPr>
          <w:rFonts w:ascii="Verdana" w:eastAsia="Times" w:hAnsi="Verdana" w:cs="Arial"/>
          <w:sz w:val="20"/>
          <w:szCs w:val="20"/>
        </w:rPr>
        <w:t>y que, en tanto conjunto, no le fue sometido a su conocimiento</w:t>
      </w:r>
      <w:r w:rsidR="00892FC2">
        <w:rPr>
          <w:rFonts w:ascii="Verdana" w:eastAsia="Times" w:hAnsi="Verdana" w:cs="Arial"/>
          <w:sz w:val="20"/>
          <w:szCs w:val="20"/>
        </w:rPr>
        <w:t>.</w:t>
      </w:r>
    </w:p>
    <w:p w:rsidR="00C45925" w:rsidRPr="00DF1F41" w:rsidRDefault="00172BD7" w:rsidP="00303E7B">
      <w:pPr>
        <w:jc w:val="both"/>
        <w:rPr>
          <w:rFonts w:ascii="Verdana" w:eastAsia="Times" w:hAnsi="Verdana" w:cs="Arial"/>
          <w:sz w:val="20"/>
          <w:szCs w:val="20"/>
        </w:rPr>
      </w:pPr>
      <w:r w:rsidRPr="00DF1F41">
        <w:rPr>
          <w:rFonts w:ascii="Verdana" w:eastAsia="Times" w:hAnsi="Verdana" w:cs="Arial"/>
          <w:sz w:val="20"/>
          <w:szCs w:val="20"/>
        </w:rPr>
        <w:t xml:space="preserve">De manera, entonces, que se puede concluir que, considerando la regla </w:t>
      </w:r>
      <w:r w:rsidR="00C6776A" w:rsidRPr="00DF1F41">
        <w:rPr>
          <w:rFonts w:ascii="Verdana" w:eastAsia="Times" w:hAnsi="Verdana" w:cs="Arial"/>
          <w:sz w:val="20"/>
          <w:szCs w:val="20"/>
        </w:rPr>
        <w:t>fundamental de la interpre</w:t>
      </w:r>
      <w:r w:rsidR="00017910">
        <w:rPr>
          <w:rFonts w:ascii="Verdana" w:eastAsia="Times" w:hAnsi="Verdana" w:cs="Arial"/>
          <w:sz w:val="20"/>
          <w:szCs w:val="20"/>
        </w:rPr>
        <w:t>tación de los tratados con</w:t>
      </w:r>
      <w:r w:rsidR="00C6776A" w:rsidRPr="00DF1F41">
        <w:rPr>
          <w:rFonts w:ascii="Verdana" w:eastAsia="Times" w:hAnsi="Verdana" w:cs="Arial"/>
          <w:sz w:val="20"/>
          <w:szCs w:val="20"/>
        </w:rPr>
        <w:t>tenida en la Convención de Viena</w:t>
      </w:r>
      <w:r w:rsidR="00C6776A" w:rsidRPr="00DF1F41">
        <w:rPr>
          <w:rStyle w:val="Refdenotaalpie"/>
          <w:rFonts w:ascii="Verdana" w:eastAsia="Times" w:hAnsi="Verdana" w:cs="Arial"/>
          <w:sz w:val="20"/>
          <w:szCs w:val="20"/>
        </w:rPr>
        <w:footnoteReference w:id="28"/>
      </w:r>
      <w:r w:rsidR="00C45925" w:rsidRPr="00DF1F41">
        <w:rPr>
          <w:rFonts w:ascii="Verdana" w:eastAsia="Times" w:hAnsi="Verdana" w:cs="Arial"/>
          <w:sz w:val="20"/>
          <w:szCs w:val="20"/>
        </w:rPr>
        <w:t xml:space="preserve"> y empleando armónicamente l</w:t>
      </w:r>
      <w:r w:rsidR="00C6776A" w:rsidRPr="00DF1F41">
        <w:rPr>
          <w:rFonts w:ascii="Verdana" w:eastAsia="Times" w:hAnsi="Verdana" w:cs="Arial"/>
          <w:sz w:val="20"/>
          <w:szCs w:val="20"/>
        </w:rPr>
        <w:t>as cuatros reglas que contempla, se colige</w:t>
      </w:r>
      <w:r w:rsidR="00C45925" w:rsidRPr="00DF1F41">
        <w:rPr>
          <w:rFonts w:ascii="Verdana" w:eastAsia="Times" w:hAnsi="Verdana" w:cs="Arial"/>
          <w:sz w:val="20"/>
          <w:szCs w:val="20"/>
        </w:rPr>
        <w:t xml:space="preserve"> que, en el asunto de autos, en definitiva se cumple plenamente la hipótesis inserta en el artículo 63.2 de la </w:t>
      </w:r>
      <w:r w:rsidR="00C45925" w:rsidRPr="00DF1F41">
        <w:rPr>
          <w:rFonts w:ascii="Verdana" w:eastAsia="Times" w:hAnsi="Verdana" w:cs="Arial"/>
          <w:sz w:val="20"/>
          <w:szCs w:val="20"/>
        </w:rPr>
        <w:lastRenderedPageBreak/>
        <w:t>Convención y es por ello que el suscrito concurre con su voto a la aprobación de sus Puntos Resolutivos, salvo el N° 2 antes transcrito.</w:t>
      </w:r>
    </w:p>
    <w:p w:rsidR="00C45925" w:rsidRPr="00DF1F41" w:rsidRDefault="00C45925" w:rsidP="00303E7B">
      <w:pPr>
        <w:pStyle w:val="Prrafodelista"/>
        <w:numPr>
          <w:ilvl w:val="0"/>
          <w:numId w:val="1"/>
        </w:numPr>
        <w:jc w:val="both"/>
        <w:rPr>
          <w:rFonts w:ascii="Verdana" w:hAnsi="Verdana"/>
          <w:b/>
          <w:sz w:val="20"/>
          <w:szCs w:val="20"/>
        </w:rPr>
      </w:pPr>
      <w:r w:rsidRPr="00DF1F41">
        <w:rPr>
          <w:rFonts w:ascii="Verdana" w:eastAsia="Times" w:hAnsi="Verdana" w:cs="Arial"/>
          <w:b/>
          <w:sz w:val="20"/>
          <w:szCs w:val="20"/>
        </w:rPr>
        <w:t xml:space="preserve">LA DISIDENCIA EN CUESTIÓN. </w:t>
      </w:r>
    </w:p>
    <w:p w:rsidR="009B59B9" w:rsidRDefault="00C45925" w:rsidP="009B59B9">
      <w:pPr>
        <w:jc w:val="both"/>
        <w:rPr>
          <w:rFonts w:ascii="Verdana" w:hAnsi="Verdana"/>
          <w:sz w:val="20"/>
          <w:szCs w:val="20"/>
        </w:rPr>
      </w:pPr>
      <w:r w:rsidRPr="00DF1F41">
        <w:rPr>
          <w:rFonts w:ascii="Verdana" w:eastAsia="Times" w:hAnsi="Verdana" w:cs="Arial"/>
          <w:sz w:val="20"/>
          <w:szCs w:val="20"/>
        </w:rPr>
        <w:t>Ahora bien, se disiente d</w:t>
      </w:r>
      <w:r w:rsidR="009F67C3">
        <w:rPr>
          <w:rFonts w:ascii="Verdana" w:eastAsia="Times" w:hAnsi="Verdana" w:cs="Arial"/>
          <w:sz w:val="20"/>
          <w:szCs w:val="20"/>
        </w:rPr>
        <w:t>e</w:t>
      </w:r>
      <w:r w:rsidRPr="00DF1F41">
        <w:rPr>
          <w:rFonts w:ascii="Verdana" w:eastAsia="Times" w:hAnsi="Verdana" w:cs="Arial"/>
          <w:sz w:val="20"/>
          <w:szCs w:val="20"/>
        </w:rPr>
        <w:t xml:space="preserve">l Resolutivo N° 2 de la Resolución, habida cuenta a </w:t>
      </w:r>
      <w:r w:rsidRPr="00DF1F41">
        <w:rPr>
          <w:rFonts w:ascii="Verdana" w:hAnsi="Verdana"/>
          <w:sz w:val="20"/>
          <w:szCs w:val="20"/>
        </w:rPr>
        <w:t>que</w:t>
      </w:r>
      <w:r w:rsidR="009B59B9">
        <w:rPr>
          <w:rFonts w:ascii="Verdana" w:hAnsi="Verdana"/>
          <w:sz w:val="20"/>
          <w:szCs w:val="20"/>
        </w:rPr>
        <w:t xml:space="preserve">, se reitera, </w:t>
      </w:r>
    </w:p>
    <w:p w:rsidR="009B59B9" w:rsidRDefault="009B59B9" w:rsidP="009B59B9">
      <w:pPr>
        <w:ind w:left="567"/>
        <w:jc w:val="both"/>
        <w:rPr>
          <w:rFonts w:ascii="Verdana" w:hAnsi="Verdana"/>
          <w:bCs/>
          <w:i/>
          <w:color w:val="000000"/>
          <w:sz w:val="20"/>
          <w:szCs w:val="20"/>
        </w:rPr>
      </w:pPr>
      <w:r w:rsidRPr="00DF1F41">
        <w:rPr>
          <w:rFonts w:ascii="Verdana" w:hAnsi="Verdana"/>
          <w:i/>
          <w:sz w:val="20"/>
          <w:szCs w:val="20"/>
        </w:rPr>
        <w:t>“</w:t>
      </w:r>
      <w:r w:rsidRPr="00DF1F41">
        <w:rPr>
          <w:rFonts w:ascii="Verdana" w:hAnsi="Verdana"/>
          <w:i/>
          <w:color w:val="000000"/>
          <w:sz w:val="20"/>
          <w:szCs w:val="20"/>
        </w:rPr>
        <w:t>Requerir al Estado de</w:t>
      </w:r>
      <w:r w:rsidR="00673FC4">
        <w:rPr>
          <w:rFonts w:ascii="Verdana" w:hAnsi="Verdana"/>
          <w:i/>
          <w:color w:val="000000"/>
          <w:sz w:val="20"/>
          <w:szCs w:val="20"/>
        </w:rPr>
        <w:t xml:space="preserve"> Guatemala que, para garantizar </w:t>
      </w:r>
      <w:r w:rsidRPr="00DF1F41">
        <w:rPr>
          <w:rFonts w:ascii="Verdana" w:hAnsi="Verdana"/>
          <w:i/>
          <w:color w:val="000000"/>
          <w:sz w:val="20"/>
          <w:szCs w:val="20"/>
        </w:rPr>
        <w:t xml:space="preserve">el derecho al acceso a la justicia de las víctimas </w:t>
      </w:r>
      <w:r>
        <w:rPr>
          <w:rFonts w:ascii="Verdana" w:hAnsi="Verdana"/>
          <w:i/>
          <w:color w:val="000000"/>
          <w:sz w:val="20"/>
          <w:szCs w:val="20"/>
        </w:rPr>
        <w:t xml:space="preserve">de los 14 casos indicados en el Considerando 50,  </w:t>
      </w:r>
      <w:r w:rsidRPr="00DF1F41">
        <w:rPr>
          <w:rFonts w:ascii="Verdana" w:hAnsi="Verdana"/>
          <w:bCs/>
          <w:i/>
          <w:color w:val="000000"/>
          <w:sz w:val="20"/>
          <w:szCs w:val="20"/>
        </w:rPr>
        <w:t xml:space="preserve">interrumpa el trámite </w:t>
      </w:r>
      <w:r w:rsidR="0002680D">
        <w:rPr>
          <w:rFonts w:ascii="Verdana" w:hAnsi="Verdana"/>
          <w:bCs/>
          <w:i/>
          <w:color w:val="000000"/>
          <w:sz w:val="20"/>
          <w:szCs w:val="20"/>
        </w:rPr>
        <w:t xml:space="preserve">legislativo </w:t>
      </w:r>
      <w:r w:rsidRPr="00DF1F41">
        <w:rPr>
          <w:rFonts w:ascii="Verdana" w:hAnsi="Verdana"/>
          <w:bCs/>
          <w:i/>
          <w:color w:val="000000"/>
          <w:sz w:val="20"/>
          <w:szCs w:val="20"/>
        </w:rPr>
        <w:t>de</w:t>
      </w:r>
      <w:r w:rsidR="0002680D">
        <w:rPr>
          <w:rFonts w:ascii="Verdana" w:hAnsi="Verdana"/>
          <w:i/>
          <w:color w:val="000000"/>
          <w:sz w:val="20"/>
          <w:szCs w:val="20"/>
        </w:rPr>
        <w:t xml:space="preserve"> </w:t>
      </w:r>
      <w:r w:rsidR="00673FC4">
        <w:rPr>
          <w:rFonts w:ascii="Verdana" w:hAnsi="Verdana"/>
          <w:i/>
          <w:color w:val="000000"/>
          <w:sz w:val="20"/>
          <w:szCs w:val="20"/>
        </w:rPr>
        <w:t>la iniciativa de ley 5377</w:t>
      </w:r>
      <w:r w:rsidRPr="00DF1F41">
        <w:rPr>
          <w:rFonts w:ascii="Verdana" w:hAnsi="Verdana"/>
          <w:i/>
          <w:color w:val="000000"/>
          <w:sz w:val="20"/>
          <w:szCs w:val="20"/>
        </w:rPr>
        <w:t xml:space="preserve"> que pretende reformar la Ley de </w:t>
      </w:r>
      <w:r w:rsidR="00673FC4">
        <w:rPr>
          <w:rFonts w:ascii="Verdana" w:hAnsi="Verdana"/>
          <w:i/>
          <w:color w:val="000000"/>
          <w:sz w:val="20"/>
          <w:szCs w:val="20"/>
        </w:rPr>
        <w:t>Reconciliación Nacional de 199</w:t>
      </w:r>
      <w:r w:rsidRPr="00DF1F41">
        <w:rPr>
          <w:rFonts w:ascii="Verdana" w:hAnsi="Verdana"/>
          <w:i/>
          <w:color w:val="000000"/>
          <w:sz w:val="20"/>
          <w:szCs w:val="20"/>
        </w:rPr>
        <w:t>6 concediendo una amnistía para todas las graves violaciones cometidas durante el conflicto armado interno,</w:t>
      </w:r>
      <w:r w:rsidR="00632863">
        <w:rPr>
          <w:rFonts w:ascii="Verdana" w:hAnsi="Verdana"/>
          <w:i/>
          <w:color w:val="000000"/>
          <w:sz w:val="20"/>
          <w:szCs w:val="20"/>
        </w:rPr>
        <w:t xml:space="preserve"> </w:t>
      </w:r>
      <w:r w:rsidRPr="00DF1F41">
        <w:rPr>
          <w:rFonts w:ascii="Verdana" w:hAnsi="Verdana"/>
          <w:bCs/>
          <w:i/>
          <w:color w:val="000000"/>
          <w:sz w:val="20"/>
          <w:szCs w:val="20"/>
        </w:rPr>
        <w:t>y la archive.”</w:t>
      </w:r>
    </w:p>
    <w:p w:rsidR="00C45925" w:rsidRPr="009B59B9" w:rsidRDefault="00C45925" w:rsidP="009B59B9">
      <w:pPr>
        <w:jc w:val="both"/>
        <w:rPr>
          <w:rFonts w:ascii="Verdana" w:hAnsi="Verdana"/>
          <w:bCs/>
          <w:i/>
          <w:color w:val="000000"/>
          <w:sz w:val="20"/>
          <w:szCs w:val="20"/>
        </w:rPr>
      </w:pPr>
      <w:r w:rsidRPr="00DF1F41">
        <w:rPr>
          <w:rFonts w:ascii="Verdana" w:hAnsi="Verdana"/>
          <w:bCs/>
          <w:color w:val="000000"/>
          <w:sz w:val="20"/>
          <w:szCs w:val="20"/>
        </w:rPr>
        <w:t xml:space="preserve">Ello importa que al Estado se le ordena proceder como se señala, porque habría </w:t>
      </w:r>
      <w:r w:rsidR="00DF1F41" w:rsidRPr="00DF1F41">
        <w:rPr>
          <w:rFonts w:ascii="Verdana" w:hAnsi="Verdana"/>
          <w:bCs/>
          <w:color w:val="000000"/>
          <w:sz w:val="20"/>
          <w:szCs w:val="20"/>
        </w:rPr>
        <w:t>incurrido</w:t>
      </w:r>
      <w:r w:rsidRPr="00DF1F41">
        <w:rPr>
          <w:rFonts w:ascii="Verdana" w:hAnsi="Verdana"/>
          <w:bCs/>
          <w:color w:val="000000"/>
          <w:sz w:val="20"/>
          <w:szCs w:val="20"/>
        </w:rPr>
        <w:t xml:space="preserve"> en un hecho ilícito internacional, supuesto </w:t>
      </w:r>
      <w:r w:rsidR="00DF1F41" w:rsidRPr="00DF1F41">
        <w:rPr>
          <w:rFonts w:ascii="Verdana" w:hAnsi="Verdana"/>
          <w:bCs/>
          <w:color w:val="000000"/>
          <w:sz w:val="20"/>
          <w:szCs w:val="20"/>
        </w:rPr>
        <w:t xml:space="preserve">en </w:t>
      </w:r>
      <w:r w:rsidR="00DF1F41">
        <w:rPr>
          <w:rFonts w:ascii="Verdana" w:hAnsi="Verdana"/>
          <w:bCs/>
          <w:color w:val="000000"/>
          <w:sz w:val="20"/>
          <w:szCs w:val="20"/>
        </w:rPr>
        <w:t>el que</w:t>
      </w:r>
      <w:r w:rsidR="00DF1F41" w:rsidRPr="00DF1F41">
        <w:rPr>
          <w:rFonts w:ascii="Verdana" w:hAnsi="Verdana"/>
          <w:bCs/>
          <w:color w:val="000000"/>
          <w:sz w:val="20"/>
          <w:szCs w:val="20"/>
        </w:rPr>
        <w:t xml:space="preserve"> puede actuar la Corte</w:t>
      </w:r>
      <w:r w:rsidRPr="00DF1F41">
        <w:rPr>
          <w:rFonts w:ascii="Verdana" w:hAnsi="Verdana"/>
          <w:bCs/>
          <w:color w:val="000000"/>
          <w:sz w:val="20"/>
          <w:szCs w:val="20"/>
        </w:rPr>
        <w:t xml:space="preserve">. </w:t>
      </w:r>
    </w:p>
    <w:p w:rsidR="0062035B" w:rsidRPr="009B59B9" w:rsidRDefault="00C45925" w:rsidP="009B59B9">
      <w:pPr>
        <w:autoSpaceDE w:val="0"/>
        <w:autoSpaceDN w:val="0"/>
        <w:adjustRightInd w:val="0"/>
        <w:spacing w:after="0"/>
        <w:jc w:val="both"/>
        <w:rPr>
          <w:rFonts w:ascii="Verdana" w:hAnsi="Verdana"/>
          <w:bCs/>
          <w:color w:val="000000"/>
          <w:sz w:val="20"/>
          <w:szCs w:val="20"/>
        </w:rPr>
      </w:pPr>
      <w:r w:rsidRPr="00DF1F41">
        <w:rPr>
          <w:rFonts w:ascii="Verdana" w:hAnsi="Verdana"/>
          <w:bCs/>
          <w:color w:val="000000"/>
          <w:sz w:val="20"/>
          <w:szCs w:val="20"/>
        </w:rPr>
        <w:t>Empero, en realidad no se da ese supuesto, vale decir, aún no se ha configurado</w:t>
      </w:r>
      <w:r w:rsidR="009B59B9">
        <w:rPr>
          <w:rFonts w:ascii="Verdana" w:hAnsi="Verdana"/>
          <w:bCs/>
          <w:color w:val="000000"/>
          <w:sz w:val="20"/>
          <w:szCs w:val="20"/>
        </w:rPr>
        <w:t xml:space="preserve"> un hecho ilícito internacional, De conformidad con el Derecho Internacional </w:t>
      </w:r>
      <w:r w:rsidR="00303E7B" w:rsidRPr="00DF1F41">
        <w:rPr>
          <w:rFonts w:ascii="Verdana" w:hAnsi="Verdana"/>
          <w:bCs/>
          <w:sz w:val="20"/>
          <w:szCs w:val="20"/>
        </w:rPr>
        <w:t>Consuetudinario</w:t>
      </w:r>
      <w:r w:rsidR="00303E7B" w:rsidRPr="00DF1F41">
        <w:rPr>
          <w:rStyle w:val="Refdenotaalpie"/>
          <w:rFonts w:ascii="Verdana" w:hAnsi="Verdana"/>
          <w:bCs/>
          <w:sz w:val="20"/>
          <w:szCs w:val="20"/>
        </w:rPr>
        <w:footnoteReference w:id="29"/>
      </w:r>
      <w:r w:rsidR="00303E7B" w:rsidRPr="00DF1F41">
        <w:rPr>
          <w:rFonts w:ascii="Verdana" w:hAnsi="Verdana"/>
          <w:bCs/>
          <w:sz w:val="20"/>
          <w:szCs w:val="20"/>
        </w:rPr>
        <w:t>,</w:t>
      </w:r>
      <w:r w:rsidR="00404727" w:rsidRPr="00DF1F41">
        <w:rPr>
          <w:rFonts w:ascii="Verdana" w:hAnsi="Verdana"/>
          <w:bCs/>
          <w:sz w:val="20"/>
          <w:szCs w:val="20"/>
        </w:rPr>
        <w:t xml:space="preserve"> </w:t>
      </w:r>
      <w:r w:rsidR="00404727" w:rsidRPr="00DF1F41">
        <w:rPr>
          <w:rFonts w:ascii="Verdana" w:hAnsi="Verdana"/>
          <w:bCs/>
          <w:i/>
          <w:sz w:val="20"/>
          <w:szCs w:val="20"/>
        </w:rPr>
        <w:t>“</w:t>
      </w:r>
      <w:r w:rsidR="00404727" w:rsidRPr="00DF1F41">
        <w:rPr>
          <w:rFonts w:ascii="Verdana" w:hAnsi="Verdana"/>
          <w:i/>
          <w:sz w:val="20"/>
          <w:szCs w:val="20"/>
        </w:rPr>
        <w:t>(t)</w:t>
      </w:r>
      <w:proofErr w:type="spellStart"/>
      <w:r w:rsidR="00404727" w:rsidRPr="00DF1F41">
        <w:rPr>
          <w:rFonts w:ascii="Verdana" w:hAnsi="Verdana" w:cs="Times New Roman"/>
          <w:i/>
          <w:color w:val="000000"/>
          <w:sz w:val="20"/>
          <w:szCs w:val="20"/>
        </w:rPr>
        <w:t>odo</w:t>
      </w:r>
      <w:proofErr w:type="spellEnd"/>
      <w:r w:rsidR="00404727" w:rsidRPr="00DF1F41">
        <w:rPr>
          <w:rFonts w:ascii="Verdana" w:hAnsi="Verdana" w:cs="Times New Roman"/>
          <w:i/>
          <w:color w:val="000000"/>
          <w:sz w:val="20"/>
          <w:szCs w:val="20"/>
        </w:rPr>
        <w:t xml:space="preserve"> hecho internacionalmente ilícito del Estado genera s</w:t>
      </w:r>
      <w:r w:rsidR="00404727" w:rsidRPr="00DF1F41">
        <w:rPr>
          <w:rFonts w:ascii="Verdana" w:hAnsi="Verdana"/>
          <w:i/>
          <w:sz w:val="20"/>
          <w:szCs w:val="20"/>
        </w:rPr>
        <w:t>u responsabilidad internacional”</w:t>
      </w:r>
      <w:r w:rsidR="009B59B9">
        <w:rPr>
          <w:rFonts w:ascii="Verdana" w:hAnsi="Verdana"/>
          <w:i/>
          <w:sz w:val="20"/>
          <w:szCs w:val="20"/>
        </w:rPr>
        <w:t xml:space="preserve">, </w:t>
      </w:r>
      <w:r w:rsidR="00404727" w:rsidRPr="00DF1F41">
        <w:rPr>
          <w:rFonts w:ascii="Verdana" w:hAnsi="Verdana"/>
          <w:i/>
          <w:sz w:val="20"/>
          <w:szCs w:val="20"/>
        </w:rPr>
        <w:t>“(h)</w:t>
      </w:r>
      <w:r w:rsidR="00404727" w:rsidRPr="00DF1F41">
        <w:rPr>
          <w:rFonts w:ascii="Verdana" w:hAnsi="Verdana" w:cs="Times New Roman"/>
          <w:i/>
          <w:color w:val="000000"/>
          <w:sz w:val="20"/>
          <w:szCs w:val="20"/>
        </w:rPr>
        <w:t xml:space="preserve">ay hecho internacionalmente ilícito del Estado cuando un comportamiento consistente en una acción u omisión: a) Es atribuible al Estado según el derecho internacional; y b) Constituye una violación de una obligación internacional del Estado” y que </w:t>
      </w:r>
      <w:r w:rsidR="00404727" w:rsidRPr="00DF1F41">
        <w:rPr>
          <w:rFonts w:ascii="Verdana" w:hAnsi="Verdana"/>
          <w:i/>
          <w:sz w:val="20"/>
          <w:szCs w:val="20"/>
        </w:rPr>
        <w:t>“</w:t>
      </w:r>
      <w:r w:rsidR="00404727" w:rsidRPr="00DF1F41">
        <w:rPr>
          <w:rFonts w:ascii="Verdana" w:hAnsi="Verdana" w:cs="Times New Roman"/>
          <w:i/>
          <w:color w:val="000000"/>
          <w:sz w:val="20"/>
          <w:szCs w:val="20"/>
        </w:rPr>
        <w:t>la calificación del hecho del Estado como internacionalmente ilícito se rige por el derecho internacional</w:t>
      </w:r>
      <w:r w:rsidR="00303E7B" w:rsidRPr="00DF1F41">
        <w:rPr>
          <w:rFonts w:ascii="Verdana" w:hAnsi="Verdana"/>
          <w:i/>
          <w:sz w:val="20"/>
          <w:szCs w:val="20"/>
        </w:rPr>
        <w:t>”</w:t>
      </w:r>
      <w:r w:rsidR="00404727" w:rsidRPr="00DF1F41">
        <w:rPr>
          <w:rFonts w:ascii="Verdana" w:hAnsi="Verdana" w:cs="Times New Roman"/>
          <w:i/>
          <w:color w:val="000000"/>
          <w:sz w:val="20"/>
          <w:szCs w:val="20"/>
        </w:rPr>
        <w:t xml:space="preserve">. </w:t>
      </w:r>
      <w:r w:rsidR="00303E7B" w:rsidRPr="00DF1F41">
        <w:rPr>
          <w:rFonts w:ascii="Verdana" w:hAnsi="Verdana"/>
          <w:sz w:val="20"/>
          <w:szCs w:val="20"/>
        </w:rPr>
        <w:t>La norma agrega que</w:t>
      </w:r>
      <w:r w:rsidR="00303E7B" w:rsidRPr="00DF1F41">
        <w:rPr>
          <w:rFonts w:ascii="Verdana" w:hAnsi="Verdana"/>
          <w:i/>
          <w:sz w:val="20"/>
          <w:szCs w:val="20"/>
        </w:rPr>
        <w:t xml:space="preserve"> (t)</w:t>
      </w:r>
      <w:proofErr w:type="gramStart"/>
      <w:r w:rsidR="00404727" w:rsidRPr="00DF1F41">
        <w:rPr>
          <w:rFonts w:ascii="Verdana" w:hAnsi="Verdana" w:cs="Times New Roman"/>
          <w:i/>
          <w:color w:val="000000"/>
          <w:sz w:val="20"/>
          <w:szCs w:val="20"/>
        </w:rPr>
        <w:t>al calificación</w:t>
      </w:r>
      <w:proofErr w:type="gramEnd"/>
      <w:r w:rsidR="00404727" w:rsidRPr="00DF1F41">
        <w:rPr>
          <w:rFonts w:ascii="Verdana" w:hAnsi="Verdana" w:cs="Times New Roman"/>
          <w:i/>
          <w:color w:val="000000"/>
          <w:sz w:val="20"/>
          <w:szCs w:val="20"/>
        </w:rPr>
        <w:t xml:space="preserve"> no es afectada por la calificación del mismo hecho com</w:t>
      </w:r>
      <w:r w:rsidR="0082258C" w:rsidRPr="00DF1F41">
        <w:rPr>
          <w:rFonts w:ascii="Verdana" w:hAnsi="Verdana"/>
          <w:i/>
          <w:sz w:val="20"/>
          <w:szCs w:val="20"/>
        </w:rPr>
        <w:t>o lícito por el derecho interno</w:t>
      </w:r>
      <w:r w:rsidR="00404727" w:rsidRPr="00DF1F41">
        <w:rPr>
          <w:rFonts w:ascii="Verdana" w:hAnsi="Verdana"/>
          <w:i/>
          <w:sz w:val="20"/>
          <w:szCs w:val="20"/>
        </w:rPr>
        <w:t>”</w:t>
      </w:r>
      <w:r w:rsidR="004C10F9">
        <w:rPr>
          <w:rStyle w:val="Refdenotaalpie"/>
          <w:rFonts w:ascii="Verdana" w:hAnsi="Verdana"/>
          <w:i/>
          <w:sz w:val="20"/>
          <w:szCs w:val="20"/>
        </w:rPr>
        <w:footnoteReference w:id="30"/>
      </w:r>
      <w:r w:rsidR="004C10F9">
        <w:rPr>
          <w:rFonts w:ascii="Verdana" w:hAnsi="Verdana"/>
          <w:sz w:val="20"/>
          <w:szCs w:val="20"/>
        </w:rPr>
        <w:t>, disposición</w:t>
      </w:r>
      <w:r w:rsidR="0082258C" w:rsidRPr="00DF1F41">
        <w:rPr>
          <w:rFonts w:ascii="Verdana" w:hAnsi="Verdana"/>
          <w:sz w:val="20"/>
          <w:szCs w:val="20"/>
        </w:rPr>
        <w:t xml:space="preserve"> que es concordante con la que prescribe que</w:t>
      </w:r>
      <w:r w:rsidR="0062035B" w:rsidRPr="00DF1F41">
        <w:rPr>
          <w:rFonts w:ascii="Verdana" w:hAnsi="Verdana" w:cs="Times New Roman"/>
          <w:color w:val="000000"/>
          <w:sz w:val="20"/>
          <w:szCs w:val="20"/>
        </w:rPr>
        <w:t xml:space="preserve"> </w:t>
      </w:r>
      <w:r w:rsidR="000857F5" w:rsidRPr="00DF1F41">
        <w:rPr>
          <w:rFonts w:ascii="Verdana" w:hAnsi="Verdana" w:cs="Times New Roman"/>
          <w:i/>
          <w:color w:val="000000"/>
          <w:sz w:val="20"/>
          <w:szCs w:val="20"/>
        </w:rPr>
        <w:t>“</w:t>
      </w:r>
      <w:r w:rsidR="000857F5" w:rsidRPr="00DF1F41">
        <w:rPr>
          <w:rFonts w:ascii="Verdana" w:hAnsi="Verdana" w:cs="Times New Roman"/>
          <w:i/>
          <w:sz w:val="20"/>
          <w:szCs w:val="20"/>
        </w:rPr>
        <w:t>(u)na parte no podrá invocar las disposiciones de su derecho interno como justificación d</w:t>
      </w:r>
      <w:r w:rsidR="004C10F9">
        <w:rPr>
          <w:rFonts w:ascii="Verdana" w:hAnsi="Verdana" w:cs="Times New Roman"/>
          <w:i/>
          <w:sz w:val="20"/>
          <w:szCs w:val="20"/>
        </w:rPr>
        <w:t>el incumplimiento de un tratado</w:t>
      </w:r>
      <w:r w:rsidR="000857F5" w:rsidRPr="00DF1F41">
        <w:rPr>
          <w:rFonts w:ascii="Verdana" w:hAnsi="Verdana" w:cs="Times New Roman"/>
          <w:i/>
          <w:sz w:val="20"/>
          <w:szCs w:val="20"/>
        </w:rPr>
        <w:t>”</w:t>
      </w:r>
      <w:r w:rsidR="004C10F9">
        <w:rPr>
          <w:rStyle w:val="Refdenotaalpie"/>
          <w:rFonts w:ascii="Verdana" w:hAnsi="Verdana" w:cs="Times New Roman"/>
          <w:i/>
          <w:sz w:val="20"/>
          <w:szCs w:val="20"/>
        </w:rPr>
        <w:footnoteReference w:id="31"/>
      </w:r>
      <w:r w:rsidR="004C10F9">
        <w:rPr>
          <w:rFonts w:ascii="Verdana" w:hAnsi="Verdana" w:cs="Times New Roman"/>
          <w:i/>
          <w:sz w:val="20"/>
          <w:szCs w:val="20"/>
        </w:rPr>
        <w:t>.</w:t>
      </w:r>
    </w:p>
    <w:p w:rsidR="00404727" w:rsidRPr="00DF1F41" w:rsidRDefault="00404727" w:rsidP="000857F5">
      <w:pPr>
        <w:pStyle w:val="Default"/>
        <w:spacing w:line="276" w:lineRule="auto"/>
        <w:jc w:val="both"/>
        <w:rPr>
          <w:rFonts w:ascii="Verdana" w:hAnsi="Verdana"/>
          <w:i/>
          <w:sz w:val="20"/>
          <w:szCs w:val="20"/>
          <w:lang w:val="es-CL"/>
        </w:rPr>
      </w:pPr>
    </w:p>
    <w:p w:rsidR="00303E7B" w:rsidRPr="00DF1F41" w:rsidRDefault="00404727" w:rsidP="00303E7B">
      <w:pPr>
        <w:pStyle w:val="Default"/>
        <w:spacing w:line="276" w:lineRule="auto"/>
        <w:jc w:val="both"/>
        <w:rPr>
          <w:rFonts w:ascii="Verdana" w:hAnsi="Verdana"/>
          <w:sz w:val="20"/>
          <w:szCs w:val="20"/>
          <w:lang w:val="es-CL"/>
        </w:rPr>
      </w:pPr>
      <w:r w:rsidRPr="00DF1F41">
        <w:rPr>
          <w:rFonts w:ascii="Verdana" w:hAnsi="Verdana"/>
          <w:sz w:val="20"/>
          <w:szCs w:val="20"/>
          <w:lang w:val="es-CL"/>
        </w:rPr>
        <w:t xml:space="preserve">Ahora bien, es evidente </w:t>
      </w:r>
      <w:r w:rsidR="009B59B9">
        <w:rPr>
          <w:rFonts w:ascii="Verdana" w:hAnsi="Verdana"/>
          <w:sz w:val="20"/>
          <w:szCs w:val="20"/>
          <w:lang w:val="es-CL"/>
        </w:rPr>
        <w:t xml:space="preserve">que la tramitación de la Iniciativa </w:t>
      </w:r>
      <w:r w:rsidR="00673FC4">
        <w:rPr>
          <w:rFonts w:ascii="Verdana" w:hAnsi="Verdana"/>
          <w:sz w:val="20"/>
          <w:szCs w:val="20"/>
          <w:lang w:val="es-CL"/>
        </w:rPr>
        <w:t>de Ley 5377</w:t>
      </w:r>
      <w:r w:rsidRPr="00DF1F41">
        <w:rPr>
          <w:rFonts w:ascii="Verdana" w:hAnsi="Verdana"/>
          <w:sz w:val="20"/>
          <w:szCs w:val="20"/>
          <w:lang w:val="es-CL"/>
        </w:rPr>
        <w:t xml:space="preserve"> aún no fina</w:t>
      </w:r>
      <w:r w:rsidR="004C10F9">
        <w:rPr>
          <w:rFonts w:ascii="Verdana" w:hAnsi="Verdana"/>
          <w:sz w:val="20"/>
          <w:szCs w:val="20"/>
          <w:lang w:val="es-CL"/>
        </w:rPr>
        <w:t>liza, esto es</w:t>
      </w:r>
      <w:r w:rsidRPr="00DF1F41">
        <w:rPr>
          <w:rFonts w:ascii="Verdana" w:hAnsi="Verdana"/>
          <w:sz w:val="20"/>
          <w:szCs w:val="20"/>
          <w:lang w:val="es-CL"/>
        </w:rPr>
        <w:t xml:space="preserve">, todavía no es Ley, por lo que puede que en definitiva no </w:t>
      </w:r>
      <w:r w:rsidR="00303E7B" w:rsidRPr="00DF1F41">
        <w:rPr>
          <w:rFonts w:ascii="Verdana" w:hAnsi="Verdana"/>
          <w:sz w:val="20"/>
          <w:szCs w:val="20"/>
          <w:lang w:val="es-CL"/>
        </w:rPr>
        <w:t>lo sea</w:t>
      </w:r>
      <w:r w:rsidR="004C10F9">
        <w:rPr>
          <w:rFonts w:ascii="Verdana" w:hAnsi="Verdana"/>
          <w:sz w:val="20"/>
          <w:szCs w:val="20"/>
          <w:lang w:val="es-CL"/>
        </w:rPr>
        <w:t xml:space="preserve"> o lo sea en otros términos que los que aquél emplea</w:t>
      </w:r>
      <w:r w:rsidRPr="00DF1F41">
        <w:rPr>
          <w:rFonts w:ascii="Verdana" w:hAnsi="Verdana"/>
          <w:sz w:val="20"/>
          <w:szCs w:val="20"/>
          <w:lang w:val="es-CL"/>
        </w:rPr>
        <w:t>. Puede acontecer, por</w:t>
      </w:r>
      <w:r w:rsidR="009B59B9">
        <w:rPr>
          <w:rFonts w:ascii="Verdana" w:hAnsi="Verdana"/>
          <w:sz w:val="20"/>
          <w:szCs w:val="20"/>
          <w:lang w:val="es-CL"/>
        </w:rPr>
        <w:t xml:space="preserve"> lo tanto, que el Estado evite</w:t>
      </w:r>
      <w:r w:rsidRPr="00DF1F41">
        <w:rPr>
          <w:rFonts w:ascii="Verdana" w:hAnsi="Verdana"/>
          <w:sz w:val="20"/>
          <w:szCs w:val="20"/>
          <w:lang w:val="es-CL"/>
        </w:rPr>
        <w:t xml:space="preserve"> la ilicitud internacional en que incurriría si dich</w:t>
      </w:r>
      <w:r w:rsidR="009B59B9">
        <w:rPr>
          <w:rFonts w:ascii="Verdana" w:hAnsi="Verdana"/>
          <w:sz w:val="20"/>
          <w:szCs w:val="20"/>
          <w:lang w:val="es-CL"/>
        </w:rPr>
        <w:t xml:space="preserve">a Iniciativa </w:t>
      </w:r>
      <w:r w:rsidR="00303E7B" w:rsidRPr="00DF1F41">
        <w:rPr>
          <w:rFonts w:ascii="Verdana" w:hAnsi="Verdana"/>
          <w:sz w:val="20"/>
          <w:szCs w:val="20"/>
          <w:lang w:val="es-CL"/>
        </w:rPr>
        <w:t xml:space="preserve">de Ley se aprobara tal cual </w:t>
      </w:r>
      <w:r w:rsidR="009B59B9">
        <w:rPr>
          <w:rFonts w:ascii="Verdana" w:hAnsi="Verdana"/>
          <w:sz w:val="20"/>
          <w:szCs w:val="20"/>
          <w:lang w:val="es-CL"/>
        </w:rPr>
        <w:t>está planteada</w:t>
      </w:r>
      <w:r w:rsidR="00303E7B" w:rsidRPr="00DF1F41">
        <w:rPr>
          <w:rFonts w:ascii="Verdana" w:hAnsi="Verdana"/>
          <w:sz w:val="20"/>
          <w:szCs w:val="20"/>
          <w:lang w:val="es-CL"/>
        </w:rPr>
        <w:t xml:space="preserve"> actualmente</w:t>
      </w:r>
      <w:r w:rsidR="00892FC2">
        <w:rPr>
          <w:rFonts w:ascii="Verdana" w:hAnsi="Verdana"/>
          <w:sz w:val="20"/>
          <w:szCs w:val="20"/>
          <w:lang w:val="es-CL"/>
        </w:rPr>
        <w:t>, lo que acontecería si, por ejemplo, finalmente se siguiera el razonamiento seguido en el Dictamen de la Comisión de Derechos Humanos del Congreso</w:t>
      </w:r>
      <w:r w:rsidR="00892FC2">
        <w:rPr>
          <w:rStyle w:val="Refdenotaalpie"/>
          <w:rFonts w:ascii="Verdana" w:hAnsi="Verdana"/>
          <w:sz w:val="20"/>
          <w:szCs w:val="20"/>
          <w:lang w:val="es-CL"/>
        </w:rPr>
        <w:footnoteReference w:id="32"/>
      </w:r>
      <w:r w:rsidR="00892FC2">
        <w:rPr>
          <w:rFonts w:ascii="Verdana" w:hAnsi="Verdana"/>
          <w:sz w:val="20"/>
          <w:szCs w:val="20"/>
          <w:lang w:val="es-CL"/>
        </w:rPr>
        <w:t xml:space="preserve"> o por el Informe de la Fiscalía General de la República</w:t>
      </w:r>
      <w:r w:rsidR="00892FC2">
        <w:rPr>
          <w:rStyle w:val="Refdenotaalpie"/>
          <w:rFonts w:ascii="Verdana" w:hAnsi="Verdana"/>
          <w:sz w:val="20"/>
          <w:szCs w:val="20"/>
          <w:lang w:val="es-CL"/>
        </w:rPr>
        <w:footnoteReference w:id="33"/>
      </w:r>
      <w:r w:rsidR="00892FC2">
        <w:rPr>
          <w:rFonts w:ascii="Verdana" w:hAnsi="Verdana"/>
          <w:sz w:val="20"/>
          <w:szCs w:val="20"/>
          <w:lang w:val="es-CL"/>
        </w:rPr>
        <w:t>, ambas entidades del Estado</w:t>
      </w:r>
      <w:r w:rsidR="00303E7B" w:rsidRPr="00DF1F41">
        <w:rPr>
          <w:rFonts w:ascii="Verdana" w:hAnsi="Verdana"/>
          <w:sz w:val="20"/>
          <w:szCs w:val="20"/>
          <w:lang w:val="es-CL"/>
        </w:rPr>
        <w:t xml:space="preserve">. Es menester tener presente sobre este aspecto, que el obligado a respetar y </w:t>
      </w:r>
      <w:r w:rsidR="00303E7B" w:rsidRPr="00DF1F41">
        <w:rPr>
          <w:rFonts w:ascii="Verdana" w:hAnsi="Verdana"/>
          <w:sz w:val="20"/>
          <w:szCs w:val="20"/>
          <w:lang w:val="es-CL"/>
        </w:rPr>
        <w:lastRenderedPageBreak/>
        <w:t>hacer respetar los derechos humanos, es el Estado</w:t>
      </w:r>
      <w:r w:rsidR="00303E7B" w:rsidRPr="00DF1F41">
        <w:rPr>
          <w:rStyle w:val="Refdenotaalpie"/>
          <w:rFonts w:ascii="Verdana" w:hAnsi="Verdana"/>
          <w:sz w:val="20"/>
          <w:szCs w:val="20"/>
          <w:lang w:val="es-CL"/>
        </w:rPr>
        <w:footnoteReference w:id="34"/>
      </w:r>
      <w:r w:rsidR="00303E7B" w:rsidRPr="00DF1F41">
        <w:rPr>
          <w:rFonts w:ascii="Verdana" w:hAnsi="Verdana"/>
          <w:sz w:val="20"/>
          <w:szCs w:val="20"/>
          <w:lang w:val="es-CL"/>
        </w:rPr>
        <w:t xml:space="preserve"> y que, dada que “</w:t>
      </w:r>
      <w:r w:rsidR="00303E7B" w:rsidRPr="00DF1F41">
        <w:rPr>
          <w:rFonts w:ascii="Verdana" w:hAnsi="Verdana"/>
          <w:i/>
          <w:sz w:val="20"/>
          <w:szCs w:val="20"/>
          <w:lang w:val="es-CL"/>
        </w:rPr>
        <w:t>la protección internacional, (es) de naturaleza convencional coadyuvante o complementaria de la que ofrece el derecho interno de los Estados americanos”</w:t>
      </w:r>
      <w:r w:rsidR="00303E7B" w:rsidRPr="00DF1F41">
        <w:rPr>
          <w:rStyle w:val="Refdenotaalpie"/>
          <w:rFonts w:ascii="Verdana" w:hAnsi="Verdana"/>
          <w:i/>
          <w:sz w:val="20"/>
          <w:szCs w:val="20"/>
          <w:lang w:val="es-CL"/>
        </w:rPr>
        <w:footnoteReference w:id="35"/>
      </w:r>
      <w:r w:rsidR="00303E7B" w:rsidRPr="00DF1F41">
        <w:rPr>
          <w:rFonts w:ascii="Verdana" w:hAnsi="Verdana"/>
          <w:sz w:val="20"/>
          <w:szCs w:val="20"/>
          <w:lang w:val="es-CL"/>
        </w:rPr>
        <w:t>, es necesario que previamente opere esta última.</w:t>
      </w:r>
    </w:p>
    <w:p w:rsidR="00303E7B" w:rsidRPr="00DF1F41" w:rsidRDefault="00303E7B" w:rsidP="00303E7B">
      <w:pPr>
        <w:pStyle w:val="Default"/>
        <w:spacing w:line="276" w:lineRule="auto"/>
        <w:jc w:val="both"/>
        <w:rPr>
          <w:rFonts w:ascii="Verdana" w:hAnsi="Verdana"/>
          <w:sz w:val="20"/>
          <w:szCs w:val="20"/>
          <w:lang w:val="es-CL"/>
        </w:rPr>
      </w:pPr>
    </w:p>
    <w:p w:rsidR="0026317D" w:rsidRPr="0026317D" w:rsidRDefault="00303E7B" w:rsidP="0026317D">
      <w:pPr>
        <w:pStyle w:val="Default"/>
        <w:spacing w:after="120" w:line="276" w:lineRule="auto"/>
        <w:jc w:val="both"/>
        <w:rPr>
          <w:rFonts w:ascii="Verdana" w:hAnsi="Verdana"/>
          <w:i/>
          <w:iCs/>
          <w:sz w:val="20"/>
          <w:szCs w:val="20"/>
          <w:lang w:val="es-CL"/>
        </w:rPr>
      </w:pPr>
      <w:r w:rsidRPr="00DF1F41">
        <w:rPr>
          <w:rFonts w:ascii="Verdana" w:hAnsi="Verdana"/>
          <w:sz w:val="20"/>
          <w:szCs w:val="20"/>
          <w:lang w:val="es-CL"/>
        </w:rPr>
        <w:t>Pero, además, h</w:t>
      </w:r>
      <w:r w:rsidR="009B59B9">
        <w:rPr>
          <w:rFonts w:ascii="Verdana" w:hAnsi="Verdana"/>
          <w:sz w:val="20"/>
          <w:szCs w:val="20"/>
          <w:lang w:val="es-CL"/>
        </w:rPr>
        <w:t xml:space="preserve">ay que ponderar que la Iniciativa </w:t>
      </w:r>
      <w:r w:rsidRPr="00DF1F41">
        <w:rPr>
          <w:rFonts w:ascii="Verdana" w:hAnsi="Verdana"/>
          <w:sz w:val="20"/>
          <w:szCs w:val="20"/>
          <w:lang w:val="es-CL"/>
        </w:rPr>
        <w:t>de Ley en cuestión, por ser tal, no viola aún la obligación internacional del Estado de impedir o hacer imposible la investigación ordenada en la Sentencia</w:t>
      </w:r>
      <w:r w:rsidR="006717A7" w:rsidRPr="00DF1F41">
        <w:rPr>
          <w:rFonts w:ascii="Verdana" w:hAnsi="Verdana"/>
          <w:sz w:val="20"/>
          <w:szCs w:val="20"/>
          <w:lang w:val="es-CL"/>
        </w:rPr>
        <w:t xml:space="preserve">. Sólo si se transforma en Ley </w:t>
      </w:r>
      <w:r w:rsidRPr="00DF1F41">
        <w:rPr>
          <w:rFonts w:ascii="Verdana" w:hAnsi="Verdana"/>
          <w:sz w:val="20"/>
          <w:szCs w:val="20"/>
          <w:lang w:val="es-CL"/>
        </w:rPr>
        <w:t>vulneraría “</w:t>
      </w:r>
      <w:r w:rsidR="009B59B9" w:rsidRPr="00DF1F41">
        <w:rPr>
          <w:rFonts w:ascii="Verdana" w:hAnsi="Verdana"/>
          <w:i/>
          <w:sz w:val="20"/>
          <w:szCs w:val="20"/>
        </w:rPr>
        <w:t xml:space="preserve">el derecho al acceso a la justicia de las víctimas </w:t>
      </w:r>
      <w:r w:rsidR="009B59B9">
        <w:rPr>
          <w:rFonts w:ascii="Verdana" w:hAnsi="Verdana"/>
          <w:i/>
          <w:sz w:val="20"/>
          <w:szCs w:val="20"/>
        </w:rPr>
        <w:t>de los 14 casos indicados en el Considerando 50”</w:t>
      </w:r>
      <w:r w:rsidR="009B59B9">
        <w:rPr>
          <w:rFonts w:ascii="Verdana" w:hAnsi="Verdana"/>
          <w:i/>
          <w:sz w:val="20"/>
          <w:szCs w:val="20"/>
          <w:lang w:val="es-CL"/>
        </w:rPr>
        <w:t xml:space="preserve">, </w:t>
      </w:r>
      <w:r w:rsidR="009B59B9">
        <w:rPr>
          <w:rFonts w:ascii="Verdana" w:hAnsi="Verdana"/>
          <w:iCs/>
          <w:sz w:val="20"/>
          <w:szCs w:val="20"/>
          <w:lang w:val="es-CL"/>
        </w:rPr>
        <w:t xml:space="preserve">en otras palabras y en esa hipótesis, </w:t>
      </w:r>
      <w:r w:rsidRPr="00DF1F41">
        <w:rPr>
          <w:rFonts w:ascii="Verdana" w:hAnsi="Verdana"/>
          <w:iCs/>
          <w:sz w:val="20"/>
          <w:szCs w:val="20"/>
          <w:lang w:val="es-CL"/>
        </w:rPr>
        <w:t>significaría una amnistía, lo que la Corte, en la propia Se</w:t>
      </w:r>
      <w:r w:rsidR="009B59B9">
        <w:rPr>
          <w:rFonts w:ascii="Verdana" w:hAnsi="Verdana"/>
          <w:iCs/>
          <w:sz w:val="20"/>
          <w:szCs w:val="20"/>
          <w:lang w:val="es-CL"/>
        </w:rPr>
        <w:t>ntencia, reiteró su improcedencia</w:t>
      </w:r>
      <w:r w:rsidRPr="00DF1F41">
        <w:rPr>
          <w:rStyle w:val="Refdenotaalpie"/>
          <w:rFonts w:ascii="Verdana" w:hAnsi="Verdana"/>
          <w:iCs/>
          <w:sz w:val="20"/>
          <w:szCs w:val="20"/>
          <w:lang w:val="es-CL"/>
        </w:rPr>
        <w:footnoteReference w:id="36"/>
      </w:r>
      <w:r w:rsidR="0026317D">
        <w:rPr>
          <w:rFonts w:ascii="Verdana" w:hAnsi="Verdana"/>
          <w:iCs/>
          <w:sz w:val="20"/>
          <w:szCs w:val="20"/>
          <w:lang w:val="es-CL"/>
        </w:rPr>
        <w:t xml:space="preserve"> y recordó su jurisprudencia sobre el particular</w:t>
      </w:r>
      <w:r w:rsidR="0026317D">
        <w:rPr>
          <w:rStyle w:val="Refdenotaalpie"/>
          <w:rFonts w:ascii="Verdana" w:hAnsi="Verdana"/>
          <w:iCs/>
          <w:sz w:val="20"/>
          <w:szCs w:val="20"/>
          <w:lang w:val="es-CL"/>
        </w:rPr>
        <w:footnoteReference w:id="37"/>
      </w:r>
      <w:r w:rsidR="0062035B" w:rsidRPr="00DF1F41">
        <w:rPr>
          <w:rFonts w:ascii="Verdana" w:hAnsi="Verdana"/>
          <w:sz w:val="20"/>
          <w:szCs w:val="20"/>
          <w:lang w:val="es-CL"/>
        </w:rPr>
        <w:t xml:space="preserve">. </w:t>
      </w:r>
      <w:r w:rsidR="0026317D">
        <w:rPr>
          <w:rFonts w:ascii="Verdana" w:hAnsi="Verdana"/>
          <w:sz w:val="20"/>
          <w:szCs w:val="20"/>
          <w:lang w:val="es-CL"/>
        </w:rPr>
        <w:t>En definitiva, la Iniciativa</w:t>
      </w:r>
      <w:r w:rsidRPr="00DF1F41">
        <w:rPr>
          <w:rFonts w:ascii="Verdana" w:hAnsi="Verdana"/>
          <w:sz w:val="20"/>
          <w:szCs w:val="20"/>
          <w:lang w:val="es-CL"/>
        </w:rPr>
        <w:t xml:space="preserve"> de Ley</w:t>
      </w:r>
      <w:r w:rsidR="0026317D">
        <w:rPr>
          <w:rFonts w:ascii="Verdana" w:hAnsi="Verdana"/>
          <w:sz w:val="20"/>
          <w:szCs w:val="20"/>
          <w:lang w:val="es-CL"/>
        </w:rPr>
        <w:t xml:space="preserve"> en comento no puede ser calificada todavía como</w:t>
      </w:r>
      <w:r w:rsidRPr="00DF1F41">
        <w:rPr>
          <w:rFonts w:ascii="Verdana" w:hAnsi="Verdana"/>
          <w:sz w:val="20"/>
          <w:szCs w:val="20"/>
          <w:lang w:val="es-CL"/>
        </w:rPr>
        <w:t xml:space="preserve"> un hecho ilícito</w:t>
      </w:r>
      <w:r w:rsidR="0026317D">
        <w:rPr>
          <w:rFonts w:ascii="Verdana" w:hAnsi="Verdana"/>
          <w:sz w:val="20"/>
          <w:szCs w:val="20"/>
          <w:lang w:val="es-CL"/>
        </w:rPr>
        <w:t xml:space="preserve"> internacional</w:t>
      </w:r>
      <w:r w:rsidR="006717A7" w:rsidRPr="00DF1F41">
        <w:rPr>
          <w:rFonts w:ascii="Verdana" w:hAnsi="Verdana"/>
          <w:sz w:val="20"/>
          <w:szCs w:val="20"/>
          <w:lang w:val="es-CL"/>
        </w:rPr>
        <w:t>. Para que lo sea</w:t>
      </w:r>
      <w:r w:rsidR="00781F8D">
        <w:rPr>
          <w:rFonts w:ascii="Verdana" w:hAnsi="Verdana"/>
          <w:sz w:val="20"/>
          <w:szCs w:val="20"/>
          <w:lang w:val="es-CL"/>
        </w:rPr>
        <w:t>,</w:t>
      </w:r>
      <w:r w:rsidR="006717A7" w:rsidRPr="00DF1F41">
        <w:rPr>
          <w:rFonts w:ascii="Verdana" w:hAnsi="Verdana"/>
          <w:sz w:val="20"/>
          <w:szCs w:val="20"/>
          <w:lang w:val="es-CL"/>
        </w:rPr>
        <w:t xml:space="preserve"> se requiere</w:t>
      </w:r>
      <w:r w:rsidR="0062035B" w:rsidRPr="00DF1F41">
        <w:rPr>
          <w:rFonts w:ascii="Verdana" w:hAnsi="Verdana"/>
          <w:sz w:val="20"/>
          <w:szCs w:val="20"/>
          <w:lang w:val="es-CL"/>
        </w:rPr>
        <w:t xml:space="preserve"> que se transforme, en sus actuales términos, en Ley.</w:t>
      </w:r>
      <w:r w:rsidR="006717A7" w:rsidRPr="00DF1F41">
        <w:rPr>
          <w:rFonts w:ascii="Verdana" w:hAnsi="Verdana"/>
          <w:sz w:val="20"/>
          <w:szCs w:val="20"/>
          <w:lang w:val="es-CL"/>
        </w:rPr>
        <w:t xml:space="preserve"> </w:t>
      </w:r>
      <w:r w:rsidRPr="00DF1F41">
        <w:rPr>
          <w:rFonts w:ascii="Verdana" w:hAnsi="Verdana"/>
          <w:sz w:val="20"/>
          <w:szCs w:val="20"/>
          <w:lang w:val="es-CL"/>
        </w:rPr>
        <w:t xml:space="preserve"> </w:t>
      </w:r>
    </w:p>
    <w:p w:rsidR="00523D27" w:rsidRPr="00DF1F41" w:rsidRDefault="004F59DB" w:rsidP="004F59DB">
      <w:pPr>
        <w:jc w:val="both"/>
        <w:rPr>
          <w:rFonts w:ascii="Verdana" w:hAnsi="Verdana"/>
          <w:bCs/>
          <w:color w:val="000000"/>
          <w:sz w:val="20"/>
          <w:szCs w:val="20"/>
        </w:rPr>
      </w:pPr>
      <w:r w:rsidRPr="00DF1F41">
        <w:rPr>
          <w:rFonts w:ascii="Verdana" w:hAnsi="Verdana"/>
          <w:sz w:val="20"/>
          <w:szCs w:val="20"/>
        </w:rPr>
        <w:t>En definitiva</w:t>
      </w:r>
      <w:r w:rsidR="000857F5" w:rsidRPr="00DF1F41">
        <w:rPr>
          <w:rFonts w:ascii="Verdana" w:hAnsi="Verdana"/>
          <w:sz w:val="20"/>
          <w:szCs w:val="20"/>
        </w:rPr>
        <w:t>, no resulta procedente requerirle al Estado, en el asunto de autos, que “</w:t>
      </w:r>
      <w:r w:rsidR="000857F5" w:rsidRPr="00DF1F41">
        <w:rPr>
          <w:rFonts w:ascii="Verdana" w:hAnsi="Verdana"/>
          <w:bCs/>
          <w:i/>
          <w:color w:val="000000"/>
          <w:sz w:val="20"/>
          <w:szCs w:val="20"/>
        </w:rPr>
        <w:t xml:space="preserve">interrumpa el trámite </w:t>
      </w:r>
      <w:r w:rsidR="00781F8D">
        <w:rPr>
          <w:rFonts w:ascii="Verdana" w:hAnsi="Verdana"/>
          <w:bCs/>
          <w:i/>
          <w:color w:val="000000"/>
          <w:sz w:val="20"/>
          <w:szCs w:val="20"/>
        </w:rPr>
        <w:t xml:space="preserve">legislativo </w:t>
      </w:r>
      <w:r w:rsidR="000857F5" w:rsidRPr="00DF1F41">
        <w:rPr>
          <w:rFonts w:ascii="Verdana" w:hAnsi="Verdana"/>
          <w:bCs/>
          <w:i/>
          <w:color w:val="000000"/>
          <w:sz w:val="20"/>
          <w:szCs w:val="20"/>
        </w:rPr>
        <w:t>de</w:t>
      </w:r>
      <w:r w:rsidR="00781F8D">
        <w:rPr>
          <w:rFonts w:ascii="Verdana" w:hAnsi="Verdana"/>
          <w:i/>
          <w:color w:val="000000"/>
          <w:sz w:val="20"/>
          <w:szCs w:val="20"/>
        </w:rPr>
        <w:t xml:space="preserve"> </w:t>
      </w:r>
      <w:r w:rsidR="00673FC4">
        <w:rPr>
          <w:rFonts w:ascii="Verdana" w:hAnsi="Verdana"/>
          <w:i/>
          <w:color w:val="000000"/>
          <w:sz w:val="20"/>
          <w:szCs w:val="20"/>
        </w:rPr>
        <w:t>la iniciativa de ley 5377</w:t>
      </w:r>
      <w:r w:rsidR="000857F5" w:rsidRPr="00DF1F41">
        <w:rPr>
          <w:rFonts w:ascii="Verdana" w:hAnsi="Verdana"/>
          <w:i/>
          <w:color w:val="000000"/>
          <w:sz w:val="20"/>
          <w:szCs w:val="20"/>
        </w:rPr>
        <w:t xml:space="preserve">” </w:t>
      </w:r>
      <w:r w:rsidR="000857F5" w:rsidRPr="00DF1F41">
        <w:rPr>
          <w:rFonts w:ascii="Verdana" w:hAnsi="Verdana"/>
          <w:color w:val="000000"/>
          <w:sz w:val="20"/>
          <w:szCs w:val="20"/>
        </w:rPr>
        <w:t>y que</w:t>
      </w:r>
      <w:r w:rsidR="0026317D">
        <w:rPr>
          <w:rFonts w:ascii="Verdana" w:hAnsi="Verdana"/>
          <w:color w:val="000000"/>
          <w:sz w:val="20"/>
          <w:szCs w:val="20"/>
        </w:rPr>
        <w:t xml:space="preserve"> la</w:t>
      </w:r>
      <w:r w:rsidR="000857F5" w:rsidRPr="00DF1F41">
        <w:rPr>
          <w:rFonts w:ascii="Verdana" w:hAnsi="Verdana"/>
          <w:i/>
          <w:color w:val="000000"/>
          <w:sz w:val="20"/>
          <w:szCs w:val="20"/>
        </w:rPr>
        <w:t xml:space="preserve"> “</w:t>
      </w:r>
      <w:r w:rsidR="0026317D">
        <w:rPr>
          <w:rFonts w:ascii="Verdana" w:hAnsi="Verdana"/>
          <w:bCs/>
          <w:i/>
          <w:color w:val="000000"/>
          <w:sz w:val="20"/>
          <w:szCs w:val="20"/>
        </w:rPr>
        <w:t>archive”</w:t>
      </w:r>
      <w:r w:rsidR="000857F5" w:rsidRPr="00DF1F41">
        <w:rPr>
          <w:rFonts w:ascii="Verdana" w:hAnsi="Verdana"/>
          <w:bCs/>
          <w:color w:val="000000"/>
          <w:sz w:val="20"/>
          <w:szCs w:val="20"/>
        </w:rPr>
        <w:t>. Ello</w:t>
      </w:r>
      <w:r w:rsidRPr="00DF1F41">
        <w:rPr>
          <w:rFonts w:ascii="Verdana" w:hAnsi="Verdana"/>
          <w:bCs/>
          <w:color w:val="000000"/>
          <w:sz w:val="20"/>
          <w:szCs w:val="20"/>
        </w:rPr>
        <w:t xml:space="preserve"> significa, no únicamente intervenir sin que </w:t>
      </w:r>
      <w:r w:rsidR="00DF1F41" w:rsidRPr="00DF1F41">
        <w:rPr>
          <w:rFonts w:ascii="Verdana" w:hAnsi="Verdana"/>
          <w:bCs/>
          <w:color w:val="000000"/>
          <w:sz w:val="20"/>
          <w:szCs w:val="20"/>
        </w:rPr>
        <w:t>todavía</w:t>
      </w:r>
      <w:r w:rsidRPr="00DF1F41">
        <w:rPr>
          <w:rFonts w:ascii="Verdana" w:hAnsi="Verdana"/>
          <w:bCs/>
          <w:color w:val="000000"/>
          <w:sz w:val="20"/>
          <w:szCs w:val="20"/>
        </w:rPr>
        <w:t xml:space="preserve"> </w:t>
      </w:r>
      <w:r w:rsidR="0026317D">
        <w:rPr>
          <w:rFonts w:ascii="Verdana" w:hAnsi="Verdana"/>
          <w:bCs/>
          <w:color w:val="000000"/>
          <w:sz w:val="20"/>
          <w:szCs w:val="20"/>
        </w:rPr>
        <w:t xml:space="preserve">se haya producido </w:t>
      </w:r>
      <w:r w:rsidRPr="00DF1F41">
        <w:rPr>
          <w:rFonts w:ascii="Verdana" w:hAnsi="Verdana"/>
          <w:bCs/>
          <w:color w:val="000000"/>
          <w:sz w:val="20"/>
          <w:szCs w:val="20"/>
        </w:rPr>
        <w:t>el hecho ilícito</w:t>
      </w:r>
      <w:r w:rsidR="0026317D">
        <w:rPr>
          <w:rFonts w:ascii="Verdana" w:hAnsi="Verdana"/>
          <w:bCs/>
          <w:color w:val="000000"/>
          <w:sz w:val="20"/>
          <w:szCs w:val="20"/>
        </w:rPr>
        <w:t xml:space="preserve"> internacional</w:t>
      </w:r>
      <w:r w:rsidRPr="00DF1F41">
        <w:rPr>
          <w:rFonts w:ascii="Verdana" w:hAnsi="Verdana"/>
          <w:bCs/>
          <w:color w:val="000000"/>
          <w:sz w:val="20"/>
          <w:szCs w:val="20"/>
        </w:rPr>
        <w:t xml:space="preserve"> que habilitaría a la Corte para hacerlo, sino, además, no concederle al Estado la oportunidad para evitar que se pueda producir.</w:t>
      </w:r>
      <w:r w:rsidR="00DF1F41" w:rsidRPr="00DF1F41">
        <w:rPr>
          <w:rFonts w:ascii="Verdana" w:hAnsi="Verdana"/>
          <w:bCs/>
          <w:color w:val="000000"/>
          <w:sz w:val="20"/>
          <w:szCs w:val="20"/>
        </w:rPr>
        <w:t xml:space="preserve"> En otros términos, la Corte ha procedido</w:t>
      </w:r>
      <w:r w:rsidR="00523D27" w:rsidRPr="00DF1F41">
        <w:rPr>
          <w:rFonts w:ascii="Verdana" w:hAnsi="Verdana"/>
          <w:bCs/>
          <w:color w:val="000000"/>
          <w:sz w:val="20"/>
          <w:szCs w:val="20"/>
        </w:rPr>
        <w:t xml:space="preserve"> no precisamente en tanto protección internacional coadyuvante y complementaria de la prot</w:t>
      </w:r>
      <w:r w:rsidR="0026317D">
        <w:rPr>
          <w:rFonts w:ascii="Verdana" w:hAnsi="Verdana"/>
          <w:bCs/>
          <w:color w:val="000000"/>
          <w:sz w:val="20"/>
          <w:szCs w:val="20"/>
        </w:rPr>
        <w:t>ección del Estado</w:t>
      </w:r>
      <w:r w:rsidR="00523D27" w:rsidRPr="00DF1F41">
        <w:rPr>
          <w:rFonts w:ascii="Verdana" w:hAnsi="Verdana"/>
          <w:bCs/>
          <w:color w:val="000000"/>
          <w:sz w:val="20"/>
          <w:szCs w:val="20"/>
        </w:rPr>
        <w:t>.</w:t>
      </w:r>
    </w:p>
    <w:p w:rsidR="000857F5" w:rsidRPr="00DF1F41" w:rsidRDefault="00523D27" w:rsidP="004F59DB">
      <w:pPr>
        <w:jc w:val="both"/>
        <w:rPr>
          <w:rFonts w:ascii="Verdana" w:hAnsi="Verdana"/>
          <w:bCs/>
          <w:color w:val="000000"/>
          <w:sz w:val="20"/>
          <w:szCs w:val="20"/>
        </w:rPr>
      </w:pPr>
      <w:r w:rsidRPr="00DF1F41">
        <w:rPr>
          <w:rFonts w:ascii="Verdana" w:hAnsi="Verdana"/>
          <w:bCs/>
          <w:color w:val="000000"/>
          <w:sz w:val="20"/>
          <w:szCs w:val="20"/>
        </w:rPr>
        <w:t>Lo que sí podría haberse decretado en la Resolución es que, da</w:t>
      </w:r>
      <w:r w:rsidR="00673FC4">
        <w:rPr>
          <w:rFonts w:ascii="Verdana" w:hAnsi="Verdana"/>
          <w:bCs/>
          <w:color w:val="000000"/>
          <w:sz w:val="20"/>
          <w:szCs w:val="20"/>
        </w:rPr>
        <w:t>do que la Iniciativa de Ley 5377</w:t>
      </w:r>
      <w:r w:rsidRPr="00DF1F41">
        <w:rPr>
          <w:rFonts w:ascii="Verdana" w:hAnsi="Verdana"/>
          <w:bCs/>
          <w:color w:val="000000"/>
          <w:sz w:val="20"/>
          <w:szCs w:val="20"/>
        </w:rPr>
        <w:t xml:space="preserve"> aún se encuentra en tramitación parlamentaria, </w:t>
      </w:r>
      <w:r w:rsidR="009729A2" w:rsidRPr="00DF1F41">
        <w:rPr>
          <w:rFonts w:ascii="Verdana" w:hAnsi="Verdana"/>
          <w:bCs/>
          <w:color w:val="000000"/>
          <w:sz w:val="20"/>
          <w:szCs w:val="20"/>
        </w:rPr>
        <w:t xml:space="preserve">el Estado </w:t>
      </w:r>
      <w:r w:rsidR="00EF0B8E">
        <w:rPr>
          <w:rFonts w:ascii="Verdana" w:hAnsi="Verdana"/>
          <w:bCs/>
          <w:color w:val="000000"/>
          <w:sz w:val="20"/>
          <w:szCs w:val="20"/>
        </w:rPr>
        <w:t>ejerciera</w:t>
      </w:r>
      <w:r w:rsidRPr="00DF1F41">
        <w:rPr>
          <w:rFonts w:ascii="Verdana" w:hAnsi="Verdana"/>
          <w:bCs/>
          <w:color w:val="000000"/>
          <w:sz w:val="20"/>
          <w:szCs w:val="20"/>
        </w:rPr>
        <w:t xml:space="preserve"> el Control de Convencionalidad previo o </w:t>
      </w:r>
      <w:r w:rsidR="009729A2" w:rsidRPr="00DF1F41">
        <w:rPr>
          <w:rFonts w:ascii="Verdana" w:hAnsi="Verdana"/>
          <w:bCs/>
          <w:color w:val="000000"/>
          <w:sz w:val="20"/>
          <w:szCs w:val="20"/>
        </w:rPr>
        <w:t xml:space="preserve">preventivo de ella, en el que la obligatoriedad de su resultado dependería de su derecho interno o nacional, </w:t>
      </w:r>
      <w:r w:rsidR="00DF1F41" w:rsidRPr="00DF1F41">
        <w:rPr>
          <w:rFonts w:ascii="Verdana" w:hAnsi="Verdana"/>
          <w:bCs/>
          <w:color w:val="000000"/>
          <w:sz w:val="20"/>
          <w:szCs w:val="20"/>
        </w:rPr>
        <w:t xml:space="preserve">y ello </w:t>
      </w:r>
      <w:r w:rsidR="009729A2" w:rsidRPr="00DF1F41">
        <w:rPr>
          <w:rFonts w:ascii="Verdana" w:hAnsi="Verdana"/>
          <w:bCs/>
          <w:color w:val="000000"/>
          <w:sz w:val="20"/>
          <w:szCs w:val="20"/>
        </w:rPr>
        <w:t>d</w:t>
      </w:r>
      <w:r w:rsidRPr="00DF1F41">
        <w:rPr>
          <w:rFonts w:ascii="Verdana" w:hAnsi="Verdana"/>
          <w:bCs/>
          <w:color w:val="000000"/>
          <w:sz w:val="20"/>
          <w:szCs w:val="20"/>
        </w:rPr>
        <w:t>e suerte</w:t>
      </w:r>
      <w:r w:rsidR="009729A2" w:rsidRPr="00DF1F41">
        <w:rPr>
          <w:rFonts w:ascii="Verdana" w:hAnsi="Verdana"/>
          <w:bCs/>
          <w:color w:val="000000"/>
          <w:sz w:val="20"/>
          <w:szCs w:val="20"/>
        </w:rPr>
        <w:t xml:space="preserve"> tal</w:t>
      </w:r>
      <w:r w:rsidR="00EF0B8E">
        <w:rPr>
          <w:rFonts w:ascii="Verdana" w:hAnsi="Verdana"/>
          <w:bCs/>
          <w:color w:val="000000"/>
          <w:sz w:val="20"/>
          <w:szCs w:val="20"/>
        </w:rPr>
        <w:t xml:space="preserve"> </w:t>
      </w:r>
      <w:r w:rsidR="00DF1F41" w:rsidRPr="00DF1F41">
        <w:rPr>
          <w:rFonts w:ascii="Verdana" w:hAnsi="Verdana"/>
          <w:bCs/>
          <w:color w:val="000000"/>
          <w:sz w:val="20"/>
          <w:szCs w:val="20"/>
        </w:rPr>
        <w:t xml:space="preserve">que </w:t>
      </w:r>
      <w:r w:rsidRPr="00DF1F41">
        <w:rPr>
          <w:rFonts w:ascii="Verdana" w:hAnsi="Verdana"/>
          <w:bCs/>
          <w:color w:val="000000"/>
          <w:sz w:val="20"/>
          <w:szCs w:val="20"/>
        </w:rPr>
        <w:t xml:space="preserve">no </w:t>
      </w:r>
      <w:r w:rsidR="009729A2" w:rsidRPr="00DF1F41">
        <w:rPr>
          <w:rFonts w:ascii="Verdana" w:hAnsi="Verdana"/>
          <w:bCs/>
          <w:color w:val="000000"/>
          <w:sz w:val="20"/>
          <w:szCs w:val="20"/>
        </w:rPr>
        <w:t>asumiera</w:t>
      </w:r>
      <w:r w:rsidRPr="00DF1F41">
        <w:rPr>
          <w:rFonts w:ascii="Verdana" w:hAnsi="Verdana"/>
          <w:bCs/>
          <w:color w:val="000000"/>
          <w:sz w:val="20"/>
          <w:szCs w:val="20"/>
        </w:rPr>
        <w:t xml:space="preserve"> el riesgo de que, una vez aprobada la mencionada Iniciativa de Ley en sus actual</w:t>
      </w:r>
      <w:r w:rsidR="009729A2" w:rsidRPr="00DF1F41">
        <w:rPr>
          <w:rFonts w:ascii="Verdana" w:hAnsi="Verdana"/>
          <w:bCs/>
          <w:color w:val="000000"/>
          <w:sz w:val="20"/>
          <w:szCs w:val="20"/>
        </w:rPr>
        <w:t>e</w:t>
      </w:r>
      <w:r w:rsidRPr="00DF1F41">
        <w:rPr>
          <w:rFonts w:ascii="Verdana" w:hAnsi="Verdana"/>
          <w:bCs/>
          <w:color w:val="000000"/>
          <w:sz w:val="20"/>
          <w:szCs w:val="20"/>
        </w:rPr>
        <w:t>s</w:t>
      </w:r>
      <w:r w:rsidR="009729A2" w:rsidRPr="00DF1F41">
        <w:rPr>
          <w:rFonts w:ascii="Verdana" w:hAnsi="Verdana"/>
          <w:bCs/>
          <w:color w:val="000000"/>
          <w:sz w:val="20"/>
          <w:szCs w:val="20"/>
        </w:rPr>
        <w:t xml:space="preserve"> términos, la Corte se viera requerida de ejercer </w:t>
      </w:r>
      <w:r w:rsidRPr="00DF1F41">
        <w:rPr>
          <w:rFonts w:ascii="Verdana" w:hAnsi="Verdana"/>
          <w:bCs/>
          <w:color w:val="000000"/>
          <w:sz w:val="20"/>
          <w:szCs w:val="20"/>
        </w:rPr>
        <w:t>el Control de Convencionalidad</w:t>
      </w:r>
      <w:r w:rsidR="00EF0B8E">
        <w:rPr>
          <w:rFonts w:ascii="Verdana" w:hAnsi="Verdana"/>
          <w:bCs/>
          <w:color w:val="000000"/>
          <w:sz w:val="20"/>
          <w:szCs w:val="20"/>
        </w:rPr>
        <w:t xml:space="preserve"> de la eventual Ley</w:t>
      </w:r>
      <w:r w:rsidR="00DF1F41" w:rsidRPr="00DF1F41">
        <w:rPr>
          <w:rFonts w:ascii="Verdana" w:hAnsi="Verdana"/>
          <w:bCs/>
          <w:color w:val="000000"/>
          <w:sz w:val="20"/>
          <w:szCs w:val="20"/>
        </w:rPr>
        <w:t>, cuyo</w:t>
      </w:r>
      <w:r w:rsidR="009729A2" w:rsidRPr="00DF1F41">
        <w:rPr>
          <w:rFonts w:ascii="Verdana" w:hAnsi="Verdana"/>
          <w:bCs/>
          <w:color w:val="000000"/>
          <w:sz w:val="20"/>
          <w:szCs w:val="20"/>
        </w:rPr>
        <w:t xml:space="preserve"> resultado </w:t>
      </w:r>
      <w:r w:rsidR="00DF1F41" w:rsidRPr="00DF1F41">
        <w:rPr>
          <w:rFonts w:ascii="Verdana" w:hAnsi="Verdana"/>
          <w:bCs/>
          <w:color w:val="000000"/>
          <w:sz w:val="20"/>
          <w:szCs w:val="20"/>
        </w:rPr>
        <w:t xml:space="preserve">sería </w:t>
      </w:r>
      <w:r w:rsidR="009729A2" w:rsidRPr="00DF1F41">
        <w:rPr>
          <w:rFonts w:ascii="Verdana" w:hAnsi="Verdana"/>
          <w:bCs/>
          <w:color w:val="000000"/>
          <w:sz w:val="20"/>
          <w:szCs w:val="20"/>
        </w:rPr>
        <w:t xml:space="preserve">obligatorio para el Estado. </w:t>
      </w:r>
      <w:r w:rsidR="000857F5" w:rsidRPr="00DF1F41">
        <w:rPr>
          <w:rFonts w:ascii="Verdana" w:hAnsi="Verdana"/>
          <w:bCs/>
          <w:color w:val="000000"/>
          <w:sz w:val="20"/>
          <w:szCs w:val="20"/>
        </w:rPr>
        <w:t xml:space="preserve"> </w:t>
      </w:r>
    </w:p>
    <w:p w:rsidR="00DF1F41" w:rsidRPr="00DF1F41" w:rsidRDefault="00DF1F41" w:rsidP="004F59DB">
      <w:pPr>
        <w:jc w:val="both"/>
        <w:rPr>
          <w:rStyle w:val="Textoennegrita"/>
          <w:rFonts w:ascii="Verdana" w:hAnsi="Verdana"/>
          <w:b w:val="0"/>
          <w:color w:val="000000"/>
          <w:sz w:val="20"/>
          <w:szCs w:val="20"/>
          <w:shd w:val="clear" w:color="auto" w:fill="FFFFFF"/>
        </w:rPr>
      </w:pPr>
      <w:r w:rsidRPr="00DF1F41">
        <w:rPr>
          <w:rStyle w:val="Textoennegrita"/>
          <w:rFonts w:ascii="Verdana" w:hAnsi="Verdana"/>
          <w:b w:val="0"/>
          <w:color w:val="000000"/>
          <w:sz w:val="20"/>
          <w:szCs w:val="20"/>
          <w:shd w:val="clear" w:color="auto" w:fill="FFFFFF"/>
        </w:rPr>
        <w:t xml:space="preserve">El Control de Convencionalidad </w:t>
      </w:r>
      <w:r w:rsidR="00EF0B8E">
        <w:rPr>
          <w:rStyle w:val="Textoennegrita"/>
          <w:rFonts w:ascii="Verdana" w:hAnsi="Verdana"/>
          <w:b w:val="0"/>
          <w:color w:val="000000"/>
          <w:sz w:val="20"/>
          <w:szCs w:val="20"/>
          <w:shd w:val="clear" w:color="auto" w:fill="FFFFFF"/>
        </w:rPr>
        <w:t xml:space="preserve">que se </w:t>
      </w:r>
      <w:r w:rsidRPr="00DF1F41">
        <w:rPr>
          <w:rStyle w:val="Textoennegrita"/>
          <w:rFonts w:ascii="Verdana" w:hAnsi="Verdana"/>
          <w:b w:val="0"/>
          <w:color w:val="000000"/>
          <w:sz w:val="20"/>
          <w:szCs w:val="20"/>
          <w:shd w:val="clear" w:color="auto" w:fill="FFFFFF"/>
        </w:rPr>
        <w:t>debería</w:t>
      </w:r>
      <w:r w:rsidR="00EF0B8E">
        <w:rPr>
          <w:rStyle w:val="Textoennegrita"/>
          <w:rFonts w:ascii="Verdana" w:hAnsi="Verdana"/>
          <w:b w:val="0"/>
          <w:color w:val="000000"/>
          <w:sz w:val="20"/>
          <w:szCs w:val="20"/>
          <w:shd w:val="clear" w:color="auto" w:fill="FFFFFF"/>
        </w:rPr>
        <w:t xml:space="preserve"> haber solicitado al Estado y el que eventualmente podría realizar la Corte, deberían haber tenido y </w:t>
      </w:r>
      <w:r w:rsidR="00EF0B8E" w:rsidRPr="00F272A1">
        <w:rPr>
          <w:rStyle w:val="Textoennegrita"/>
          <w:rFonts w:ascii="Verdana" w:hAnsi="Verdana"/>
          <w:b w:val="0"/>
          <w:i/>
          <w:color w:val="000000"/>
          <w:sz w:val="20"/>
          <w:szCs w:val="20"/>
          <w:shd w:val="clear" w:color="auto" w:fill="FFFFFF"/>
        </w:rPr>
        <w:t>t</w:t>
      </w:r>
      <w:r w:rsidR="00EF0B8E" w:rsidRPr="0026317D">
        <w:rPr>
          <w:rStyle w:val="Textoennegrita"/>
          <w:rFonts w:ascii="Verdana" w:hAnsi="Verdana"/>
          <w:b w:val="0"/>
          <w:i/>
          <w:color w:val="000000"/>
          <w:sz w:val="20"/>
          <w:szCs w:val="20"/>
          <w:shd w:val="clear" w:color="auto" w:fill="FFFFFF"/>
        </w:rPr>
        <w:t xml:space="preserve">ener </w:t>
      </w:r>
      <w:r w:rsidRPr="00DF1F41">
        <w:rPr>
          <w:rStyle w:val="Textoennegrita"/>
          <w:rFonts w:ascii="Verdana" w:hAnsi="Verdana"/>
          <w:b w:val="0"/>
          <w:color w:val="000000"/>
          <w:sz w:val="20"/>
          <w:szCs w:val="20"/>
          <w:shd w:val="clear" w:color="auto" w:fill="FFFFFF"/>
        </w:rPr>
        <w:t xml:space="preserve">en debida cuenta que la Sentencia del </w:t>
      </w:r>
      <w:r w:rsidR="00523D27" w:rsidRPr="0026317D">
        <w:rPr>
          <w:rStyle w:val="Textoennegrita"/>
          <w:rFonts w:ascii="Verdana" w:hAnsi="Verdana"/>
          <w:b w:val="0"/>
          <w:i/>
          <w:color w:val="000000"/>
          <w:sz w:val="20"/>
          <w:szCs w:val="20"/>
          <w:shd w:val="clear" w:color="auto" w:fill="FFFFFF"/>
        </w:rPr>
        <w:t xml:space="preserve">Caso Miembros de la Aldea </w:t>
      </w:r>
      <w:r w:rsidRPr="0026317D">
        <w:rPr>
          <w:rStyle w:val="Textoennegrita"/>
          <w:rFonts w:ascii="Verdana" w:hAnsi="Verdana"/>
          <w:b w:val="0"/>
          <w:i/>
          <w:color w:val="000000"/>
          <w:sz w:val="20"/>
          <w:szCs w:val="20"/>
          <w:shd w:val="clear" w:color="auto" w:fill="FFFFFF"/>
        </w:rPr>
        <w:t>Chucupa</w:t>
      </w:r>
      <w:r w:rsidR="0026317D">
        <w:rPr>
          <w:rStyle w:val="Textoennegrita"/>
          <w:rFonts w:ascii="Verdana" w:hAnsi="Verdana"/>
          <w:b w:val="0"/>
          <w:i/>
          <w:color w:val="000000"/>
          <w:sz w:val="20"/>
          <w:szCs w:val="20"/>
          <w:shd w:val="clear" w:color="auto" w:fill="FFFFFF"/>
        </w:rPr>
        <w:t xml:space="preserve"> y c</w:t>
      </w:r>
      <w:r w:rsidR="00523D27" w:rsidRPr="0026317D">
        <w:rPr>
          <w:rStyle w:val="Textoennegrita"/>
          <w:rFonts w:ascii="Verdana" w:hAnsi="Verdana"/>
          <w:b w:val="0"/>
          <w:i/>
          <w:color w:val="000000"/>
          <w:sz w:val="20"/>
          <w:szCs w:val="20"/>
          <w:shd w:val="clear" w:color="auto" w:fill="FFFFFF"/>
        </w:rPr>
        <w:t>omunidade</w:t>
      </w:r>
      <w:r w:rsidR="00EF0B8E" w:rsidRPr="0026317D">
        <w:rPr>
          <w:rStyle w:val="Textoennegrita"/>
          <w:rFonts w:ascii="Verdana" w:hAnsi="Verdana"/>
          <w:b w:val="0"/>
          <w:i/>
          <w:color w:val="000000"/>
          <w:sz w:val="20"/>
          <w:szCs w:val="20"/>
          <w:shd w:val="clear" w:color="auto" w:fill="FFFFFF"/>
        </w:rPr>
        <w:t>s V</w:t>
      </w:r>
      <w:r w:rsidR="00523D27" w:rsidRPr="0026317D">
        <w:rPr>
          <w:rStyle w:val="Textoennegrita"/>
          <w:rFonts w:ascii="Verdana" w:hAnsi="Verdana"/>
          <w:b w:val="0"/>
          <w:i/>
          <w:color w:val="000000"/>
          <w:sz w:val="20"/>
          <w:szCs w:val="20"/>
          <w:shd w:val="clear" w:color="auto" w:fill="FFFFFF"/>
        </w:rPr>
        <w:t>ecinas del Municipio de Rabinal Vs. Guatemala</w:t>
      </w:r>
      <w:r w:rsidR="0026317D">
        <w:rPr>
          <w:rStyle w:val="Textoennegrita"/>
          <w:rFonts w:ascii="Verdana" w:hAnsi="Verdana"/>
          <w:b w:val="0"/>
          <w:color w:val="000000"/>
          <w:sz w:val="20"/>
          <w:szCs w:val="20"/>
          <w:shd w:val="clear" w:color="auto" w:fill="FFFFFF"/>
        </w:rPr>
        <w:t xml:space="preserve"> </w:t>
      </w:r>
      <w:r w:rsidRPr="00DF1F41">
        <w:rPr>
          <w:rStyle w:val="Textoennegrita"/>
          <w:rFonts w:ascii="Verdana" w:hAnsi="Verdana"/>
          <w:b w:val="0"/>
          <w:color w:val="000000"/>
          <w:sz w:val="20"/>
          <w:szCs w:val="20"/>
          <w:shd w:val="clear" w:color="auto" w:fill="FFFFFF"/>
        </w:rPr>
        <w:t>dispone que</w:t>
      </w:r>
    </w:p>
    <w:p w:rsidR="00DF1F41" w:rsidRPr="00DF1F41" w:rsidRDefault="00DF1F41" w:rsidP="00DF1F41">
      <w:pPr>
        <w:spacing w:after="120"/>
        <w:ind w:left="567"/>
        <w:jc w:val="both"/>
        <w:rPr>
          <w:rFonts w:ascii="Verdana" w:eastAsia="Batang" w:hAnsi="Verdana" w:cs="Times"/>
          <w:sz w:val="20"/>
          <w:szCs w:val="20"/>
        </w:rPr>
      </w:pPr>
      <w:r w:rsidRPr="00DF1F41">
        <w:rPr>
          <w:rFonts w:ascii="Verdana" w:eastAsia="Batang" w:hAnsi="Verdana" w:cs="Times"/>
          <w:sz w:val="20"/>
          <w:szCs w:val="20"/>
        </w:rPr>
        <w:t>“</w:t>
      </w:r>
      <w:r w:rsidRPr="00DF1F41">
        <w:rPr>
          <w:rFonts w:ascii="Verdana" w:eastAsia="Batang" w:hAnsi="Verdana" w:cs="Times"/>
          <w:i/>
          <w:sz w:val="20"/>
          <w:szCs w:val="20"/>
        </w:rPr>
        <w:t xml:space="preserve">el Estado debe remover todos los obstáculos, </w:t>
      </w:r>
      <w:r w:rsidRPr="00DF1F41">
        <w:rPr>
          <w:rFonts w:ascii="Verdana" w:eastAsia="Batang" w:hAnsi="Verdana" w:cs="Times"/>
          <w:i/>
          <w:iCs/>
          <w:sz w:val="20"/>
          <w:szCs w:val="20"/>
        </w:rPr>
        <w:t>de facto y de jure</w:t>
      </w:r>
      <w:r w:rsidRPr="00DF1F41">
        <w:rPr>
          <w:rFonts w:ascii="Verdana" w:eastAsia="Batang" w:hAnsi="Verdana" w:cs="Times"/>
          <w:i/>
          <w:sz w:val="20"/>
          <w:szCs w:val="20"/>
        </w:rPr>
        <w:t xml:space="preserve">, que mantienen la impunidad en este caso, e iniciar, continuar, impulsar y/o reabrir las investigaciones que sean necesarias para </w:t>
      </w:r>
      <w:r w:rsidRPr="00DF1F41">
        <w:rPr>
          <w:rFonts w:ascii="Verdana" w:hAnsi="Verdana"/>
          <w:i/>
          <w:sz w:val="20"/>
          <w:szCs w:val="20"/>
        </w:rPr>
        <w:t xml:space="preserve">individualizar, juzgar </w:t>
      </w:r>
      <w:r w:rsidRPr="00DF1F41">
        <w:rPr>
          <w:rFonts w:ascii="Verdana" w:eastAsia="Batang" w:hAnsi="Verdana" w:cs="Times"/>
          <w:i/>
          <w:sz w:val="20"/>
          <w:szCs w:val="20"/>
        </w:rPr>
        <w:t xml:space="preserve">y, en su caso, </w:t>
      </w:r>
      <w:r w:rsidRPr="00DF1F41">
        <w:rPr>
          <w:rFonts w:ascii="Verdana" w:eastAsia="Batang" w:hAnsi="Verdana" w:cs="Times"/>
          <w:i/>
          <w:sz w:val="20"/>
          <w:szCs w:val="20"/>
        </w:rPr>
        <w:lastRenderedPageBreak/>
        <w:t xml:space="preserve">sancionar a los responsables de las violaciones de los derechos humanos objeto </w:t>
      </w:r>
      <w:r w:rsidRPr="00DF1F41">
        <w:rPr>
          <w:rFonts w:ascii="Verdana" w:hAnsi="Verdana" w:cs="Tahoma"/>
          <w:i/>
          <w:sz w:val="20"/>
          <w:szCs w:val="20"/>
        </w:rPr>
        <w:t>del</w:t>
      </w:r>
      <w:r w:rsidRPr="00DF1F41">
        <w:rPr>
          <w:rFonts w:ascii="Verdana" w:eastAsia="Batang" w:hAnsi="Verdana" w:cs="Times"/>
          <w:i/>
          <w:sz w:val="20"/>
          <w:szCs w:val="20"/>
        </w:rPr>
        <w:t xml:space="preserve"> presente caso”</w:t>
      </w:r>
      <w:r w:rsidR="0026317D">
        <w:rPr>
          <w:rFonts w:ascii="Verdana" w:eastAsia="Batang" w:hAnsi="Verdana" w:cs="Times"/>
          <w:sz w:val="20"/>
          <w:szCs w:val="20"/>
        </w:rPr>
        <w:t>,</w:t>
      </w:r>
    </w:p>
    <w:p w:rsidR="00DF1F41" w:rsidRPr="00DF1F41" w:rsidRDefault="00DF1F41" w:rsidP="004F59DB">
      <w:pPr>
        <w:jc w:val="both"/>
        <w:rPr>
          <w:rFonts w:ascii="Verdana" w:eastAsia="Batang" w:hAnsi="Verdana" w:cs="Times"/>
          <w:sz w:val="20"/>
          <w:szCs w:val="20"/>
        </w:rPr>
      </w:pPr>
      <w:r w:rsidRPr="00DF1F41">
        <w:rPr>
          <w:rFonts w:ascii="Verdana" w:eastAsia="Batang" w:hAnsi="Verdana" w:cs="Times"/>
          <w:sz w:val="20"/>
          <w:szCs w:val="20"/>
        </w:rPr>
        <w:t>y que</w:t>
      </w:r>
    </w:p>
    <w:p w:rsidR="00DF1F41" w:rsidRPr="00DF1F41" w:rsidRDefault="00DF1F41" w:rsidP="00DF1F41">
      <w:pPr>
        <w:ind w:left="567"/>
        <w:jc w:val="both"/>
        <w:rPr>
          <w:rFonts w:ascii="Verdana" w:hAnsi="Verdana"/>
          <w:b/>
          <w:bCs/>
          <w:color w:val="000000"/>
          <w:sz w:val="20"/>
          <w:szCs w:val="20"/>
        </w:rPr>
      </w:pPr>
      <w:r w:rsidRPr="00DF1F41">
        <w:rPr>
          <w:rFonts w:ascii="Verdana" w:eastAsia="Batang" w:hAnsi="Verdana" w:cs="Arial"/>
          <w:i/>
          <w:sz w:val="20"/>
          <w:szCs w:val="20"/>
        </w:rPr>
        <w:t>“en consideración de la gravedad de los hechos, no podrá aplicar leyes de amnistía ni disposiciones de prescripción, ni esgrimir pretendidas excluyentes de responsabilidad, que en realidad sean pretexto para impedir la investigación</w:t>
      </w:r>
      <w:r w:rsidR="0026317D" w:rsidRPr="005E3607">
        <w:rPr>
          <w:rStyle w:val="Textoennegrita"/>
          <w:rFonts w:ascii="Verdana" w:hAnsi="Verdana"/>
          <w:b w:val="0"/>
          <w:color w:val="000000"/>
          <w:sz w:val="20"/>
          <w:szCs w:val="20"/>
          <w:shd w:val="clear" w:color="auto" w:fill="FFFFFF"/>
        </w:rPr>
        <w:t>”</w:t>
      </w:r>
      <w:r w:rsidR="0026317D" w:rsidRPr="0026317D">
        <w:rPr>
          <w:rStyle w:val="Refdenotaalpie"/>
          <w:rFonts w:ascii="Verdana" w:hAnsi="Verdana"/>
          <w:bCs/>
          <w:color w:val="000000"/>
          <w:sz w:val="20"/>
          <w:szCs w:val="20"/>
          <w:shd w:val="clear" w:color="auto" w:fill="FFFFFF"/>
        </w:rPr>
        <w:footnoteReference w:id="38"/>
      </w:r>
      <w:r w:rsidR="00523D27" w:rsidRPr="005E3607">
        <w:rPr>
          <w:rStyle w:val="Textoennegrita"/>
          <w:rFonts w:ascii="Verdana" w:hAnsi="Verdana"/>
          <w:b w:val="0"/>
          <w:color w:val="000000"/>
          <w:sz w:val="20"/>
          <w:szCs w:val="20"/>
          <w:shd w:val="clear" w:color="auto" w:fill="FFFFFF"/>
        </w:rPr>
        <w:t xml:space="preserve"> </w:t>
      </w:r>
    </w:p>
    <w:p w:rsidR="004F59DB" w:rsidRPr="00DF1F41" w:rsidRDefault="00DF1F41" w:rsidP="004F59DB">
      <w:pPr>
        <w:jc w:val="both"/>
        <w:rPr>
          <w:rFonts w:ascii="Verdana" w:hAnsi="Verdana"/>
          <w:b/>
          <w:bCs/>
          <w:color w:val="000000"/>
          <w:sz w:val="20"/>
          <w:szCs w:val="20"/>
        </w:rPr>
      </w:pPr>
      <w:r w:rsidRPr="00DF1F41">
        <w:rPr>
          <w:rFonts w:ascii="Verdana" w:hAnsi="Verdana"/>
          <w:b/>
          <w:bCs/>
          <w:color w:val="000000"/>
          <w:sz w:val="20"/>
          <w:szCs w:val="20"/>
        </w:rPr>
        <w:t>C</w:t>
      </w:r>
      <w:r w:rsidR="004F59DB" w:rsidRPr="00DF1F41">
        <w:rPr>
          <w:rFonts w:ascii="Verdana" w:hAnsi="Verdana"/>
          <w:b/>
          <w:bCs/>
          <w:color w:val="000000"/>
          <w:sz w:val="20"/>
          <w:szCs w:val="20"/>
        </w:rPr>
        <w:t>ONCLUSIÓN.</w:t>
      </w:r>
    </w:p>
    <w:p w:rsidR="004F59DB" w:rsidRPr="00DF1F41" w:rsidRDefault="004F59DB" w:rsidP="004F59DB">
      <w:pPr>
        <w:jc w:val="both"/>
        <w:rPr>
          <w:rFonts w:ascii="Verdana" w:hAnsi="Verdana"/>
          <w:bCs/>
          <w:color w:val="000000"/>
          <w:sz w:val="20"/>
          <w:szCs w:val="20"/>
        </w:rPr>
      </w:pPr>
      <w:r w:rsidRPr="00DF1F41">
        <w:rPr>
          <w:rFonts w:ascii="Verdana" w:hAnsi="Verdana"/>
          <w:bCs/>
          <w:color w:val="000000"/>
          <w:sz w:val="20"/>
          <w:szCs w:val="20"/>
        </w:rPr>
        <w:t xml:space="preserve">En mérito de todo lo expuesto, el infrascrito era partidario que el mencionado Resolutivo N° </w:t>
      </w:r>
      <w:r w:rsidR="00EF0B8E">
        <w:rPr>
          <w:rFonts w:ascii="Verdana" w:hAnsi="Verdana"/>
          <w:bCs/>
          <w:color w:val="000000"/>
          <w:sz w:val="20"/>
          <w:szCs w:val="20"/>
        </w:rPr>
        <w:t>2 de la Resolución expres</w:t>
      </w:r>
      <w:r w:rsidR="004C10F9">
        <w:rPr>
          <w:rFonts w:ascii="Verdana" w:hAnsi="Verdana"/>
          <w:bCs/>
          <w:color w:val="000000"/>
          <w:sz w:val="20"/>
          <w:szCs w:val="20"/>
        </w:rPr>
        <w:t>a</w:t>
      </w:r>
      <w:r w:rsidR="00EF0B8E">
        <w:rPr>
          <w:rFonts w:ascii="Verdana" w:hAnsi="Verdana"/>
          <w:bCs/>
          <w:color w:val="000000"/>
          <w:sz w:val="20"/>
          <w:szCs w:val="20"/>
        </w:rPr>
        <w:t>ra</w:t>
      </w:r>
      <w:r w:rsidRPr="00DF1F41">
        <w:rPr>
          <w:rFonts w:ascii="Verdana" w:hAnsi="Verdana"/>
          <w:bCs/>
          <w:color w:val="000000"/>
          <w:sz w:val="20"/>
          <w:szCs w:val="20"/>
        </w:rPr>
        <w:t>:</w:t>
      </w:r>
    </w:p>
    <w:p w:rsidR="004F59DB" w:rsidRPr="00DF1F41" w:rsidRDefault="00DF1F41" w:rsidP="00DF1F41">
      <w:pPr>
        <w:ind w:left="567"/>
        <w:jc w:val="both"/>
        <w:rPr>
          <w:rFonts w:ascii="Verdana" w:hAnsi="Verdana"/>
          <w:bCs/>
          <w:i/>
          <w:color w:val="000000"/>
          <w:sz w:val="20"/>
          <w:szCs w:val="20"/>
        </w:rPr>
      </w:pPr>
      <w:r w:rsidRPr="00DF1F41">
        <w:rPr>
          <w:rFonts w:ascii="Verdana" w:hAnsi="Verdana"/>
          <w:i/>
          <w:color w:val="000000"/>
          <w:sz w:val="20"/>
          <w:szCs w:val="20"/>
        </w:rPr>
        <w:t>“</w:t>
      </w:r>
      <w:r w:rsidR="004F59DB" w:rsidRPr="00DF1F41">
        <w:rPr>
          <w:rFonts w:ascii="Verdana" w:hAnsi="Verdana"/>
          <w:i/>
          <w:color w:val="000000"/>
          <w:sz w:val="20"/>
          <w:szCs w:val="20"/>
        </w:rPr>
        <w:t>Requerir al Estado de Guatemala que, para garantizar</w:t>
      </w:r>
      <w:r w:rsidR="00F272A1">
        <w:rPr>
          <w:rFonts w:ascii="Verdana" w:hAnsi="Verdana"/>
          <w:i/>
          <w:color w:val="000000"/>
          <w:sz w:val="20"/>
          <w:szCs w:val="20"/>
        </w:rPr>
        <w:t xml:space="preserve"> </w:t>
      </w:r>
      <w:r w:rsidR="004F59DB" w:rsidRPr="00DF1F41">
        <w:rPr>
          <w:rFonts w:ascii="Verdana" w:hAnsi="Verdana"/>
          <w:i/>
          <w:color w:val="000000"/>
          <w:sz w:val="20"/>
          <w:szCs w:val="20"/>
        </w:rPr>
        <w:t xml:space="preserve">el derecho al acceso a la justicia de las víctimas </w:t>
      </w:r>
      <w:r w:rsidR="0026317D">
        <w:rPr>
          <w:rFonts w:ascii="Verdana" w:hAnsi="Verdana"/>
          <w:i/>
          <w:color w:val="000000"/>
          <w:sz w:val="20"/>
          <w:szCs w:val="20"/>
        </w:rPr>
        <w:t xml:space="preserve">de los 14 casos indicados en el Considerando 50, </w:t>
      </w:r>
      <w:r w:rsidRPr="00DF1F41">
        <w:rPr>
          <w:rFonts w:ascii="Verdana" w:hAnsi="Verdana"/>
          <w:i/>
          <w:color w:val="000000"/>
          <w:sz w:val="20"/>
          <w:szCs w:val="20"/>
        </w:rPr>
        <w:t>tenga</w:t>
      </w:r>
      <w:r w:rsidR="004F59DB" w:rsidRPr="00DF1F41">
        <w:rPr>
          <w:rFonts w:ascii="Verdana" w:hAnsi="Verdana"/>
          <w:i/>
          <w:color w:val="000000"/>
          <w:sz w:val="20"/>
          <w:szCs w:val="20"/>
        </w:rPr>
        <w:t xml:space="preserve"> presente o pondere que, de aprobarse la Iniciativa de Ley</w:t>
      </w:r>
      <w:r w:rsidR="004F59DB" w:rsidRPr="00DF1F41">
        <w:rPr>
          <w:rFonts w:ascii="Verdana" w:hAnsi="Verdana"/>
          <w:bCs/>
          <w:i/>
          <w:color w:val="000000"/>
          <w:sz w:val="20"/>
          <w:szCs w:val="20"/>
        </w:rPr>
        <w:t xml:space="preserve"> </w:t>
      </w:r>
      <w:r w:rsidR="00673FC4">
        <w:rPr>
          <w:rFonts w:ascii="Verdana" w:hAnsi="Verdana"/>
          <w:i/>
          <w:color w:val="000000"/>
          <w:sz w:val="20"/>
          <w:szCs w:val="20"/>
        </w:rPr>
        <w:t>5377</w:t>
      </w:r>
      <w:r w:rsidR="004F59DB" w:rsidRPr="00DF1F41">
        <w:rPr>
          <w:rFonts w:ascii="Verdana" w:hAnsi="Verdana"/>
          <w:i/>
          <w:color w:val="000000"/>
          <w:sz w:val="20"/>
          <w:szCs w:val="20"/>
        </w:rPr>
        <w:t xml:space="preserve"> en los términos que actualmente está planteada, pod</w:t>
      </w:r>
      <w:r w:rsidR="0026317D">
        <w:rPr>
          <w:rFonts w:ascii="Verdana" w:hAnsi="Verdana"/>
          <w:i/>
          <w:color w:val="000000"/>
          <w:sz w:val="20"/>
          <w:szCs w:val="20"/>
        </w:rPr>
        <w:t xml:space="preserve">ría </w:t>
      </w:r>
      <w:r w:rsidR="004F59DB" w:rsidRPr="00DF1F41">
        <w:rPr>
          <w:rFonts w:ascii="Verdana" w:hAnsi="Verdana"/>
          <w:i/>
          <w:color w:val="000000"/>
          <w:sz w:val="20"/>
          <w:szCs w:val="20"/>
        </w:rPr>
        <w:t>hacerlo incurrir en</w:t>
      </w:r>
      <w:r w:rsidR="0026317D">
        <w:rPr>
          <w:rFonts w:ascii="Verdana" w:hAnsi="Verdana"/>
          <w:i/>
          <w:color w:val="000000"/>
          <w:sz w:val="20"/>
          <w:szCs w:val="20"/>
        </w:rPr>
        <w:t xml:space="preserve"> responsabilidad internacional </w:t>
      </w:r>
      <w:r w:rsidRPr="00DF1F41">
        <w:rPr>
          <w:rFonts w:ascii="Verdana" w:hAnsi="Verdana"/>
          <w:i/>
          <w:color w:val="000000"/>
          <w:sz w:val="20"/>
          <w:szCs w:val="20"/>
        </w:rPr>
        <w:t>al conceder, en la práctica, una amnistía a</w:t>
      </w:r>
      <w:r w:rsidR="004F59DB" w:rsidRPr="00DF1F41">
        <w:rPr>
          <w:rFonts w:ascii="Verdana" w:hAnsi="Verdana"/>
          <w:i/>
          <w:color w:val="000000"/>
          <w:sz w:val="20"/>
          <w:szCs w:val="20"/>
        </w:rPr>
        <w:t xml:space="preserve"> todas las graves violaciones cometidas duran</w:t>
      </w:r>
      <w:r w:rsidRPr="00DF1F41">
        <w:rPr>
          <w:rFonts w:ascii="Verdana" w:hAnsi="Verdana"/>
          <w:i/>
          <w:color w:val="000000"/>
          <w:sz w:val="20"/>
          <w:szCs w:val="20"/>
        </w:rPr>
        <w:t>te el conflicto armado interno</w:t>
      </w:r>
      <w:r w:rsidR="004F59DB" w:rsidRPr="00DF1F41">
        <w:rPr>
          <w:rFonts w:ascii="Verdana" w:hAnsi="Verdana"/>
          <w:bCs/>
          <w:i/>
          <w:color w:val="000000"/>
          <w:sz w:val="20"/>
          <w:szCs w:val="20"/>
        </w:rPr>
        <w:t>”</w:t>
      </w:r>
      <w:r w:rsidRPr="00DF1F41">
        <w:rPr>
          <w:rFonts w:ascii="Verdana" w:hAnsi="Verdana"/>
          <w:bCs/>
          <w:i/>
          <w:color w:val="000000"/>
          <w:sz w:val="20"/>
          <w:szCs w:val="20"/>
        </w:rPr>
        <w:t>.</w:t>
      </w:r>
    </w:p>
    <w:p w:rsidR="003B7BFB" w:rsidRDefault="003B7BFB" w:rsidP="00DF1F41">
      <w:pPr>
        <w:ind w:left="567"/>
        <w:jc w:val="both"/>
        <w:rPr>
          <w:rFonts w:ascii="Verdana" w:hAnsi="Verdana"/>
          <w:bCs/>
          <w:i/>
          <w:color w:val="000000"/>
          <w:sz w:val="20"/>
          <w:szCs w:val="20"/>
        </w:rPr>
      </w:pPr>
    </w:p>
    <w:p w:rsidR="003B7BFB" w:rsidRPr="00DF1F41" w:rsidRDefault="003B7BFB" w:rsidP="00DF1F41">
      <w:pPr>
        <w:ind w:left="567"/>
        <w:jc w:val="both"/>
        <w:rPr>
          <w:rFonts w:ascii="Verdana" w:hAnsi="Verdana"/>
          <w:bCs/>
          <w:i/>
          <w:color w:val="000000"/>
          <w:sz w:val="20"/>
          <w:szCs w:val="20"/>
        </w:rPr>
      </w:pPr>
    </w:p>
    <w:p w:rsidR="00DF1F41" w:rsidRPr="00DF1F41" w:rsidRDefault="00DF1F41" w:rsidP="00DF1F41">
      <w:pPr>
        <w:spacing w:after="0"/>
        <w:ind w:left="567"/>
        <w:jc w:val="right"/>
        <w:rPr>
          <w:rFonts w:ascii="Verdana" w:hAnsi="Verdana"/>
          <w:bCs/>
          <w:color w:val="000000"/>
          <w:sz w:val="20"/>
          <w:szCs w:val="20"/>
        </w:rPr>
      </w:pPr>
      <w:r w:rsidRPr="00DF1F41">
        <w:rPr>
          <w:rFonts w:ascii="Verdana" w:hAnsi="Verdana"/>
          <w:bCs/>
          <w:color w:val="000000"/>
          <w:sz w:val="20"/>
          <w:szCs w:val="20"/>
        </w:rPr>
        <w:t>Eduardo Vio Grossi</w:t>
      </w:r>
    </w:p>
    <w:p w:rsidR="00101E86" w:rsidRDefault="00DF1F41" w:rsidP="004C10F9">
      <w:pPr>
        <w:spacing w:after="0"/>
        <w:ind w:left="567"/>
        <w:jc w:val="right"/>
        <w:rPr>
          <w:rFonts w:ascii="Verdana" w:hAnsi="Verdana"/>
          <w:bCs/>
          <w:color w:val="000000"/>
          <w:sz w:val="20"/>
          <w:szCs w:val="20"/>
        </w:rPr>
      </w:pPr>
      <w:r w:rsidRPr="00DF1F41">
        <w:rPr>
          <w:rFonts w:ascii="Verdana" w:hAnsi="Verdana"/>
          <w:bCs/>
          <w:color w:val="000000"/>
          <w:sz w:val="20"/>
          <w:szCs w:val="20"/>
        </w:rPr>
        <w:t>Juez</w:t>
      </w:r>
    </w:p>
    <w:p w:rsidR="003B7BFB" w:rsidRDefault="003B7BFB" w:rsidP="004C10F9">
      <w:pPr>
        <w:spacing w:after="0"/>
        <w:ind w:left="567"/>
        <w:jc w:val="right"/>
        <w:rPr>
          <w:rFonts w:ascii="Verdana" w:hAnsi="Verdana"/>
          <w:bCs/>
          <w:color w:val="000000"/>
          <w:sz w:val="20"/>
          <w:szCs w:val="20"/>
        </w:rPr>
      </w:pPr>
    </w:p>
    <w:p w:rsidR="003B7BFB" w:rsidRDefault="003B7BFB" w:rsidP="004C10F9">
      <w:pPr>
        <w:spacing w:after="0"/>
        <w:ind w:left="567"/>
        <w:jc w:val="right"/>
        <w:rPr>
          <w:rFonts w:ascii="Verdana" w:hAnsi="Verdana"/>
          <w:bCs/>
          <w:color w:val="000000"/>
          <w:sz w:val="20"/>
          <w:szCs w:val="20"/>
        </w:rPr>
      </w:pPr>
    </w:p>
    <w:p w:rsidR="003B7BFB" w:rsidRDefault="003B7BFB" w:rsidP="004C10F9">
      <w:pPr>
        <w:spacing w:after="0"/>
        <w:ind w:left="567"/>
        <w:jc w:val="right"/>
        <w:rPr>
          <w:rFonts w:ascii="Verdana" w:hAnsi="Verdana"/>
          <w:bCs/>
          <w:color w:val="000000"/>
          <w:sz w:val="20"/>
          <w:szCs w:val="20"/>
        </w:rPr>
      </w:pPr>
    </w:p>
    <w:p w:rsidR="003B7BFB" w:rsidRDefault="003B7BFB" w:rsidP="004C10F9">
      <w:pPr>
        <w:spacing w:after="0"/>
        <w:ind w:left="567"/>
        <w:jc w:val="right"/>
        <w:rPr>
          <w:rFonts w:ascii="Verdana" w:hAnsi="Verdana"/>
          <w:bCs/>
          <w:color w:val="000000"/>
          <w:sz w:val="20"/>
          <w:szCs w:val="20"/>
        </w:rPr>
      </w:pPr>
    </w:p>
    <w:p w:rsidR="003B7BFB" w:rsidRDefault="003B7BFB" w:rsidP="003B7BFB">
      <w:pPr>
        <w:spacing w:after="0"/>
        <w:rPr>
          <w:rFonts w:ascii="Verdana" w:hAnsi="Verdana" w:cs="Tahoma"/>
          <w:sz w:val="24"/>
          <w:szCs w:val="24"/>
        </w:rPr>
      </w:pPr>
    </w:p>
    <w:p w:rsidR="003B7BFB" w:rsidRPr="003B7BFB" w:rsidRDefault="003B7BFB" w:rsidP="003B7BFB">
      <w:pPr>
        <w:spacing w:after="0"/>
        <w:ind w:left="567"/>
        <w:rPr>
          <w:rFonts w:ascii="Verdana" w:hAnsi="Verdana"/>
          <w:bCs/>
          <w:color w:val="000000"/>
          <w:sz w:val="20"/>
          <w:szCs w:val="20"/>
        </w:rPr>
      </w:pPr>
      <w:r w:rsidRPr="003B7BFB">
        <w:rPr>
          <w:rFonts w:ascii="Verdana" w:hAnsi="Verdana"/>
          <w:bCs/>
          <w:color w:val="000000"/>
          <w:sz w:val="20"/>
          <w:szCs w:val="20"/>
        </w:rPr>
        <w:t>Pablo Saavedra Alessandri</w:t>
      </w:r>
    </w:p>
    <w:p w:rsidR="003B7BFB" w:rsidRPr="003B7BFB" w:rsidRDefault="003B7BFB" w:rsidP="003B7BFB">
      <w:pPr>
        <w:spacing w:after="0"/>
        <w:ind w:left="567"/>
        <w:rPr>
          <w:rFonts w:ascii="Verdana" w:hAnsi="Verdana"/>
          <w:bCs/>
          <w:color w:val="000000"/>
          <w:sz w:val="20"/>
          <w:szCs w:val="20"/>
        </w:rPr>
      </w:pPr>
      <w:r w:rsidRPr="003B7BFB">
        <w:rPr>
          <w:rFonts w:ascii="Verdana" w:hAnsi="Verdana"/>
          <w:bCs/>
          <w:color w:val="000000"/>
          <w:sz w:val="20"/>
          <w:szCs w:val="20"/>
        </w:rPr>
        <w:t>Secretario</w:t>
      </w:r>
    </w:p>
    <w:p w:rsidR="003B7BFB" w:rsidRPr="003B7BFB" w:rsidRDefault="003B7BFB" w:rsidP="003B7BFB">
      <w:pPr>
        <w:ind w:left="567"/>
        <w:jc w:val="both"/>
        <w:rPr>
          <w:rFonts w:ascii="Verdana" w:hAnsi="Verdana"/>
          <w:bCs/>
          <w:i/>
          <w:color w:val="000000"/>
          <w:sz w:val="20"/>
          <w:szCs w:val="20"/>
        </w:rPr>
      </w:pPr>
    </w:p>
    <w:sectPr w:rsidR="003B7BFB" w:rsidRPr="003B7BFB" w:rsidSect="003B7BFB">
      <w:footerReference w:type="default" r:id="rId8"/>
      <w:pgSz w:w="12240" w:h="15840"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725" w:rsidRDefault="00180725" w:rsidP="00F84637">
      <w:pPr>
        <w:spacing w:after="0" w:line="240" w:lineRule="auto"/>
      </w:pPr>
      <w:r>
        <w:separator/>
      </w:r>
    </w:p>
  </w:endnote>
  <w:endnote w:type="continuationSeparator" w:id="0">
    <w:p w:rsidR="00180725" w:rsidRDefault="00180725" w:rsidP="00F8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190356"/>
      <w:docPartObj>
        <w:docPartGallery w:val="Page Numbers (Bottom of Page)"/>
        <w:docPartUnique/>
      </w:docPartObj>
    </w:sdtPr>
    <w:sdtEndPr/>
    <w:sdtContent>
      <w:p w:rsidR="00523D27" w:rsidRDefault="00523D27">
        <w:pPr>
          <w:pStyle w:val="Piedepgina"/>
          <w:jc w:val="right"/>
        </w:pPr>
        <w:r>
          <w:fldChar w:fldCharType="begin"/>
        </w:r>
        <w:r>
          <w:instrText>PAGE   \* MERGEFORMAT</w:instrText>
        </w:r>
        <w:r>
          <w:fldChar w:fldCharType="separate"/>
        </w:r>
        <w:r w:rsidR="00524715" w:rsidRPr="00524715">
          <w:rPr>
            <w:noProof/>
            <w:lang w:val="es-ES"/>
          </w:rPr>
          <w:t>6</w:t>
        </w:r>
        <w:r>
          <w:fldChar w:fldCharType="end"/>
        </w:r>
      </w:p>
    </w:sdtContent>
  </w:sdt>
  <w:p w:rsidR="00523D27" w:rsidRDefault="00523D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725" w:rsidRDefault="00180725" w:rsidP="00F84637">
      <w:pPr>
        <w:spacing w:after="0" w:line="240" w:lineRule="auto"/>
      </w:pPr>
      <w:r>
        <w:separator/>
      </w:r>
    </w:p>
  </w:footnote>
  <w:footnote w:type="continuationSeparator" w:id="0">
    <w:p w:rsidR="00180725" w:rsidRDefault="00180725" w:rsidP="00F84637">
      <w:pPr>
        <w:spacing w:after="0" w:line="240" w:lineRule="auto"/>
      </w:pPr>
      <w:r>
        <w:continuationSeparator/>
      </w:r>
    </w:p>
  </w:footnote>
  <w:footnote w:id="1">
    <w:p w:rsidR="00523D27" w:rsidRPr="004C10F9" w:rsidRDefault="00523D27" w:rsidP="009F67C3">
      <w:pPr>
        <w:pStyle w:val="Textonotapie"/>
        <w:jc w:val="both"/>
        <w:rPr>
          <w:rFonts w:ascii="Verdana" w:hAnsi="Verdana"/>
          <w:i/>
          <w:sz w:val="16"/>
          <w:szCs w:val="16"/>
          <w:lang w:val="es-ES"/>
        </w:rPr>
      </w:pPr>
      <w:r w:rsidRPr="004C10F9">
        <w:rPr>
          <w:rStyle w:val="Refdenotaalpie"/>
          <w:rFonts w:ascii="Verdana" w:hAnsi="Verdana"/>
          <w:sz w:val="16"/>
          <w:szCs w:val="16"/>
        </w:rPr>
        <w:footnoteRef/>
      </w:r>
      <w:r w:rsidRPr="004C10F9">
        <w:rPr>
          <w:rFonts w:ascii="Verdana" w:hAnsi="Verdana"/>
          <w:sz w:val="16"/>
          <w:szCs w:val="16"/>
          <w:lang w:val="es-ES"/>
        </w:rPr>
        <w:t xml:space="preserve"> Art, 24.3 del Estatuto de la Corte: “</w:t>
      </w:r>
      <w:r w:rsidRPr="004C10F9">
        <w:rPr>
          <w:rFonts w:ascii="Verdana" w:hAnsi="Verdana"/>
          <w:i/>
          <w:sz w:val="16"/>
          <w:szCs w:val="16"/>
          <w:lang w:val="es-ES"/>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p>
    <w:p w:rsidR="00523D27" w:rsidRPr="004C10F9" w:rsidRDefault="00523D27" w:rsidP="009F67C3">
      <w:pPr>
        <w:pStyle w:val="Textonotapie"/>
        <w:jc w:val="both"/>
        <w:rPr>
          <w:rFonts w:ascii="Verdana" w:hAnsi="Verdana"/>
          <w:sz w:val="16"/>
          <w:szCs w:val="16"/>
          <w:lang w:val="es-ES"/>
        </w:rPr>
      </w:pPr>
    </w:p>
  </w:footnote>
  <w:footnote w:id="2">
    <w:p w:rsidR="00523D27" w:rsidRPr="004C10F9" w:rsidRDefault="00523D27" w:rsidP="009F67C3">
      <w:pPr>
        <w:pStyle w:val="Textonotapie"/>
        <w:jc w:val="both"/>
        <w:rPr>
          <w:rFonts w:ascii="Verdana" w:hAnsi="Verdana"/>
          <w:sz w:val="16"/>
          <w:szCs w:val="16"/>
          <w:lang w:val="es-ES"/>
        </w:rPr>
      </w:pPr>
      <w:r w:rsidRPr="004C10F9">
        <w:rPr>
          <w:rStyle w:val="Refdenotaalpie"/>
          <w:rFonts w:ascii="Verdana" w:hAnsi="Verdana"/>
          <w:sz w:val="16"/>
          <w:szCs w:val="16"/>
        </w:rPr>
        <w:footnoteRef/>
      </w:r>
      <w:r w:rsidRPr="004C10F9">
        <w:rPr>
          <w:rFonts w:ascii="Verdana" w:hAnsi="Verdana"/>
          <w:sz w:val="16"/>
          <w:szCs w:val="16"/>
          <w:lang w:val="es-ES"/>
        </w:rPr>
        <w:t xml:space="preserve"> En adelante, la Resolución.</w:t>
      </w:r>
    </w:p>
    <w:p w:rsidR="00523D27" w:rsidRPr="004C10F9" w:rsidRDefault="00523D27" w:rsidP="009F67C3">
      <w:pPr>
        <w:pStyle w:val="Textonotapie"/>
        <w:jc w:val="both"/>
        <w:rPr>
          <w:rFonts w:ascii="Verdana" w:hAnsi="Verdana"/>
          <w:sz w:val="16"/>
          <w:szCs w:val="16"/>
          <w:lang w:val="es-ES"/>
        </w:rPr>
      </w:pPr>
    </w:p>
  </w:footnote>
  <w:footnote w:id="3">
    <w:p w:rsidR="00523D27" w:rsidRPr="004C10F9" w:rsidRDefault="00523D27" w:rsidP="009F67C3">
      <w:pPr>
        <w:pStyle w:val="Textonotapie"/>
        <w:jc w:val="both"/>
        <w:rPr>
          <w:rFonts w:ascii="Verdana" w:hAnsi="Verdana"/>
          <w:sz w:val="16"/>
          <w:szCs w:val="16"/>
        </w:rPr>
      </w:pPr>
      <w:r w:rsidRPr="004C10F9">
        <w:rPr>
          <w:rStyle w:val="Refdenotaalpie"/>
          <w:rFonts w:ascii="Verdana" w:hAnsi="Verdana"/>
          <w:sz w:val="16"/>
          <w:szCs w:val="16"/>
        </w:rPr>
        <w:footnoteRef/>
      </w:r>
      <w:r w:rsidRPr="004C10F9">
        <w:rPr>
          <w:rFonts w:ascii="Verdana" w:hAnsi="Verdana"/>
          <w:sz w:val="16"/>
          <w:szCs w:val="16"/>
        </w:rPr>
        <w:t xml:space="preserve"> </w:t>
      </w:r>
      <w:r w:rsidR="00DF1F41" w:rsidRPr="004C10F9">
        <w:rPr>
          <w:rFonts w:ascii="Verdana" w:hAnsi="Verdana"/>
          <w:sz w:val="16"/>
          <w:szCs w:val="16"/>
        </w:rPr>
        <w:t>En adelante, la Corte.</w:t>
      </w:r>
    </w:p>
    <w:p w:rsidR="00DF1F41" w:rsidRPr="004C10F9" w:rsidRDefault="00DF1F41" w:rsidP="009F67C3">
      <w:pPr>
        <w:pStyle w:val="Textonotapie"/>
        <w:jc w:val="both"/>
        <w:rPr>
          <w:rFonts w:ascii="Verdana" w:hAnsi="Verdana"/>
          <w:sz w:val="16"/>
          <w:szCs w:val="16"/>
        </w:rPr>
      </w:pPr>
    </w:p>
  </w:footnote>
  <w:footnote w:id="4">
    <w:p w:rsidR="00523D27" w:rsidRPr="004C10F9" w:rsidRDefault="00523D27" w:rsidP="009F67C3">
      <w:pPr>
        <w:pStyle w:val="Textonotapie"/>
        <w:jc w:val="both"/>
        <w:rPr>
          <w:rFonts w:ascii="Verdana" w:hAnsi="Verdana"/>
          <w:sz w:val="16"/>
          <w:szCs w:val="16"/>
        </w:rPr>
      </w:pPr>
      <w:r w:rsidRPr="004C10F9">
        <w:rPr>
          <w:rStyle w:val="Refdenotaalpie"/>
          <w:rFonts w:ascii="Verdana" w:hAnsi="Verdana"/>
          <w:sz w:val="16"/>
          <w:szCs w:val="16"/>
        </w:rPr>
        <w:footnoteRef/>
      </w:r>
      <w:r w:rsidRPr="004C10F9">
        <w:rPr>
          <w:rFonts w:ascii="Verdana" w:hAnsi="Verdana"/>
          <w:sz w:val="16"/>
          <w:szCs w:val="16"/>
        </w:rPr>
        <w:t xml:space="preserve"> En adelante, el Estado</w:t>
      </w:r>
      <w:r w:rsidR="00DF1F41" w:rsidRPr="004C10F9">
        <w:rPr>
          <w:rFonts w:ascii="Verdana" w:hAnsi="Verdana"/>
          <w:sz w:val="16"/>
          <w:szCs w:val="16"/>
        </w:rPr>
        <w:t>.</w:t>
      </w:r>
    </w:p>
    <w:p w:rsidR="00DF1F41" w:rsidRPr="004C10F9" w:rsidRDefault="00DF1F41" w:rsidP="009F67C3">
      <w:pPr>
        <w:pStyle w:val="Textonotapie"/>
        <w:jc w:val="both"/>
        <w:rPr>
          <w:rFonts w:ascii="Verdana" w:hAnsi="Verdana"/>
          <w:sz w:val="16"/>
          <w:szCs w:val="16"/>
        </w:rPr>
      </w:pPr>
    </w:p>
  </w:footnote>
  <w:footnote w:id="5">
    <w:p w:rsidR="00523D27" w:rsidRPr="004C10F9" w:rsidRDefault="00523D27" w:rsidP="009F67C3">
      <w:pPr>
        <w:pStyle w:val="Textonotapie"/>
        <w:jc w:val="both"/>
        <w:rPr>
          <w:rFonts w:ascii="Verdana" w:hAnsi="Verdana"/>
          <w:sz w:val="16"/>
          <w:szCs w:val="16"/>
        </w:rPr>
      </w:pPr>
      <w:r w:rsidRPr="004C10F9">
        <w:rPr>
          <w:rStyle w:val="Refdenotaalpie"/>
          <w:rFonts w:ascii="Verdana" w:hAnsi="Verdana"/>
          <w:sz w:val="16"/>
          <w:szCs w:val="16"/>
        </w:rPr>
        <w:footnoteRef/>
      </w:r>
      <w:r w:rsidRPr="004C10F9">
        <w:rPr>
          <w:rFonts w:ascii="Verdana" w:hAnsi="Verdana"/>
          <w:sz w:val="16"/>
          <w:szCs w:val="16"/>
        </w:rPr>
        <w:t xml:space="preserve"> En adelante, la Convención</w:t>
      </w:r>
      <w:r w:rsidR="00DF1F41" w:rsidRPr="004C10F9">
        <w:rPr>
          <w:rFonts w:ascii="Verdana" w:hAnsi="Verdana"/>
          <w:sz w:val="16"/>
          <w:szCs w:val="16"/>
        </w:rPr>
        <w:t>.</w:t>
      </w:r>
    </w:p>
    <w:p w:rsidR="00DF1F41" w:rsidRPr="004C10F9" w:rsidRDefault="00DF1F41" w:rsidP="009F67C3">
      <w:pPr>
        <w:pStyle w:val="Textonotapie"/>
        <w:jc w:val="both"/>
        <w:rPr>
          <w:rFonts w:ascii="Verdana" w:hAnsi="Verdana"/>
          <w:sz w:val="16"/>
          <w:szCs w:val="16"/>
        </w:rPr>
      </w:pPr>
    </w:p>
  </w:footnote>
  <w:footnote w:id="6">
    <w:p w:rsidR="00523D27" w:rsidRPr="004C10F9" w:rsidRDefault="00523D27" w:rsidP="009F67C3">
      <w:pPr>
        <w:spacing w:after="0" w:line="240" w:lineRule="auto"/>
        <w:jc w:val="both"/>
        <w:rPr>
          <w:rFonts w:ascii="Verdana" w:hAnsi="Verdana"/>
          <w:i/>
          <w:sz w:val="16"/>
          <w:szCs w:val="16"/>
          <w:lang w:val="es-ES"/>
        </w:rPr>
      </w:pPr>
      <w:r w:rsidRPr="004C10F9">
        <w:rPr>
          <w:rStyle w:val="Refdenotaalpie"/>
          <w:rFonts w:ascii="Verdana" w:hAnsi="Verdana"/>
          <w:sz w:val="16"/>
          <w:szCs w:val="16"/>
        </w:rPr>
        <w:footnoteRef/>
      </w:r>
      <w:r w:rsidRPr="004C10F9">
        <w:rPr>
          <w:rFonts w:ascii="Verdana" w:hAnsi="Verdana"/>
          <w:sz w:val="16"/>
          <w:szCs w:val="16"/>
        </w:rPr>
        <w:t xml:space="preserve"> Art.6</w:t>
      </w:r>
      <w:r w:rsidR="00D03BBC">
        <w:rPr>
          <w:rFonts w:ascii="Verdana" w:hAnsi="Verdana"/>
          <w:sz w:val="16"/>
          <w:szCs w:val="16"/>
        </w:rPr>
        <w:t>2</w:t>
      </w:r>
      <w:r w:rsidRPr="004C10F9">
        <w:rPr>
          <w:rFonts w:ascii="Verdana" w:hAnsi="Verdana"/>
          <w:sz w:val="16"/>
          <w:szCs w:val="16"/>
        </w:rPr>
        <w:t xml:space="preserve"> de la Convención</w:t>
      </w:r>
      <w:r w:rsidRPr="004C10F9">
        <w:rPr>
          <w:rFonts w:ascii="Verdana" w:hAnsi="Verdana"/>
          <w:i/>
          <w:sz w:val="16"/>
          <w:szCs w:val="16"/>
        </w:rPr>
        <w:t>: “</w:t>
      </w:r>
      <w:r w:rsidRPr="004C10F9">
        <w:rPr>
          <w:rFonts w:ascii="Verdana" w:hAnsi="Verdana"/>
          <w:i/>
          <w:sz w:val="16"/>
          <w:szCs w:val="16"/>
          <w:lang w:val="es-ES"/>
        </w:rPr>
        <w:t>1. 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w:t>
      </w:r>
    </w:p>
    <w:p w:rsidR="00523D27" w:rsidRPr="004C10F9" w:rsidRDefault="00523D27" w:rsidP="009F67C3">
      <w:pPr>
        <w:spacing w:after="0" w:line="240" w:lineRule="auto"/>
        <w:jc w:val="both"/>
        <w:rPr>
          <w:rFonts w:ascii="Verdana" w:hAnsi="Verdana"/>
          <w:i/>
          <w:sz w:val="16"/>
          <w:szCs w:val="16"/>
          <w:lang w:val="es-ES"/>
        </w:rPr>
      </w:pPr>
      <w:r w:rsidRPr="004C10F9">
        <w:rPr>
          <w:rFonts w:ascii="Verdana" w:hAnsi="Verdana"/>
          <w:i/>
          <w:sz w:val="16"/>
          <w:szCs w:val="16"/>
          <w:lang w:val="es-ES"/>
        </w:rPr>
        <w:t xml:space="preserve"> 2. La declaración puede ser hecha incondicionalmente, o bajo condición de reciprocidad, por un plazo determinado o para casos específicos. Deberá ser presentada al Secretario General de la Organización, quien transmitirá copias de la misma a los otros Estados miembros de la Organización y al Secretario de la Corte.</w:t>
      </w:r>
    </w:p>
    <w:p w:rsidR="00523D27" w:rsidRPr="004C10F9" w:rsidRDefault="00523D27" w:rsidP="009F67C3">
      <w:pPr>
        <w:spacing w:after="0" w:line="240" w:lineRule="auto"/>
        <w:jc w:val="both"/>
        <w:rPr>
          <w:rFonts w:ascii="Verdana" w:hAnsi="Verdana"/>
          <w:i/>
          <w:sz w:val="16"/>
          <w:szCs w:val="16"/>
          <w:lang w:val="es-ES"/>
        </w:rPr>
      </w:pPr>
      <w:r w:rsidRPr="004C10F9">
        <w:rPr>
          <w:rFonts w:ascii="Verdana" w:hAnsi="Verdana"/>
          <w:i/>
          <w:sz w:val="16"/>
          <w:szCs w:val="16"/>
          <w:lang w:val="es-ES"/>
        </w:rPr>
        <w:t xml:space="preserve"> 3.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r w:rsidR="00D03BBC">
        <w:rPr>
          <w:rFonts w:ascii="Verdana" w:hAnsi="Verdana"/>
          <w:i/>
          <w:sz w:val="16"/>
          <w:szCs w:val="16"/>
          <w:lang w:val="es-ES"/>
        </w:rPr>
        <w:t>”</w:t>
      </w:r>
      <w:r w:rsidRPr="004C10F9">
        <w:rPr>
          <w:rFonts w:ascii="Verdana" w:hAnsi="Verdana"/>
          <w:i/>
          <w:sz w:val="16"/>
          <w:szCs w:val="16"/>
          <w:lang w:val="es-ES"/>
        </w:rPr>
        <w:t>.</w:t>
      </w:r>
    </w:p>
    <w:p w:rsidR="00523D27" w:rsidRPr="004C10F9" w:rsidRDefault="00523D27" w:rsidP="009F67C3">
      <w:pPr>
        <w:spacing w:after="0" w:line="240" w:lineRule="auto"/>
        <w:jc w:val="both"/>
        <w:rPr>
          <w:rFonts w:ascii="Verdana" w:hAnsi="Verdana"/>
          <w:sz w:val="16"/>
          <w:szCs w:val="16"/>
          <w:lang w:val="es-ES"/>
        </w:rPr>
      </w:pPr>
      <w:r w:rsidRPr="004C10F9">
        <w:rPr>
          <w:rFonts w:ascii="Verdana" w:hAnsi="Verdana"/>
          <w:sz w:val="16"/>
          <w:szCs w:val="16"/>
          <w:lang w:val="es-ES"/>
        </w:rPr>
        <w:t>En lo sucesivo, cuando se haga referencia a un artículo sin indicar más, se entenderá que es a uno de la Convención.</w:t>
      </w:r>
    </w:p>
    <w:p w:rsidR="00DF1F41" w:rsidRPr="004C10F9" w:rsidRDefault="00DF1F41" w:rsidP="009F67C3">
      <w:pPr>
        <w:spacing w:after="0" w:line="240" w:lineRule="auto"/>
        <w:jc w:val="both"/>
        <w:rPr>
          <w:rFonts w:ascii="Verdana" w:hAnsi="Verdana"/>
          <w:sz w:val="16"/>
          <w:szCs w:val="16"/>
          <w:lang w:val="es-ES"/>
        </w:rPr>
      </w:pPr>
    </w:p>
  </w:footnote>
  <w:footnote w:id="7">
    <w:p w:rsidR="00523D27" w:rsidRPr="004C10F9" w:rsidRDefault="00523D27" w:rsidP="009F67C3">
      <w:pPr>
        <w:pStyle w:val="Textonotapie"/>
        <w:jc w:val="both"/>
        <w:rPr>
          <w:rFonts w:ascii="Verdana" w:hAnsi="Verdana"/>
          <w:sz w:val="16"/>
          <w:szCs w:val="16"/>
        </w:rPr>
      </w:pPr>
      <w:r w:rsidRPr="004C10F9">
        <w:rPr>
          <w:rStyle w:val="Refdenotaalpie"/>
          <w:rFonts w:ascii="Verdana" w:hAnsi="Verdana"/>
          <w:sz w:val="16"/>
          <w:szCs w:val="16"/>
        </w:rPr>
        <w:footnoteRef/>
      </w:r>
      <w:r w:rsidRPr="004C10F9">
        <w:rPr>
          <w:rFonts w:ascii="Verdana" w:hAnsi="Verdana"/>
          <w:sz w:val="16"/>
          <w:szCs w:val="16"/>
        </w:rPr>
        <w:t xml:space="preserve"> En adelante, la Convención de Viena.</w:t>
      </w:r>
    </w:p>
    <w:p w:rsidR="00DF1F41" w:rsidRPr="004C10F9" w:rsidRDefault="00DF1F41" w:rsidP="009F67C3">
      <w:pPr>
        <w:pStyle w:val="Textonotapie"/>
        <w:jc w:val="both"/>
        <w:rPr>
          <w:rFonts w:ascii="Verdana" w:hAnsi="Verdana"/>
          <w:sz w:val="16"/>
          <w:szCs w:val="16"/>
        </w:rPr>
      </w:pPr>
    </w:p>
  </w:footnote>
  <w:footnote w:id="8">
    <w:p w:rsidR="00523D27" w:rsidRPr="004C10F9" w:rsidRDefault="00523D27" w:rsidP="009F67C3">
      <w:pPr>
        <w:pStyle w:val="Textonotapie"/>
        <w:jc w:val="both"/>
        <w:rPr>
          <w:rFonts w:ascii="Verdana" w:hAnsi="Verdana"/>
          <w:sz w:val="16"/>
          <w:szCs w:val="16"/>
          <w:lang w:val="es-ES"/>
        </w:rPr>
      </w:pPr>
      <w:r w:rsidRPr="004C10F9">
        <w:rPr>
          <w:rStyle w:val="Refdenotaalpie"/>
          <w:rFonts w:ascii="Verdana" w:hAnsi="Verdana"/>
          <w:sz w:val="16"/>
          <w:szCs w:val="16"/>
        </w:rPr>
        <w:footnoteRef/>
      </w:r>
      <w:r w:rsidRPr="004C10F9">
        <w:rPr>
          <w:rFonts w:ascii="Verdana" w:hAnsi="Verdana"/>
          <w:sz w:val="16"/>
          <w:szCs w:val="16"/>
          <w:lang w:val="es-ES"/>
        </w:rPr>
        <w:t xml:space="preserve"> Art.67</w:t>
      </w:r>
      <w:r w:rsidR="0099186C" w:rsidRPr="004C10F9">
        <w:rPr>
          <w:rFonts w:ascii="Verdana" w:hAnsi="Verdana"/>
          <w:sz w:val="16"/>
          <w:szCs w:val="16"/>
          <w:lang w:val="es-ES"/>
        </w:rPr>
        <w:t>, primera frase,</w:t>
      </w:r>
      <w:r w:rsidRPr="004C10F9">
        <w:rPr>
          <w:rFonts w:ascii="Verdana" w:hAnsi="Verdana"/>
          <w:sz w:val="16"/>
          <w:szCs w:val="16"/>
          <w:lang w:val="es-ES"/>
        </w:rPr>
        <w:t xml:space="preserve"> de la Convenc</w:t>
      </w:r>
      <w:r w:rsidR="0099186C" w:rsidRPr="004C10F9">
        <w:rPr>
          <w:rFonts w:ascii="Verdana" w:hAnsi="Verdana"/>
          <w:sz w:val="16"/>
          <w:szCs w:val="16"/>
          <w:lang w:val="es-ES"/>
        </w:rPr>
        <w:t>ión</w:t>
      </w:r>
      <w:r w:rsidRPr="004C10F9">
        <w:rPr>
          <w:rFonts w:ascii="Verdana" w:hAnsi="Verdana"/>
          <w:sz w:val="16"/>
          <w:szCs w:val="16"/>
          <w:lang w:val="es-ES"/>
        </w:rPr>
        <w:t>: “</w:t>
      </w:r>
      <w:r w:rsidRPr="00CB0A3A">
        <w:rPr>
          <w:rFonts w:ascii="Verdana" w:hAnsi="Verdana"/>
          <w:i/>
          <w:sz w:val="16"/>
          <w:szCs w:val="16"/>
          <w:lang w:val="es-ES"/>
        </w:rPr>
        <w:t>El fallo de la Cor</w:t>
      </w:r>
      <w:r w:rsidR="0099186C" w:rsidRPr="00CB0A3A">
        <w:rPr>
          <w:rFonts w:ascii="Verdana" w:hAnsi="Verdana"/>
          <w:i/>
          <w:sz w:val="16"/>
          <w:szCs w:val="16"/>
          <w:lang w:val="es-ES"/>
        </w:rPr>
        <w:t>te será definitivo e inapelable</w:t>
      </w:r>
      <w:r w:rsidRPr="004C10F9">
        <w:rPr>
          <w:rFonts w:ascii="Verdana" w:hAnsi="Verdana"/>
          <w:sz w:val="16"/>
          <w:szCs w:val="16"/>
          <w:lang w:val="es-ES"/>
        </w:rPr>
        <w:t>.”</w:t>
      </w:r>
    </w:p>
    <w:p w:rsidR="0099186C" w:rsidRPr="004C10F9" w:rsidRDefault="0099186C" w:rsidP="009F67C3">
      <w:pPr>
        <w:pStyle w:val="Textonotapie"/>
        <w:jc w:val="both"/>
        <w:rPr>
          <w:rFonts w:ascii="Verdana" w:hAnsi="Verdana"/>
          <w:sz w:val="16"/>
          <w:szCs w:val="16"/>
          <w:lang w:val="es-ES"/>
        </w:rPr>
      </w:pPr>
    </w:p>
  </w:footnote>
  <w:footnote w:id="9">
    <w:p w:rsidR="004A1036" w:rsidRPr="004C10F9" w:rsidRDefault="0099186C" w:rsidP="009F67C3">
      <w:pPr>
        <w:spacing w:after="0" w:line="240" w:lineRule="auto"/>
        <w:jc w:val="both"/>
        <w:rPr>
          <w:rFonts w:ascii="Verdana" w:hAnsi="Verdana"/>
          <w:sz w:val="16"/>
          <w:szCs w:val="16"/>
          <w:lang w:val="es-ES"/>
        </w:rPr>
      </w:pPr>
      <w:r w:rsidRPr="004C10F9">
        <w:rPr>
          <w:rStyle w:val="Refdenotaalpie"/>
          <w:rFonts w:ascii="Verdana" w:hAnsi="Verdana"/>
          <w:sz w:val="16"/>
          <w:szCs w:val="16"/>
        </w:rPr>
        <w:footnoteRef/>
      </w:r>
      <w:r w:rsidRPr="004C10F9">
        <w:rPr>
          <w:rFonts w:ascii="Verdana" w:hAnsi="Verdana"/>
          <w:sz w:val="16"/>
          <w:szCs w:val="16"/>
        </w:rPr>
        <w:t xml:space="preserve"> </w:t>
      </w:r>
      <w:r w:rsidR="004A1036" w:rsidRPr="004C10F9">
        <w:rPr>
          <w:rFonts w:ascii="Verdana" w:hAnsi="Verdana"/>
          <w:sz w:val="16"/>
          <w:szCs w:val="16"/>
          <w:lang w:val="es-ES"/>
        </w:rPr>
        <w:t>Especialmente en los Votos relativos a “</w:t>
      </w:r>
      <w:r w:rsidR="004A1036" w:rsidRPr="004C10F9">
        <w:rPr>
          <w:rFonts w:ascii="Verdana" w:hAnsi="Verdana"/>
          <w:i/>
          <w:sz w:val="16"/>
          <w:szCs w:val="16"/>
          <w:lang w:val="es-ES"/>
        </w:rPr>
        <w:t>Medidas Provisionales respecto de la República de Colombia, Caso Gutiérrez Soler Vs. Colombia</w:t>
      </w:r>
      <w:r w:rsidR="004A1036" w:rsidRPr="004C10F9">
        <w:rPr>
          <w:rFonts w:ascii="Verdana" w:hAnsi="Verdana"/>
          <w:sz w:val="16"/>
          <w:szCs w:val="16"/>
          <w:lang w:val="es-ES"/>
        </w:rPr>
        <w:t>”, de 30 de junio de 2011; “</w:t>
      </w:r>
      <w:r w:rsidR="004A1036" w:rsidRPr="004C10F9">
        <w:rPr>
          <w:rFonts w:ascii="Verdana" w:hAnsi="Verdana"/>
          <w:i/>
          <w:sz w:val="16"/>
          <w:szCs w:val="16"/>
          <w:lang w:val="es-ES"/>
        </w:rPr>
        <w:t>Medidas Provisionales respecto de los Estados Unidos Mexicanos, Caso Rosendo Cantú y otra Vs. México</w:t>
      </w:r>
      <w:r w:rsidR="004A1036" w:rsidRPr="004C10F9">
        <w:rPr>
          <w:rFonts w:ascii="Verdana" w:hAnsi="Verdana"/>
          <w:sz w:val="16"/>
          <w:szCs w:val="16"/>
          <w:lang w:val="es-ES"/>
        </w:rPr>
        <w:t>”, de 1 de julio de 2011; “</w:t>
      </w:r>
      <w:r w:rsidR="004A1036" w:rsidRPr="004C10F9">
        <w:rPr>
          <w:rFonts w:ascii="Verdana" w:hAnsi="Verdana"/>
          <w:i/>
          <w:sz w:val="16"/>
          <w:szCs w:val="16"/>
          <w:lang w:val="es-ES"/>
        </w:rPr>
        <w:t xml:space="preserve">Medidas Provisionales respecto de la República de Honduras, Caso </w:t>
      </w:r>
      <w:proofErr w:type="spellStart"/>
      <w:r w:rsidR="004A1036" w:rsidRPr="004C10F9">
        <w:rPr>
          <w:rFonts w:ascii="Verdana" w:hAnsi="Verdana"/>
          <w:i/>
          <w:sz w:val="16"/>
          <w:szCs w:val="16"/>
          <w:lang w:val="es-ES"/>
        </w:rPr>
        <w:t>Kawas</w:t>
      </w:r>
      <w:proofErr w:type="spellEnd"/>
      <w:r w:rsidR="004A1036" w:rsidRPr="004C10F9">
        <w:rPr>
          <w:rFonts w:ascii="Verdana" w:hAnsi="Verdana"/>
          <w:i/>
          <w:sz w:val="16"/>
          <w:szCs w:val="16"/>
          <w:lang w:val="es-ES"/>
        </w:rPr>
        <w:t xml:space="preserve"> Fernández Vs. Honduras</w:t>
      </w:r>
      <w:r w:rsidR="004A1036" w:rsidRPr="004C10F9">
        <w:rPr>
          <w:rFonts w:ascii="Verdana" w:hAnsi="Verdana"/>
          <w:sz w:val="16"/>
          <w:szCs w:val="16"/>
          <w:lang w:val="es-ES"/>
        </w:rPr>
        <w:t>”, de 5 de julio de 2011; “</w:t>
      </w:r>
      <w:r w:rsidR="004A1036" w:rsidRPr="004C10F9">
        <w:rPr>
          <w:rFonts w:ascii="Verdana" w:hAnsi="Verdana"/>
          <w:i/>
          <w:sz w:val="16"/>
          <w:szCs w:val="16"/>
          <w:lang w:val="es-ES"/>
        </w:rPr>
        <w:t>Caso Pacheco Teruel y otros respecto de Honduras</w:t>
      </w:r>
      <w:r w:rsidR="004A1036" w:rsidRPr="004C10F9">
        <w:rPr>
          <w:rFonts w:ascii="Verdana" w:hAnsi="Verdana"/>
          <w:sz w:val="16"/>
          <w:szCs w:val="16"/>
          <w:lang w:val="es-ES"/>
        </w:rPr>
        <w:t>”, de 13 de febrero de 2013; “</w:t>
      </w:r>
      <w:r w:rsidR="004A1036" w:rsidRPr="004C10F9">
        <w:rPr>
          <w:rFonts w:ascii="Verdana" w:hAnsi="Verdana"/>
          <w:i/>
          <w:sz w:val="16"/>
          <w:szCs w:val="16"/>
          <w:lang w:val="es-ES"/>
        </w:rPr>
        <w:t>Caso Familia Barrios respecto de Venezuela</w:t>
      </w:r>
      <w:r w:rsidR="004A1036" w:rsidRPr="004C10F9">
        <w:rPr>
          <w:rFonts w:ascii="Verdana" w:hAnsi="Verdana"/>
          <w:sz w:val="16"/>
          <w:szCs w:val="16"/>
          <w:lang w:val="es-ES"/>
        </w:rPr>
        <w:t>”, de 13 de febrero de 2013; “</w:t>
      </w:r>
      <w:r w:rsidR="004A1036" w:rsidRPr="004C10F9">
        <w:rPr>
          <w:rFonts w:ascii="Verdana" w:hAnsi="Verdana"/>
          <w:i/>
          <w:sz w:val="16"/>
          <w:szCs w:val="16"/>
          <w:lang w:val="es-ES"/>
        </w:rPr>
        <w:t xml:space="preserve">Asunto Millacura </w:t>
      </w:r>
      <w:proofErr w:type="spellStart"/>
      <w:r w:rsidR="004A1036" w:rsidRPr="004C10F9">
        <w:rPr>
          <w:rFonts w:ascii="Verdana" w:hAnsi="Verdana"/>
          <w:i/>
          <w:sz w:val="16"/>
          <w:szCs w:val="16"/>
          <w:lang w:val="es-ES"/>
        </w:rPr>
        <w:t>Llaipén</w:t>
      </w:r>
      <w:proofErr w:type="spellEnd"/>
      <w:r w:rsidR="004A1036" w:rsidRPr="004C10F9">
        <w:rPr>
          <w:rFonts w:ascii="Verdana" w:hAnsi="Verdana"/>
          <w:i/>
          <w:sz w:val="16"/>
          <w:szCs w:val="16"/>
          <w:lang w:val="es-ES"/>
        </w:rPr>
        <w:t xml:space="preserve"> y otros respecto de Argentina</w:t>
      </w:r>
      <w:r w:rsidR="004A1036" w:rsidRPr="004C10F9">
        <w:rPr>
          <w:rFonts w:ascii="Verdana" w:hAnsi="Verdana"/>
          <w:sz w:val="16"/>
          <w:szCs w:val="16"/>
          <w:lang w:val="es-ES"/>
        </w:rPr>
        <w:t>”, de 13 de febrero de 2013; “</w:t>
      </w:r>
      <w:r w:rsidR="004A1036" w:rsidRPr="004C10F9">
        <w:rPr>
          <w:rFonts w:ascii="Verdana" w:hAnsi="Verdana"/>
          <w:i/>
          <w:sz w:val="16"/>
          <w:szCs w:val="16"/>
          <w:lang w:val="es-ES"/>
        </w:rPr>
        <w:t>Caso Familia Barrios respecto de Venezuela”,</w:t>
      </w:r>
      <w:r w:rsidR="004A1036" w:rsidRPr="004C10F9">
        <w:rPr>
          <w:rFonts w:ascii="Verdana" w:hAnsi="Verdana"/>
          <w:sz w:val="16"/>
          <w:szCs w:val="16"/>
          <w:lang w:val="es-ES"/>
        </w:rPr>
        <w:t xml:space="preserve"> de 30 de mayo de 2013; “</w:t>
      </w:r>
      <w:r w:rsidR="004A1036" w:rsidRPr="004C10F9">
        <w:rPr>
          <w:rFonts w:ascii="Verdana" w:hAnsi="Verdana"/>
          <w:i/>
          <w:sz w:val="16"/>
          <w:szCs w:val="16"/>
          <w:lang w:val="es-ES"/>
        </w:rPr>
        <w:t>Caso Artavia Murillo y otros ("Fecundación in vitro") Vs. Costa Rica</w:t>
      </w:r>
      <w:r w:rsidR="004A1036" w:rsidRPr="004C10F9">
        <w:rPr>
          <w:rFonts w:ascii="Verdana" w:hAnsi="Verdana"/>
          <w:sz w:val="16"/>
          <w:szCs w:val="16"/>
          <w:lang w:val="es-ES"/>
        </w:rPr>
        <w:t>”, de 31 de marzo de 2014; “</w:t>
      </w:r>
      <w:r w:rsidR="004A1036" w:rsidRPr="004C10F9">
        <w:rPr>
          <w:rFonts w:ascii="Verdana" w:hAnsi="Verdana"/>
          <w:i/>
          <w:sz w:val="16"/>
          <w:szCs w:val="16"/>
          <w:lang w:val="es-ES"/>
        </w:rPr>
        <w:t>Medidas Provisionales respecto de El Salvador, Caso García Prieto y otros</w:t>
      </w:r>
      <w:r w:rsidR="004A1036" w:rsidRPr="004C10F9">
        <w:rPr>
          <w:rFonts w:ascii="Verdana" w:hAnsi="Verdana"/>
          <w:sz w:val="16"/>
          <w:szCs w:val="16"/>
          <w:lang w:val="es-ES"/>
        </w:rPr>
        <w:t>”, de 26 enero de 2015; “</w:t>
      </w:r>
      <w:proofErr w:type="spellStart"/>
      <w:r w:rsidR="004A1036" w:rsidRPr="004C10F9">
        <w:rPr>
          <w:rFonts w:ascii="Verdana" w:hAnsi="Verdana"/>
          <w:bCs/>
          <w:i/>
          <w:sz w:val="16"/>
          <w:szCs w:val="16"/>
          <w:lang w:val="es-ES"/>
        </w:rPr>
        <w:t>Bácama</w:t>
      </w:r>
      <w:proofErr w:type="spellEnd"/>
      <w:r w:rsidR="004A1036" w:rsidRPr="004C10F9">
        <w:rPr>
          <w:rFonts w:ascii="Verdana" w:hAnsi="Verdana"/>
          <w:bCs/>
          <w:i/>
          <w:sz w:val="16"/>
          <w:szCs w:val="16"/>
          <w:lang w:val="es-ES"/>
        </w:rPr>
        <w:t xml:space="preserve"> Velásquez Vs. Guatemala, Medidas</w:t>
      </w:r>
      <w:r w:rsidR="004A1036" w:rsidRPr="004C10F9">
        <w:rPr>
          <w:rFonts w:ascii="Verdana" w:hAnsi="Verdana"/>
          <w:b/>
          <w:bCs/>
          <w:i/>
          <w:sz w:val="16"/>
          <w:szCs w:val="16"/>
          <w:lang w:val="es-ES"/>
        </w:rPr>
        <w:t xml:space="preserve"> </w:t>
      </w:r>
      <w:r w:rsidR="004A1036" w:rsidRPr="004C10F9">
        <w:rPr>
          <w:rFonts w:ascii="Verdana" w:hAnsi="Verdana"/>
          <w:bCs/>
          <w:i/>
          <w:sz w:val="16"/>
          <w:szCs w:val="16"/>
          <w:lang w:val="es-ES"/>
        </w:rPr>
        <w:t>Provisionales</w:t>
      </w:r>
      <w:r w:rsidR="004A1036" w:rsidRPr="004C10F9">
        <w:rPr>
          <w:rFonts w:ascii="Verdana" w:hAnsi="Verdana"/>
          <w:bCs/>
          <w:sz w:val="16"/>
          <w:szCs w:val="16"/>
          <w:lang w:val="es-ES"/>
        </w:rPr>
        <w:t>”, 31 de agosto de 2016</w:t>
      </w:r>
      <w:r w:rsidR="004A1036" w:rsidRPr="004C10F9">
        <w:rPr>
          <w:rFonts w:ascii="Verdana" w:hAnsi="Verdana"/>
          <w:sz w:val="16"/>
          <w:szCs w:val="16"/>
          <w:lang w:val="es-ES"/>
        </w:rPr>
        <w:t>y en el escrito de “</w:t>
      </w:r>
      <w:r w:rsidR="004A1036" w:rsidRPr="004C10F9">
        <w:rPr>
          <w:rFonts w:ascii="Verdana" w:hAnsi="Verdana"/>
          <w:i/>
          <w:sz w:val="16"/>
          <w:szCs w:val="16"/>
          <w:lang w:val="es-ES"/>
        </w:rPr>
        <w:t>Constancia de Queja</w:t>
      </w:r>
      <w:r w:rsidR="004A1036" w:rsidRPr="004C10F9">
        <w:rPr>
          <w:rFonts w:ascii="Verdana" w:hAnsi="Verdana"/>
          <w:sz w:val="16"/>
          <w:szCs w:val="16"/>
          <w:lang w:val="es-ES"/>
        </w:rPr>
        <w:t>” que, relacionado con las primeras Resoluciones mencionadas, presentó ante la Corte el 17 de agosto de 2011.</w:t>
      </w:r>
    </w:p>
    <w:p w:rsidR="0099186C" w:rsidRPr="004C10F9" w:rsidRDefault="0099186C" w:rsidP="009F67C3">
      <w:pPr>
        <w:pStyle w:val="Textonotapie"/>
        <w:jc w:val="both"/>
        <w:rPr>
          <w:rFonts w:ascii="Verdana" w:hAnsi="Verdana"/>
          <w:sz w:val="16"/>
          <w:szCs w:val="16"/>
        </w:rPr>
      </w:pPr>
    </w:p>
  </w:footnote>
  <w:footnote w:id="10">
    <w:p w:rsidR="00CB0A3A" w:rsidRDefault="00CB0A3A" w:rsidP="009F67C3">
      <w:pPr>
        <w:pStyle w:val="Textonotapie"/>
        <w:jc w:val="both"/>
        <w:rPr>
          <w:rFonts w:ascii="Verdana" w:hAnsi="Verdana" w:cs="Verdana"/>
          <w:b/>
          <w:i/>
          <w:sz w:val="16"/>
          <w:szCs w:val="16"/>
        </w:rPr>
      </w:pPr>
      <w:r w:rsidRPr="00817E2E">
        <w:rPr>
          <w:rStyle w:val="Refdenotaalpie"/>
          <w:rFonts w:ascii="Verdana" w:hAnsi="Verdana"/>
          <w:i/>
          <w:sz w:val="16"/>
          <w:szCs w:val="16"/>
        </w:rPr>
        <w:footnoteRef/>
      </w:r>
      <w:r w:rsidRPr="00817E2E">
        <w:rPr>
          <w:rFonts w:ascii="Verdana" w:hAnsi="Verdana"/>
          <w:i/>
          <w:sz w:val="16"/>
          <w:szCs w:val="16"/>
        </w:rPr>
        <w:t xml:space="preserve"> Párr.50.</w:t>
      </w:r>
      <w:r w:rsidRPr="00817E2E">
        <w:rPr>
          <w:rFonts w:ascii="Verdana" w:hAnsi="Verdana"/>
          <w:i/>
          <w:sz w:val="16"/>
          <w:szCs w:val="16"/>
          <w:lang w:val="es-ES"/>
        </w:rPr>
        <w:t xml:space="preserve"> </w:t>
      </w:r>
      <w:r w:rsidR="00817E2E" w:rsidRPr="00817E2E">
        <w:rPr>
          <w:rFonts w:ascii="Verdana" w:hAnsi="Verdana"/>
          <w:i/>
          <w:sz w:val="16"/>
          <w:szCs w:val="16"/>
          <w:lang w:val="es-ES"/>
        </w:rPr>
        <w:t>“</w:t>
      </w:r>
      <w:r w:rsidRPr="00817E2E">
        <w:rPr>
          <w:rFonts w:ascii="Verdana" w:hAnsi="Verdana"/>
          <w:i/>
          <w:sz w:val="16"/>
          <w:szCs w:val="16"/>
          <w:lang w:val="es-ES"/>
        </w:rPr>
        <w:t>De aprobarse la referida iniciativa de</w:t>
      </w:r>
      <w:r w:rsidRPr="00817E2E">
        <w:rPr>
          <w:rFonts w:ascii="Verdana" w:hAnsi="Verdana"/>
          <w:i/>
          <w:color w:val="1D2129"/>
          <w:sz w:val="16"/>
          <w:szCs w:val="16"/>
          <w:lang w:val="es-ES"/>
        </w:rPr>
        <w:t xml:space="preserve"> ley </w:t>
      </w:r>
      <w:r w:rsidR="00FD57CF">
        <w:rPr>
          <w:rFonts w:ascii="Verdana" w:hAnsi="Verdana" w:cs="Verdana"/>
          <w:i/>
          <w:sz w:val="16"/>
          <w:szCs w:val="16"/>
        </w:rPr>
        <w:t>5377</w:t>
      </w:r>
      <w:r w:rsidRPr="00817E2E">
        <w:rPr>
          <w:rFonts w:ascii="Verdana" w:hAnsi="Verdana" w:cs="Verdana"/>
          <w:i/>
          <w:sz w:val="16"/>
          <w:szCs w:val="16"/>
        </w:rPr>
        <w:t xml:space="preserve"> el Estado incurriría en una afectación de la cosa juzgada internacional respecto de las Sentencias dictadas por esta Corte en los casos</w:t>
      </w:r>
      <w:r w:rsidRPr="00817E2E">
        <w:rPr>
          <w:rFonts w:ascii="Verdana" w:hAnsi="Verdana" w:cs="Verdana"/>
          <w:b/>
          <w:i/>
          <w:sz w:val="16"/>
          <w:szCs w:val="16"/>
        </w:rPr>
        <w:t xml:space="preserve"> </w:t>
      </w:r>
      <w:r w:rsidRPr="00817E2E">
        <w:rPr>
          <w:rStyle w:val="Textoennegrita"/>
          <w:rFonts w:ascii="Verdana" w:hAnsi="Verdana"/>
          <w:b w:val="0"/>
          <w:i/>
          <w:color w:val="000000"/>
          <w:sz w:val="16"/>
          <w:szCs w:val="16"/>
          <w:shd w:val="clear" w:color="auto" w:fill="FFFFFF"/>
        </w:rPr>
        <w:t xml:space="preserve">Bámaca Velásquez, Myrna Mack Chang, Maritza Urrutia, Masacre Plan de Sánchez, Molina </w:t>
      </w:r>
      <w:proofErr w:type="spellStart"/>
      <w:r w:rsidRPr="00817E2E">
        <w:rPr>
          <w:rStyle w:val="Textoennegrita"/>
          <w:rFonts w:ascii="Verdana" w:hAnsi="Verdana"/>
          <w:b w:val="0"/>
          <w:i/>
          <w:color w:val="000000"/>
          <w:sz w:val="16"/>
          <w:szCs w:val="16"/>
          <w:shd w:val="clear" w:color="auto" w:fill="FFFFFF"/>
        </w:rPr>
        <w:t>Theissen</w:t>
      </w:r>
      <w:proofErr w:type="spellEnd"/>
      <w:r w:rsidRPr="00817E2E">
        <w:rPr>
          <w:rStyle w:val="Textoennegrita"/>
          <w:rFonts w:ascii="Verdana" w:hAnsi="Verdana"/>
          <w:b w:val="0"/>
          <w:i/>
          <w:color w:val="000000"/>
          <w:sz w:val="16"/>
          <w:szCs w:val="16"/>
          <w:shd w:val="clear" w:color="auto" w:fill="FFFFFF"/>
        </w:rPr>
        <w:t xml:space="preserve">, Carpio </w:t>
      </w:r>
      <w:proofErr w:type="spellStart"/>
      <w:r w:rsidRPr="00817E2E">
        <w:rPr>
          <w:rStyle w:val="Textoennegrita"/>
          <w:rFonts w:ascii="Verdana" w:hAnsi="Verdana"/>
          <w:b w:val="0"/>
          <w:i/>
          <w:color w:val="000000"/>
          <w:sz w:val="16"/>
          <w:szCs w:val="16"/>
          <w:shd w:val="clear" w:color="auto" w:fill="FFFFFF"/>
        </w:rPr>
        <w:t>Nicolle</w:t>
      </w:r>
      <w:proofErr w:type="spellEnd"/>
      <w:r w:rsidRPr="00817E2E">
        <w:rPr>
          <w:rStyle w:val="Textoennegrita"/>
          <w:rFonts w:ascii="Verdana" w:hAnsi="Verdana"/>
          <w:b w:val="0"/>
          <w:i/>
          <w:color w:val="000000"/>
          <w:sz w:val="16"/>
          <w:szCs w:val="16"/>
          <w:shd w:val="clear" w:color="auto" w:fill="FFFFFF"/>
        </w:rPr>
        <w:t xml:space="preserve"> y otros, </w:t>
      </w:r>
      <w:proofErr w:type="spellStart"/>
      <w:r w:rsidRPr="00817E2E">
        <w:rPr>
          <w:rStyle w:val="Textoennegrita"/>
          <w:rFonts w:ascii="Verdana" w:hAnsi="Verdana"/>
          <w:b w:val="0"/>
          <w:i/>
          <w:color w:val="000000"/>
          <w:sz w:val="16"/>
          <w:szCs w:val="16"/>
          <w:shd w:val="clear" w:color="auto" w:fill="FFFFFF"/>
        </w:rPr>
        <w:t>Tiu</w:t>
      </w:r>
      <w:proofErr w:type="spellEnd"/>
      <w:r w:rsidRPr="00817E2E">
        <w:rPr>
          <w:rStyle w:val="Textoennegrita"/>
          <w:rFonts w:ascii="Verdana" w:hAnsi="Verdana"/>
          <w:b w:val="0"/>
          <w:i/>
          <w:color w:val="000000"/>
          <w:sz w:val="16"/>
          <w:szCs w:val="16"/>
          <w:shd w:val="clear" w:color="auto" w:fill="FFFFFF"/>
        </w:rPr>
        <w:t xml:space="preserve"> </w:t>
      </w:r>
      <w:proofErr w:type="spellStart"/>
      <w:r w:rsidRPr="00817E2E">
        <w:rPr>
          <w:rStyle w:val="Textoennegrita"/>
          <w:rFonts w:ascii="Verdana" w:hAnsi="Verdana"/>
          <w:b w:val="0"/>
          <w:i/>
          <w:color w:val="000000"/>
          <w:sz w:val="16"/>
          <w:szCs w:val="16"/>
          <w:shd w:val="clear" w:color="auto" w:fill="FFFFFF"/>
        </w:rPr>
        <w:t>Tojín</w:t>
      </w:r>
      <w:proofErr w:type="spellEnd"/>
      <w:r w:rsidRPr="00817E2E">
        <w:rPr>
          <w:rStyle w:val="Textoennegrita"/>
          <w:rFonts w:ascii="Verdana" w:hAnsi="Verdana"/>
          <w:b w:val="0"/>
          <w:i/>
          <w:color w:val="000000"/>
          <w:sz w:val="16"/>
          <w:szCs w:val="16"/>
          <w:shd w:val="clear" w:color="auto" w:fill="FFFFFF"/>
        </w:rPr>
        <w:t xml:space="preserve">, Masacre de Las Dos Erres, </w:t>
      </w:r>
      <w:proofErr w:type="spellStart"/>
      <w:r w:rsidRPr="00817E2E">
        <w:rPr>
          <w:rStyle w:val="Textoennegrita"/>
          <w:rFonts w:ascii="Verdana" w:hAnsi="Verdana"/>
          <w:b w:val="0"/>
          <w:i/>
          <w:color w:val="000000"/>
          <w:sz w:val="16"/>
          <w:szCs w:val="16"/>
          <w:shd w:val="clear" w:color="auto" w:fill="FFFFFF"/>
        </w:rPr>
        <w:t>Chitay</w:t>
      </w:r>
      <w:proofErr w:type="spellEnd"/>
      <w:r w:rsidRPr="00817E2E">
        <w:rPr>
          <w:rStyle w:val="Textoennegrita"/>
          <w:rFonts w:ascii="Verdana" w:hAnsi="Verdana"/>
          <w:b w:val="0"/>
          <w:i/>
          <w:color w:val="000000"/>
          <w:sz w:val="16"/>
          <w:szCs w:val="16"/>
          <w:shd w:val="clear" w:color="auto" w:fill="FFFFFF"/>
        </w:rPr>
        <w:t xml:space="preserve"> </w:t>
      </w:r>
      <w:proofErr w:type="spellStart"/>
      <w:r w:rsidRPr="00817E2E">
        <w:rPr>
          <w:rStyle w:val="Textoennegrita"/>
          <w:rFonts w:ascii="Verdana" w:hAnsi="Verdana"/>
          <w:b w:val="0"/>
          <w:i/>
          <w:color w:val="000000"/>
          <w:sz w:val="16"/>
          <w:szCs w:val="16"/>
          <w:shd w:val="clear" w:color="auto" w:fill="FFFFFF"/>
        </w:rPr>
        <w:t>Nech</w:t>
      </w:r>
      <w:proofErr w:type="spellEnd"/>
      <w:r w:rsidRPr="00817E2E">
        <w:rPr>
          <w:rStyle w:val="Textoennegrita"/>
          <w:rFonts w:ascii="Verdana" w:hAnsi="Verdana"/>
          <w:b w:val="0"/>
          <w:i/>
          <w:color w:val="000000"/>
          <w:sz w:val="16"/>
          <w:szCs w:val="16"/>
          <w:shd w:val="clear" w:color="auto" w:fill="FFFFFF"/>
        </w:rPr>
        <w:t xml:space="preserve"> y otros, Masacres de Río Negro, Gudiel Álvarez y otros ("Diario Militar"), García y familiares, Miembros de la Aldea </w:t>
      </w:r>
      <w:proofErr w:type="spellStart"/>
      <w:r w:rsidRPr="00817E2E">
        <w:rPr>
          <w:rStyle w:val="Textoennegrita"/>
          <w:rFonts w:ascii="Verdana" w:hAnsi="Verdana"/>
          <w:b w:val="0"/>
          <w:i/>
          <w:color w:val="000000"/>
          <w:sz w:val="16"/>
          <w:szCs w:val="16"/>
          <w:shd w:val="clear" w:color="auto" w:fill="FFFFFF"/>
        </w:rPr>
        <w:t>Chichupac</w:t>
      </w:r>
      <w:proofErr w:type="spellEnd"/>
      <w:r w:rsidRPr="00817E2E">
        <w:rPr>
          <w:rStyle w:val="Textoennegrita"/>
          <w:rFonts w:ascii="Verdana" w:hAnsi="Verdana"/>
          <w:b w:val="0"/>
          <w:i/>
          <w:color w:val="000000"/>
          <w:sz w:val="16"/>
          <w:szCs w:val="16"/>
          <w:shd w:val="clear" w:color="auto" w:fill="FFFFFF"/>
        </w:rPr>
        <w:t xml:space="preserve"> y comunidades vecinas del Municipio de Rabinal y </w:t>
      </w:r>
      <w:proofErr w:type="spellStart"/>
      <w:r w:rsidRPr="00817E2E">
        <w:rPr>
          <w:rStyle w:val="Textoennegrita"/>
          <w:rFonts w:ascii="Verdana" w:hAnsi="Verdana"/>
          <w:b w:val="0"/>
          <w:i/>
          <w:color w:val="000000"/>
          <w:sz w:val="16"/>
          <w:szCs w:val="16"/>
          <w:shd w:val="clear" w:color="auto" w:fill="FFFFFF"/>
        </w:rPr>
        <w:t>Coc</w:t>
      </w:r>
      <w:proofErr w:type="spellEnd"/>
      <w:r w:rsidRPr="00817E2E">
        <w:rPr>
          <w:rStyle w:val="Textoennegrita"/>
          <w:rFonts w:ascii="Verdana" w:hAnsi="Verdana"/>
          <w:b w:val="0"/>
          <w:i/>
          <w:color w:val="000000"/>
          <w:sz w:val="16"/>
          <w:szCs w:val="16"/>
          <w:shd w:val="clear" w:color="auto" w:fill="FFFFFF"/>
        </w:rPr>
        <w:t xml:space="preserve"> Max y otros (Masacre de </w:t>
      </w:r>
      <w:proofErr w:type="spellStart"/>
      <w:r w:rsidRPr="00817E2E">
        <w:rPr>
          <w:rStyle w:val="Textoennegrita"/>
          <w:rFonts w:ascii="Verdana" w:hAnsi="Verdana"/>
          <w:b w:val="0"/>
          <w:i/>
          <w:color w:val="000000"/>
          <w:sz w:val="16"/>
          <w:szCs w:val="16"/>
          <w:shd w:val="clear" w:color="auto" w:fill="FFFFFF"/>
        </w:rPr>
        <w:t>Xamán</w:t>
      </w:r>
      <w:proofErr w:type="spellEnd"/>
      <w:r w:rsidRPr="00817E2E">
        <w:rPr>
          <w:rStyle w:val="Textoennegrita"/>
          <w:rFonts w:ascii="Verdana" w:hAnsi="Verdana"/>
          <w:b w:val="0"/>
          <w:i/>
          <w:color w:val="000000"/>
          <w:sz w:val="16"/>
          <w:szCs w:val="16"/>
          <w:shd w:val="clear" w:color="auto" w:fill="FFFFFF"/>
        </w:rPr>
        <w:t>)</w:t>
      </w:r>
      <w:r w:rsidRPr="00817E2E">
        <w:rPr>
          <w:rFonts w:ascii="Verdana" w:hAnsi="Verdana" w:cs="Verdana"/>
          <w:b/>
          <w:i/>
          <w:sz w:val="16"/>
          <w:szCs w:val="16"/>
        </w:rPr>
        <w:t xml:space="preserve">, </w:t>
      </w:r>
      <w:r w:rsidRPr="00817E2E">
        <w:rPr>
          <w:rFonts w:ascii="Verdana" w:hAnsi="Verdana" w:cs="Verdana"/>
          <w:i/>
          <w:sz w:val="16"/>
          <w:szCs w:val="16"/>
        </w:rPr>
        <w:t xml:space="preserve">en los que se ordenó la investigación, juzgamiento y. eventual, sanción de graves violaciones a los derechos humanos cometidas o </w:t>
      </w:r>
      <w:proofErr w:type="spellStart"/>
      <w:r w:rsidRPr="00817E2E">
        <w:rPr>
          <w:rFonts w:ascii="Verdana" w:hAnsi="Verdana" w:cs="Verdana"/>
          <w:i/>
          <w:sz w:val="16"/>
          <w:szCs w:val="16"/>
        </w:rPr>
        <w:t>alegadamente</w:t>
      </w:r>
      <w:proofErr w:type="spellEnd"/>
      <w:r w:rsidRPr="00817E2E">
        <w:rPr>
          <w:rFonts w:ascii="Verdana" w:hAnsi="Verdana" w:cs="Verdana"/>
          <w:i/>
          <w:sz w:val="16"/>
          <w:szCs w:val="16"/>
        </w:rPr>
        <w:t xml:space="preserve"> ocurridas durante el conflicto armado interno</w:t>
      </w:r>
      <w:r w:rsidR="00817E2E" w:rsidRPr="00817E2E">
        <w:rPr>
          <w:rFonts w:ascii="Verdana" w:hAnsi="Verdana" w:cs="Verdana"/>
          <w:i/>
          <w:sz w:val="16"/>
          <w:szCs w:val="16"/>
        </w:rPr>
        <w:t>.”</w:t>
      </w:r>
    </w:p>
    <w:p w:rsidR="00817E2E" w:rsidRPr="00817E2E" w:rsidRDefault="00817E2E" w:rsidP="009F67C3">
      <w:pPr>
        <w:pStyle w:val="Textonotapie"/>
        <w:jc w:val="both"/>
        <w:rPr>
          <w:rFonts w:ascii="Verdana" w:hAnsi="Verdana"/>
          <w:b/>
          <w:i/>
          <w:sz w:val="16"/>
          <w:szCs w:val="16"/>
        </w:rPr>
      </w:pPr>
    </w:p>
  </w:footnote>
  <w:footnote w:id="11">
    <w:p w:rsidR="00523D27" w:rsidRPr="004C10F9" w:rsidRDefault="00523D27" w:rsidP="009F67C3">
      <w:pPr>
        <w:pStyle w:val="Textonotapie"/>
        <w:jc w:val="both"/>
        <w:rPr>
          <w:rFonts w:ascii="Verdana" w:hAnsi="Verdana"/>
          <w:i/>
          <w:sz w:val="16"/>
          <w:szCs w:val="16"/>
          <w:lang w:val="es-ES"/>
        </w:rPr>
      </w:pPr>
      <w:r w:rsidRPr="004C10F9">
        <w:rPr>
          <w:rStyle w:val="Refdenotaalpie"/>
          <w:rFonts w:ascii="Verdana" w:hAnsi="Verdana"/>
          <w:sz w:val="16"/>
          <w:szCs w:val="16"/>
        </w:rPr>
        <w:footnoteRef/>
      </w:r>
      <w:r w:rsidRPr="004C10F9">
        <w:rPr>
          <w:rFonts w:ascii="Verdana" w:hAnsi="Verdana"/>
          <w:sz w:val="16"/>
          <w:szCs w:val="16"/>
          <w:lang w:val="es-ES"/>
        </w:rPr>
        <w:t xml:space="preserve"> Art. 66.1 del Reglamento de la Corte: “</w:t>
      </w:r>
      <w:r w:rsidRPr="004C10F9">
        <w:rPr>
          <w:rFonts w:ascii="Verdana" w:hAnsi="Verdana"/>
          <w:i/>
          <w:sz w:val="16"/>
          <w:szCs w:val="16"/>
          <w:lang w:val="es-ES"/>
        </w:rPr>
        <w:t>Cuando en la sentencia de fondo no se hubiere decidido específicamente sobre reparaciones y costas, la Corte fijará la oportunidad para su posterior decisión y determinará el procedimiento.”</w:t>
      </w:r>
    </w:p>
    <w:p w:rsidR="00DF1F41" w:rsidRPr="004C10F9" w:rsidRDefault="00DF1F41" w:rsidP="009F67C3">
      <w:pPr>
        <w:pStyle w:val="Textonotapie"/>
        <w:jc w:val="both"/>
        <w:rPr>
          <w:rFonts w:ascii="Verdana" w:hAnsi="Verdana"/>
          <w:sz w:val="16"/>
          <w:szCs w:val="16"/>
          <w:lang w:val="es-ES"/>
        </w:rPr>
      </w:pPr>
    </w:p>
  </w:footnote>
  <w:footnote w:id="12">
    <w:p w:rsidR="00523D27" w:rsidRPr="004C10F9" w:rsidRDefault="00523D27" w:rsidP="009F67C3">
      <w:pPr>
        <w:pStyle w:val="Textonotapie"/>
        <w:jc w:val="both"/>
        <w:rPr>
          <w:rFonts w:ascii="Verdana" w:hAnsi="Verdana"/>
          <w:sz w:val="16"/>
          <w:szCs w:val="16"/>
          <w:lang w:val="es-ES"/>
        </w:rPr>
      </w:pPr>
      <w:r w:rsidRPr="004C10F9">
        <w:rPr>
          <w:rStyle w:val="Refdenotaalpie"/>
          <w:rFonts w:ascii="Verdana" w:hAnsi="Verdana"/>
          <w:sz w:val="16"/>
          <w:szCs w:val="16"/>
        </w:rPr>
        <w:footnoteRef/>
      </w:r>
      <w:r w:rsidRPr="004C10F9">
        <w:rPr>
          <w:rFonts w:ascii="Verdana" w:hAnsi="Verdana"/>
          <w:sz w:val="16"/>
          <w:szCs w:val="16"/>
          <w:lang w:val="es-ES"/>
        </w:rPr>
        <w:t xml:space="preserve"> Art.67, s</w:t>
      </w:r>
      <w:r w:rsidR="00DF1F41" w:rsidRPr="004C10F9">
        <w:rPr>
          <w:rFonts w:ascii="Verdana" w:hAnsi="Verdana"/>
          <w:sz w:val="16"/>
          <w:szCs w:val="16"/>
          <w:lang w:val="es-ES"/>
        </w:rPr>
        <w:t>egunda frase, de la Convención</w:t>
      </w:r>
      <w:r w:rsidR="004A1036" w:rsidRPr="004C10F9">
        <w:rPr>
          <w:rFonts w:ascii="Verdana" w:hAnsi="Verdana"/>
          <w:sz w:val="16"/>
          <w:szCs w:val="16"/>
          <w:lang w:val="es-ES"/>
        </w:rPr>
        <w:t>,</w:t>
      </w:r>
    </w:p>
    <w:p w:rsidR="00523D27" w:rsidRPr="004C10F9" w:rsidRDefault="00523D27" w:rsidP="009F67C3">
      <w:pPr>
        <w:pStyle w:val="Textonotapie"/>
        <w:jc w:val="both"/>
        <w:rPr>
          <w:rFonts w:ascii="Verdana" w:hAnsi="Verdana"/>
          <w:i/>
          <w:sz w:val="16"/>
          <w:szCs w:val="16"/>
          <w:lang w:val="es-ES"/>
        </w:rPr>
      </w:pPr>
      <w:r w:rsidRPr="004C10F9">
        <w:rPr>
          <w:rFonts w:ascii="Verdana" w:hAnsi="Verdana"/>
          <w:sz w:val="16"/>
          <w:szCs w:val="16"/>
          <w:lang w:val="es-ES"/>
        </w:rPr>
        <w:t>Ar</w:t>
      </w:r>
      <w:r w:rsidR="00DF1F41" w:rsidRPr="004C10F9">
        <w:rPr>
          <w:rFonts w:ascii="Verdana" w:hAnsi="Verdana"/>
          <w:sz w:val="16"/>
          <w:szCs w:val="16"/>
          <w:lang w:val="es-ES"/>
        </w:rPr>
        <w:t>t.68 del Reglamento de la Corte</w:t>
      </w:r>
      <w:r w:rsidRPr="004C10F9">
        <w:rPr>
          <w:rFonts w:ascii="Verdana" w:hAnsi="Verdana"/>
          <w:sz w:val="16"/>
          <w:szCs w:val="16"/>
          <w:lang w:val="es-ES"/>
        </w:rPr>
        <w:t>: “</w:t>
      </w:r>
      <w:r w:rsidRPr="004C10F9">
        <w:rPr>
          <w:rFonts w:ascii="Verdana" w:hAnsi="Verdana"/>
          <w:i/>
          <w:sz w:val="16"/>
          <w:szCs w:val="16"/>
          <w:lang w:val="es-ES"/>
        </w:rPr>
        <w:t>1. 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rsidR="00523D27" w:rsidRPr="004C10F9" w:rsidRDefault="00523D27" w:rsidP="009F67C3">
      <w:pPr>
        <w:pStyle w:val="Textonotapie"/>
        <w:jc w:val="both"/>
        <w:rPr>
          <w:rFonts w:ascii="Verdana" w:hAnsi="Verdana"/>
          <w:i/>
          <w:sz w:val="16"/>
          <w:szCs w:val="16"/>
          <w:lang w:val="es-ES"/>
        </w:rPr>
      </w:pPr>
      <w:r w:rsidRPr="004C10F9">
        <w:rPr>
          <w:rFonts w:ascii="Verdana" w:hAnsi="Verdana"/>
          <w:i/>
          <w:sz w:val="16"/>
          <w:szCs w:val="16"/>
          <w:lang w:val="es-ES"/>
        </w:rPr>
        <w:t>2. El Secretario comunicará la solicitud de interpretación a los demás intervinientes en el caso, y les invitará a presentar las alegaciones escritas que estimen pertinentes dentro del plazo fijado por la Presidencia.</w:t>
      </w:r>
    </w:p>
    <w:p w:rsidR="00523D27" w:rsidRPr="004C10F9" w:rsidRDefault="00523D27" w:rsidP="009F67C3">
      <w:pPr>
        <w:pStyle w:val="Textonotapie"/>
        <w:jc w:val="both"/>
        <w:rPr>
          <w:rFonts w:ascii="Verdana" w:hAnsi="Verdana"/>
          <w:i/>
          <w:sz w:val="16"/>
          <w:szCs w:val="16"/>
          <w:lang w:val="es-ES"/>
        </w:rPr>
      </w:pPr>
      <w:r w:rsidRPr="004C10F9">
        <w:rPr>
          <w:rFonts w:ascii="Verdana" w:hAnsi="Verdana"/>
          <w:i/>
          <w:sz w:val="16"/>
          <w:szCs w:val="16"/>
          <w:lang w:val="es-ES"/>
        </w:rPr>
        <w:t>3. Para el examen de la solicitud de interpretación la Corte se reunirá, si es posible, con la composición que tenía al dictar la sentencia respectiva. Sin embargo, en caso de fallecimiento, renuncia, impedimento, excusa o inhabilitación, se sustituirá al Juez de que se trate según el artículo 17 de este Reglamento.</w:t>
      </w:r>
    </w:p>
    <w:p w:rsidR="00523D27" w:rsidRPr="004C10F9" w:rsidRDefault="00523D27" w:rsidP="009F67C3">
      <w:pPr>
        <w:pStyle w:val="Textonotapie"/>
        <w:jc w:val="both"/>
        <w:rPr>
          <w:rFonts w:ascii="Verdana" w:hAnsi="Verdana"/>
          <w:i/>
          <w:sz w:val="16"/>
          <w:szCs w:val="16"/>
          <w:lang w:val="es-ES"/>
        </w:rPr>
      </w:pPr>
      <w:r w:rsidRPr="004C10F9">
        <w:rPr>
          <w:rFonts w:ascii="Verdana" w:hAnsi="Verdana"/>
          <w:i/>
          <w:sz w:val="16"/>
          <w:szCs w:val="16"/>
          <w:lang w:val="es-ES"/>
        </w:rPr>
        <w:t>4. La solicitud de interpretación no suspenderá la ejecución de la sentencia.</w:t>
      </w:r>
    </w:p>
    <w:p w:rsidR="00523D27" w:rsidRPr="004C10F9" w:rsidRDefault="00523D27" w:rsidP="009F67C3">
      <w:pPr>
        <w:pStyle w:val="Textonotapie"/>
        <w:jc w:val="both"/>
        <w:rPr>
          <w:rFonts w:ascii="Verdana" w:hAnsi="Verdana"/>
          <w:i/>
          <w:sz w:val="16"/>
          <w:szCs w:val="16"/>
          <w:lang w:val="es-ES"/>
        </w:rPr>
      </w:pPr>
      <w:r w:rsidRPr="004C10F9">
        <w:rPr>
          <w:rFonts w:ascii="Verdana" w:hAnsi="Verdana"/>
          <w:i/>
          <w:sz w:val="16"/>
          <w:szCs w:val="16"/>
          <w:lang w:val="es-ES"/>
        </w:rPr>
        <w:t>5. La Corte determinará el procedimiento que se seguirá y resolverá mediante una sentencia.”</w:t>
      </w:r>
    </w:p>
  </w:footnote>
  <w:footnote w:id="13">
    <w:p w:rsidR="00523D27" w:rsidRPr="004C10F9" w:rsidRDefault="00523D27" w:rsidP="009F67C3">
      <w:pPr>
        <w:pStyle w:val="Textonotapie"/>
        <w:jc w:val="both"/>
        <w:rPr>
          <w:rFonts w:ascii="Verdana" w:hAnsi="Verdana"/>
          <w:sz w:val="16"/>
          <w:szCs w:val="16"/>
          <w:lang w:val="es-ES"/>
        </w:rPr>
      </w:pPr>
      <w:r w:rsidRPr="004C10F9">
        <w:rPr>
          <w:rStyle w:val="Refdenotaalpie"/>
          <w:rFonts w:ascii="Verdana" w:hAnsi="Verdana"/>
          <w:i/>
          <w:sz w:val="16"/>
          <w:szCs w:val="16"/>
        </w:rPr>
        <w:footnoteRef/>
      </w:r>
      <w:r w:rsidRPr="004C10F9">
        <w:rPr>
          <w:rFonts w:ascii="Verdana" w:hAnsi="Verdana"/>
          <w:i/>
          <w:sz w:val="16"/>
          <w:szCs w:val="16"/>
          <w:lang w:val="es-ES"/>
        </w:rPr>
        <w:t xml:space="preserve"> Art. 76 del Reglamento de la Corte: “La Corte podrá, a iniciativa propia o a solicitud de parte, presentada dentro del mes siguiente a la notificación de la sentencia o resolución de que se trate, rectificar errores notorios, de edición o de cálculo. De efectuarse alguna rectificación la Corte la notificará a la Comisión, a las víctimas o sus representantes, al Estado demandado y, en su caso, al Estado demandante</w:t>
      </w:r>
      <w:r w:rsidRPr="004C10F9">
        <w:rPr>
          <w:rFonts w:ascii="Verdana" w:hAnsi="Verdana"/>
          <w:sz w:val="16"/>
          <w:szCs w:val="16"/>
          <w:lang w:val="es-ES"/>
        </w:rPr>
        <w:t>.”</w:t>
      </w:r>
    </w:p>
    <w:p w:rsidR="00DF1F41" w:rsidRPr="004C10F9" w:rsidRDefault="00DF1F41" w:rsidP="009F67C3">
      <w:pPr>
        <w:pStyle w:val="Textonotapie"/>
        <w:jc w:val="both"/>
        <w:rPr>
          <w:rFonts w:ascii="Verdana" w:hAnsi="Verdana"/>
          <w:sz w:val="16"/>
          <w:szCs w:val="16"/>
          <w:lang w:val="es-ES"/>
        </w:rPr>
      </w:pPr>
      <w:r w:rsidRPr="004C10F9">
        <w:rPr>
          <w:rFonts w:ascii="Verdana" w:hAnsi="Verdana"/>
          <w:sz w:val="16"/>
          <w:szCs w:val="16"/>
          <w:lang w:val="es-ES"/>
        </w:rPr>
        <w:t>En adelante, el Reglamento.</w:t>
      </w:r>
    </w:p>
    <w:p w:rsidR="00DF1F41" w:rsidRPr="004C10F9" w:rsidRDefault="00DF1F41" w:rsidP="009F67C3">
      <w:pPr>
        <w:pStyle w:val="Textonotapie"/>
        <w:jc w:val="both"/>
        <w:rPr>
          <w:rFonts w:ascii="Verdana" w:hAnsi="Verdana"/>
          <w:sz w:val="16"/>
          <w:szCs w:val="16"/>
          <w:lang w:val="es-ES"/>
        </w:rPr>
      </w:pPr>
    </w:p>
  </w:footnote>
  <w:footnote w:id="14">
    <w:p w:rsidR="00523D27" w:rsidRPr="004C10F9" w:rsidRDefault="00523D27" w:rsidP="009F67C3">
      <w:pPr>
        <w:pStyle w:val="Textonotapie"/>
        <w:jc w:val="both"/>
        <w:rPr>
          <w:rFonts w:ascii="Verdana" w:hAnsi="Verdana"/>
          <w:i/>
          <w:sz w:val="16"/>
          <w:szCs w:val="16"/>
          <w:lang w:val="es-ES"/>
        </w:rPr>
      </w:pPr>
      <w:r w:rsidRPr="004C10F9">
        <w:rPr>
          <w:rStyle w:val="Refdenotaalpie"/>
          <w:rFonts w:ascii="Verdana" w:hAnsi="Verdana"/>
          <w:sz w:val="16"/>
          <w:szCs w:val="16"/>
        </w:rPr>
        <w:footnoteRef/>
      </w:r>
      <w:r w:rsidR="00817E2E">
        <w:rPr>
          <w:rFonts w:ascii="Verdana" w:hAnsi="Verdana"/>
          <w:sz w:val="16"/>
          <w:szCs w:val="16"/>
          <w:lang w:val="es-ES"/>
        </w:rPr>
        <w:t xml:space="preserve"> Art.69 del Reglamento: </w:t>
      </w:r>
      <w:r w:rsidRPr="004C10F9">
        <w:rPr>
          <w:rFonts w:ascii="Verdana" w:hAnsi="Verdana"/>
          <w:i/>
          <w:sz w:val="16"/>
          <w:szCs w:val="16"/>
          <w:lang w:val="es-ES"/>
        </w:rPr>
        <w:t>“1. La supervisión de las sentencias y demás dec</w:t>
      </w:r>
      <w:r w:rsidR="00817E2E">
        <w:rPr>
          <w:rFonts w:ascii="Verdana" w:hAnsi="Verdana"/>
          <w:i/>
          <w:sz w:val="16"/>
          <w:szCs w:val="16"/>
          <w:lang w:val="es-ES"/>
        </w:rPr>
        <w:t xml:space="preserve">isiones de la Corte se realizará </w:t>
      </w:r>
      <w:r w:rsidRPr="004C10F9">
        <w:rPr>
          <w:rFonts w:ascii="Verdana" w:hAnsi="Verdana"/>
          <w:i/>
          <w:sz w:val="16"/>
          <w:szCs w:val="16"/>
          <w:lang w:val="es-ES"/>
        </w:rPr>
        <w:t>mediante la presentación de informes estatales y de las correspondientes observaciones a dichos informes por parte de las víctimas o sus representantes. La Comisión deberá presentar observaciones al informe del Estado y a las observaciones de las víctimas o sus representantes.</w:t>
      </w:r>
    </w:p>
    <w:p w:rsidR="00523D27" w:rsidRPr="004C10F9" w:rsidRDefault="00523D27" w:rsidP="009F67C3">
      <w:pPr>
        <w:pStyle w:val="Textonotapie"/>
        <w:jc w:val="both"/>
        <w:rPr>
          <w:rFonts w:ascii="Verdana" w:hAnsi="Verdana"/>
          <w:i/>
          <w:sz w:val="16"/>
          <w:szCs w:val="16"/>
          <w:lang w:val="es-ES"/>
        </w:rPr>
      </w:pPr>
      <w:r w:rsidRPr="004C10F9">
        <w:rPr>
          <w:rFonts w:ascii="Verdana" w:hAnsi="Verdana"/>
          <w:i/>
          <w:sz w:val="16"/>
          <w:szCs w:val="16"/>
          <w:lang w:val="es-ES"/>
        </w:rPr>
        <w:t>2. La Corte podrá requerir a otras fuentes de información datos relevantes sobre el caso, que permitan apreciar el cumplimiento. Para los mismos efectos podrá también requerir los peritajes e informes que considere oportunos.</w:t>
      </w:r>
    </w:p>
    <w:p w:rsidR="00523D27" w:rsidRPr="004C10F9" w:rsidRDefault="00523D27" w:rsidP="009F67C3">
      <w:pPr>
        <w:pStyle w:val="Textonotapie"/>
        <w:jc w:val="both"/>
        <w:rPr>
          <w:rFonts w:ascii="Verdana" w:hAnsi="Verdana"/>
          <w:i/>
          <w:sz w:val="16"/>
          <w:szCs w:val="16"/>
          <w:lang w:val="es-ES"/>
        </w:rPr>
      </w:pPr>
      <w:r w:rsidRPr="004C10F9">
        <w:rPr>
          <w:rFonts w:ascii="Verdana" w:hAnsi="Verdana"/>
          <w:i/>
          <w:sz w:val="16"/>
          <w:szCs w:val="16"/>
          <w:lang w:val="es-ES"/>
        </w:rPr>
        <w:t>3. Cuando lo considere pertinente, el Tribunal podrá convocar al Estado y a los representantes de las víctimas a una audiencia para supervisar el cumplimiento de sus decisiones, y en ésta escuchará el parecer de la Comisión.</w:t>
      </w:r>
    </w:p>
    <w:p w:rsidR="00523D27" w:rsidRPr="004C10F9" w:rsidRDefault="00523D27" w:rsidP="009F67C3">
      <w:pPr>
        <w:pStyle w:val="Textonotapie"/>
        <w:jc w:val="both"/>
        <w:rPr>
          <w:rFonts w:ascii="Verdana" w:hAnsi="Verdana"/>
          <w:i/>
          <w:sz w:val="16"/>
          <w:szCs w:val="16"/>
          <w:lang w:val="es-ES"/>
        </w:rPr>
      </w:pPr>
      <w:r w:rsidRPr="004C10F9">
        <w:rPr>
          <w:rFonts w:ascii="Verdana" w:hAnsi="Verdana"/>
          <w:i/>
          <w:sz w:val="16"/>
          <w:szCs w:val="16"/>
          <w:lang w:val="es-ES"/>
        </w:rPr>
        <w:t>4. Una vez que el Tribunal cuente con la información pertinente, determinará el estado del cumplimiento de lo resuelto y emitirá las resoluciones que estime pertinentes.</w:t>
      </w:r>
    </w:p>
    <w:p w:rsidR="00523D27" w:rsidRPr="004C10F9" w:rsidRDefault="00523D27" w:rsidP="009F67C3">
      <w:pPr>
        <w:pStyle w:val="Textonotapie"/>
        <w:jc w:val="both"/>
        <w:rPr>
          <w:rFonts w:ascii="Verdana" w:hAnsi="Verdana"/>
          <w:sz w:val="16"/>
          <w:szCs w:val="16"/>
          <w:lang w:val="es-ES"/>
        </w:rPr>
      </w:pPr>
      <w:r w:rsidRPr="004C10F9">
        <w:rPr>
          <w:rFonts w:ascii="Verdana" w:hAnsi="Verdana"/>
          <w:i/>
          <w:sz w:val="16"/>
          <w:szCs w:val="16"/>
          <w:lang w:val="es-ES"/>
        </w:rPr>
        <w:t>5. Estas disposiciones se aplican también para casos no sometidos por la Comisión</w:t>
      </w:r>
      <w:r w:rsidRPr="004C10F9">
        <w:rPr>
          <w:rFonts w:ascii="Verdana" w:hAnsi="Verdana"/>
          <w:sz w:val="16"/>
          <w:szCs w:val="16"/>
          <w:lang w:val="es-ES"/>
        </w:rPr>
        <w:t>.”</w:t>
      </w:r>
    </w:p>
    <w:p w:rsidR="00DF1F41" w:rsidRPr="004C10F9" w:rsidRDefault="00DF1F41" w:rsidP="009F67C3">
      <w:pPr>
        <w:pStyle w:val="Textonotapie"/>
        <w:jc w:val="both"/>
        <w:rPr>
          <w:rFonts w:ascii="Verdana" w:hAnsi="Verdana"/>
          <w:sz w:val="16"/>
          <w:szCs w:val="16"/>
          <w:lang w:val="es-ES"/>
        </w:rPr>
      </w:pPr>
    </w:p>
  </w:footnote>
  <w:footnote w:id="15">
    <w:p w:rsidR="00523D27" w:rsidRPr="004C10F9" w:rsidRDefault="00523D27" w:rsidP="009F67C3">
      <w:pPr>
        <w:pStyle w:val="Textonotapie"/>
        <w:jc w:val="both"/>
        <w:rPr>
          <w:rFonts w:ascii="Verdana" w:hAnsi="Verdana"/>
          <w:i/>
          <w:sz w:val="16"/>
          <w:szCs w:val="16"/>
          <w:lang w:val="es-ES"/>
        </w:rPr>
      </w:pPr>
      <w:r w:rsidRPr="004C10F9">
        <w:rPr>
          <w:rStyle w:val="Refdenotaalpie"/>
          <w:rFonts w:ascii="Verdana" w:hAnsi="Verdana"/>
          <w:sz w:val="16"/>
          <w:szCs w:val="16"/>
        </w:rPr>
        <w:footnoteRef/>
      </w:r>
      <w:r w:rsidRPr="004C10F9">
        <w:rPr>
          <w:rFonts w:ascii="Verdana" w:hAnsi="Verdana"/>
          <w:sz w:val="16"/>
          <w:szCs w:val="16"/>
          <w:lang w:val="es-ES"/>
        </w:rPr>
        <w:t xml:space="preserve"> Art.65 de la Convención: “</w:t>
      </w:r>
      <w:r w:rsidRPr="004C10F9">
        <w:rPr>
          <w:rFonts w:ascii="Verdana" w:hAnsi="Verdana"/>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rsidR="00DF1F41" w:rsidRPr="00017910" w:rsidRDefault="00523D27" w:rsidP="009F67C3">
      <w:pPr>
        <w:pStyle w:val="Textonotapie"/>
        <w:jc w:val="both"/>
        <w:rPr>
          <w:rFonts w:ascii="Verdana" w:hAnsi="Verdana"/>
          <w:i/>
          <w:sz w:val="16"/>
          <w:szCs w:val="16"/>
          <w:lang w:val="es-ES"/>
        </w:rPr>
      </w:pPr>
      <w:r w:rsidRPr="004C10F9">
        <w:rPr>
          <w:rFonts w:ascii="Verdana" w:hAnsi="Verdana"/>
          <w:sz w:val="16"/>
          <w:szCs w:val="16"/>
          <w:lang w:val="es-ES"/>
        </w:rPr>
        <w:t>Art.30 del Estatuto de la Corte: “</w:t>
      </w:r>
      <w:r w:rsidRPr="004C10F9">
        <w:rPr>
          <w:rFonts w:ascii="Verdana" w:hAnsi="Verdana"/>
          <w:i/>
          <w:sz w:val="16"/>
          <w:szCs w:val="16"/>
          <w:lang w:val="es-ES"/>
        </w:rPr>
        <w:t>La Corte someterá a la Asamblea General de la OEA, en cada período ordinario de sesiones, un informe de su labor en el año anterior. Señalará los casos en que un Estado no haya dado cumplimiento a sus fallos. Podrá también someter a la Asamblea General de la OEA proposiciones o recomendaciones para el mejoramiento del sistema interamericano de derechos humanos, en lo relacionado con el trabajo de la Corte.”</w:t>
      </w:r>
    </w:p>
    <w:p w:rsidR="00131592" w:rsidRPr="004C10F9" w:rsidRDefault="00131592" w:rsidP="009F67C3">
      <w:pPr>
        <w:pStyle w:val="Textonotapie"/>
        <w:jc w:val="both"/>
        <w:rPr>
          <w:rFonts w:ascii="Verdana" w:hAnsi="Verdana"/>
          <w:sz w:val="16"/>
          <w:szCs w:val="16"/>
          <w:lang w:val="es-ES"/>
        </w:rPr>
      </w:pPr>
    </w:p>
  </w:footnote>
  <w:footnote w:id="16">
    <w:p w:rsidR="00523D27" w:rsidRPr="004C10F9" w:rsidRDefault="00523D27" w:rsidP="009F67C3">
      <w:pPr>
        <w:pStyle w:val="Textonotapie"/>
        <w:jc w:val="both"/>
        <w:rPr>
          <w:rFonts w:ascii="Verdana" w:hAnsi="Verdana"/>
          <w:sz w:val="16"/>
          <w:szCs w:val="16"/>
        </w:rPr>
      </w:pPr>
      <w:r w:rsidRPr="004C10F9">
        <w:rPr>
          <w:rStyle w:val="Refdenotaalpie"/>
          <w:rFonts w:ascii="Verdana" w:hAnsi="Verdana"/>
          <w:sz w:val="16"/>
          <w:szCs w:val="16"/>
        </w:rPr>
        <w:footnoteRef/>
      </w:r>
      <w:r w:rsidRPr="004C10F9">
        <w:rPr>
          <w:rFonts w:ascii="Verdana" w:hAnsi="Verdana"/>
          <w:sz w:val="16"/>
          <w:szCs w:val="16"/>
        </w:rPr>
        <w:t xml:space="preserve"> Párrafo 11, letras b) y c), y párrafos 12 y 13 de la Resolución.</w:t>
      </w:r>
    </w:p>
    <w:p w:rsidR="00523D27" w:rsidRPr="004C10F9" w:rsidRDefault="00523D27" w:rsidP="009F67C3">
      <w:pPr>
        <w:pStyle w:val="Textonotapie"/>
        <w:jc w:val="both"/>
        <w:rPr>
          <w:rFonts w:ascii="Verdana" w:hAnsi="Verdana"/>
          <w:sz w:val="16"/>
          <w:szCs w:val="16"/>
        </w:rPr>
      </w:pPr>
      <w:r w:rsidRPr="004C10F9">
        <w:rPr>
          <w:rFonts w:ascii="Verdana" w:hAnsi="Verdana"/>
          <w:sz w:val="16"/>
          <w:szCs w:val="16"/>
        </w:rPr>
        <w:t>En lo sucesivo, cuando se señale “párr.” o “</w:t>
      </w:r>
      <w:proofErr w:type="spellStart"/>
      <w:r w:rsidRPr="004C10F9">
        <w:rPr>
          <w:rFonts w:ascii="Verdana" w:hAnsi="Verdana"/>
          <w:sz w:val="16"/>
          <w:szCs w:val="16"/>
        </w:rPr>
        <w:t>párrs</w:t>
      </w:r>
      <w:proofErr w:type="spellEnd"/>
      <w:r w:rsidRPr="004C10F9">
        <w:rPr>
          <w:rFonts w:ascii="Verdana" w:hAnsi="Verdana"/>
          <w:sz w:val="16"/>
          <w:szCs w:val="16"/>
        </w:rPr>
        <w:t>”, se entenderá que es “párrafo” y “párrafos”, respectivamente, de la Resolución.</w:t>
      </w:r>
    </w:p>
    <w:p w:rsidR="004A1036" w:rsidRPr="004C10F9" w:rsidRDefault="004A1036" w:rsidP="009F67C3">
      <w:pPr>
        <w:pStyle w:val="Textonotapie"/>
        <w:jc w:val="both"/>
        <w:rPr>
          <w:rFonts w:ascii="Verdana" w:hAnsi="Verdana"/>
          <w:sz w:val="16"/>
          <w:szCs w:val="16"/>
        </w:rPr>
      </w:pPr>
    </w:p>
  </w:footnote>
  <w:footnote w:id="17">
    <w:p w:rsidR="00817E2E" w:rsidRDefault="00817E2E" w:rsidP="009F67C3">
      <w:pPr>
        <w:pStyle w:val="Textonotapie"/>
      </w:pPr>
      <w:r>
        <w:rPr>
          <w:rStyle w:val="Refdenotaalpie"/>
        </w:rPr>
        <w:footnoteRef/>
      </w:r>
      <w:r>
        <w:t xml:space="preserve"> Párr.14.</w:t>
      </w:r>
    </w:p>
    <w:p w:rsidR="00817E2E" w:rsidRDefault="00817E2E" w:rsidP="009F67C3">
      <w:pPr>
        <w:pStyle w:val="Textonotapie"/>
      </w:pPr>
    </w:p>
  </w:footnote>
  <w:footnote w:id="18">
    <w:p w:rsidR="00523D27" w:rsidRPr="004C10F9" w:rsidRDefault="00523D27" w:rsidP="009F67C3">
      <w:pPr>
        <w:pStyle w:val="Textonotapie"/>
        <w:jc w:val="both"/>
        <w:rPr>
          <w:rFonts w:ascii="Verdana" w:hAnsi="Verdana"/>
          <w:sz w:val="16"/>
          <w:szCs w:val="16"/>
        </w:rPr>
      </w:pPr>
      <w:r w:rsidRPr="004C10F9">
        <w:rPr>
          <w:rStyle w:val="Refdenotaalpie"/>
          <w:rFonts w:ascii="Verdana" w:hAnsi="Verdana"/>
          <w:sz w:val="16"/>
          <w:szCs w:val="16"/>
        </w:rPr>
        <w:footnoteRef/>
      </w:r>
      <w:r w:rsidR="00180EFE">
        <w:rPr>
          <w:rFonts w:ascii="Verdana" w:hAnsi="Verdana"/>
          <w:i/>
          <w:sz w:val="16"/>
          <w:szCs w:val="16"/>
        </w:rPr>
        <w:t xml:space="preserve"> </w:t>
      </w:r>
      <w:r w:rsidRPr="004C10F9">
        <w:rPr>
          <w:rFonts w:ascii="Verdana" w:hAnsi="Verdana"/>
          <w:sz w:val="16"/>
          <w:szCs w:val="16"/>
        </w:rPr>
        <w:t xml:space="preserve">Nota de </w:t>
      </w:r>
      <w:r w:rsidR="00DF1F41" w:rsidRPr="004C10F9">
        <w:rPr>
          <w:rFonts w:ascii="Verdana" w:hAnsi="Verdana"/>
          <w:sz w:val="16"/>
          <w:szCs w:val="16"/>
        </w:rPr>
        <w:t>pie</w:t>
      </w:r>
      <w:r w:rsidRPr="004C10F9">
        <w:rPr>
          <w:rFonts w:ascii="Verdana" w:hAnsi="Verdana"/>
          <w:sz w:val="16"/>
          <w:szCs w:val="16"/>
        </w:rPr>
        <w:t xml:space="preserve"> de página 15.</w:t>
      </w:r>
    </w:p>
    <w:p w:rsidR="00DF1F41" w:rsidRPr="004C10F9" w:rsidRDefault="00DF1F41" w:rsidP="009F67C3">
      <w:pPr>
        <w:pStyle w:val="Textonotapie"/>
        <w:jc w:val="both"/>
        <w:rPr>
          <w:rFonts w:ascii="Verdana" w:hAnsi="Verdana"/>
          <w:sz w:val="16"/>
          <w:szCs w:val="16"/>
        </w:rPr>
      </w:pPr>
    </w:p>
  </w:footnote>
  <w:footnote w:id="19">
    <w:p w:rsidR="00180EFE" w:rsidRPr="00180EFE" w:rsidRDefault="00180EFE" w:rsidP="009F67C3">
      <w:pPr>
        <w:spacing w:after="0" w:line="240" w:lineRule="auto"/>
        <w:jc w:val="both"/>
        <w:rPr>
          <w:rFonts w:ascii="Verdana" w:hAnsi="Verdana"/>
          <w:i/>
          <w:sz w:val="16"/>
          <w:szCs w:val="16"/>
          <w:lang w:val="es-ES"/>
        </w:rPr>
      </w:pPr>
      <w:r w:rsidRPr="00180EFE">
        <w:rPr>
          <w:rStyle w:val="Refdenotaalpie"/>
          <w:rFonts w:ascii="Verdana" w:hAnsi="Verdana"/>
          <w:i/>
          <w:sz w:val="16"/>
          <w:szCs w:val="16"/>
        </w:rPr>
        <w:footnoteRef/>
      </w:r>
      <w:r w:rsidRPr="00180EFE">
        <w:rPr>
          <w:rFonts w:ascii="Verdana" w:hAnsi="Verdana"/>
          <w:i/>
          <w:sz w:val="16"/>
          <w:szCs w:val="16"/>
        </w:rPr>
        <w:t xml:space="preserve"> Art.63.2: “</w:t>
      </w:r>
      <w:r w:rsidRPr="00180EFE">
        <w:rPr>
          <w:rFonts w:ascii="Verdana" w:hAnsi="Verdana"/>
          <w:i/>
          <w:sz w:val="16"/>
          <w:szCs w:val="16"/>
          <w:lang w:val="es-ES"/>
        </w:rPr>
        <w:t>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r>
        <w:rPr>
          <w:rFonts w:ascii="Verdana" w:hAnsi="Verdana"/>
          <w:i/>
          <w:sz w:val="16"/>
          <w:szCs w:val="16"/>
          <w:lang w:val="es-ES"/>
        </w:rPr>
        <w:t>”</w:t>
      </w:r>
    </w:p>
    <w:p w:rsidR="00180EFE" w:rsidRDefault="00180EFE" w:rsidP="009F67C3">
      <w:pPr>
        <w:pStyle w:val="Textonotapie"/>
      </w:pPr>
    </w:p>
  </w:footnote>
  <w:footnote w:id="20">
    <w:p w:rsidR="00523D27" w:rsidRPr="004C10F9" w:rsidRDefault="00523D27" w:rsidP="009F67C3">
      <w:pPr>
        <w:pStyle w:val="Textonotapie"/>
        <w:jc w:val="both"/>
        <w:rPr>
          <w:rFonts w:ascii="Verdana" w:hAnsi="Verdana"/>
          <w:sz w:val="16"/>
          <w:szCs w:val="16"/>
        </w:rPr>
      </w:pPr>
      <w:r w:rsidRPr="004C10F9">
        <w:rPr>
          <w:rStyle w:val="Refdenotaalpie"/>
          <w:rFonts w:ascii="Verdana" w:hAnsi="Verdana"/>
          <w:sz w:val="16"/>
          <w:szCs w:val="16"/>
        </w:rPr>
        <w:footnoteRef/>
      </w:r>
      <w:r w:rsidR="00180EFE">
        <w:rPr>
          <w:rFonts w:ascii="Verdana" w:hAnsi="Verdana"/>
          <w:sz w:val="16"/>
          <w:szCs w:val="16"/>
        </w:rPr>
        <w:t xml:space="preserve"> Párr.</w:t>
      </w:r>
      <w:r w:rsidRPr="004C10F9">
        <w:rPr>
          <w:rFonts w:ascii="Verdana" w:hAnsi="Verdana"/>
          <w:sz w:val="16"/>
          <w:szCs w:val="16"/>
        </w:rPr>
        <w:t xml:space="preserve">2 </w:t>
      </w:r>
      <w:r w:rsidR="00180EFE">
        <w:rPr>
          <w:rFonts w:ascii="Verdana" w:hAnsi="Verdana"/>
          <w:sz w:val="16"/>
          <w:szCs w:val="16"/>
        </w:rPr>
        <w:t xml:space="preserve">del Preámbulo </w:t>
      </w:r>
      <w:r w:rsidRPr="004C10F9">
        <w:rPr>
          <w:rFonts w:ascii="Verdana" w:hAnsi="Verdana"/>
          <w:sz w:val="16"/>
          <w:szCs w:val="16"/>
        </w:rPr>
        <w:t>de la Convención.</w:t>
      </w:r>
    </w:p>
    <w:p w:rsidR="00DF1F41" w:rsidRPr="004C10F9" w:rsidRDefault="00DF1F41" w:rsidP="009F67C3">
      <w:pPr>
        <w:pStyle w:val="Textonotapie"/>
        <w:jc w:val="both"/>
        <w:rPr>
          <w:rFonts w:ascii="Verdana" w:hAnsi="Verdana"/>
          <w:sz w:val="16"/>
          <w:szCs w:val="16"/>
        </w:rPr>
      </w:pPr>
    </w:p>
  </w:footnote>
  <w:footnote w:id="21">
    <w:p w:rsidR="00523D27" w:rsidRPr="004C10F9" w:rsidRDefault="00523D27" w:rsidP="009F67C3">
      <w:pPr>
        <w:pStyle w:val="Textonotapie"/>
        <w:jc w:val="both"/>
        <w:rPr>
          <w:rFonts w:ascii="Verdana" w:hAnsi="Verdana"/>
          <w:sz w:val="16"/>
          <w:szCs w:val="16"/>
        </w:rPr>
      </w:pPr>
      <w:r w:rsidRPr="004C10F9">
        <w:rPr>
          <w:rStyle w:val="Refdenotaalpie"/>
          <w:rFonts w:ascii="Verdana" w:hAnsi="Verdana"/>
          <w:sz w:val="16"/>
          <w:szCs w:val="16"/>
        </w:rPr>
        <w:footnoteRef/>
      </w:r>
      <w:r w:rsidRPr="004C10F9">
        <w:rPr>
          <w:rFonts w:ascii="Verdana" w:hAnsi="Verdana"/>
          <w:sz w:val="16"/>
          <w:szCs w:val="16"/>
        </w:rPr>
        <w:t xml:space="preserve"> En adelante, la Comisión.</w:t>
      </w:r>
    </w:p>
    <w:p w:rsidR="00DF1F41" w:rsidRPr="004C10F9" w:rsidRDefault="00DF1F41" w:rsidP="009F67C3">
      <w:pPr>
        <w:pStyle w:val="Textonotapie"/>
        <w:jc w:val="both"/>
        <w:rPr>
          <w:rFonts w:ascii="Verdana" w:hAnsi="Verdana"/>
          <w:sz w:val="16"/>
          <w:szCs w:val="16"/>
        </w:rPr>
      </w:pPr>
    </w:p>
  </w:footnote>
  <w:footnote w:id="22">
    <w:p w:rsidR="00523D27" w:rsidRPr="004C10F9" w:rsidRDefault="00523D27" w:rsidP="009F67C3">
      <w:pPr>
        <w:pStyle w:val="Textonotapie"/>
        <w:jc w:val="both"/>
        <w:rPr>
          <w:rFonts w:ascii="Verdana" w:hAnsi="Verdana"/>
          <w:sz w:val="16"/>
          <w:szCs w:val="16"/>
        </w:rPr>
      </w:pPr>
      <w:r w:rsidRPr="004C10F9">
        <w:rPr>
          <w:rStyle w:val="Refdenotaalpie"/>
          <w:rFonts w:ascii="Verdana" w:hAnsi="Verdana"/>
          <w:sz w:val="16"/>
          <w:szCs w:val="16"/>
        </w:rPr>
        <w:footnoteRef/>
      </w:r>
      <w:r w:rsidRPr="004C10F9">
        <w:rPr>
          <w:rFonts w:ascii="Verdana" w:hAnsi="Verdana"/>
          <w:sz w:val="16"/>
          <w:szCs w:val="16"/>
        </w:rPr>
        <w:t xml:space="preserve"> Párr.10</w:t>
      </w:r>
      <w:r w:rsidR="009F67C3">
        <w:rPr>
          <w:rFonts w:ascii="Verdana" w:hAnsi="Verdana"/>
          <w:sz w:val="16"/>
          <w:szCs w:val="16"/>
        </w:rPr>
        <w:t>.</w:t>
      </w:r>
    </w:p>
    <w:p w:rsidR="00DF1F41" w:rsidRPr="004C10F9" w:rsidRDefault="00DF1F41" w:rsidP="009F67C3">
      <w:pPr>
        <w:pStyle w:val="Textonotapie"/>
        <w:jc w:val="both"/>
        <w:rPr>
          <w:rFonts w:ascii="Verdana" w:hAnsi="Verdana"/>
          <w:sz w:val="16"/>
          <w:szCs w:val="16"/>
        </w:rPr>
      </w:pPr>
    </w:p>
  </w:footnote>
  <w:footnote w:id="23">
    <w:p w:rsidR="009F67C3" w:rsidRDefault="009F67C3">
      <w:pPr>
        <w:pStyle w:val="Textonotapie"/>
      </w:pPr>
      <w:r>
        <w:rPr>
          <w:rStyle w:val="Refdenotaalpie"/>
        </w:rPr>
        <w:footnoteRef/>
      </w:r>
      <w:r>
        <w:t xml:space="preserve"> Art.63.2.</w:t>
      </w:r>
    </w:p>
    <w:p w:rsidR="009F67C3" w:rsidRDefault="009F67C3">
      <w:pPr>
        <w:pStyle w:val="Textonotapie"/>
      </w:pPr>
    </w:p>
  </w:footnote>
  <w:footnote w:id="24">
    <w:p w:rsidR="00523D27" w:rsidRPr="004C10F9" w:rsidRDefault="00523D27" w:rsidP="009F67C3">
      <w:pPr>
        <w:pStyle w:val="Textonotapie"/>
        <w:jc w:val="both"/>
        <w:rPr>
          <w:rFonts w:ascii="Verdana" w:hAnsi="Verdana"/>
          <w:sz w:val="16"/>
          <w:szCs w:val="16"/>
          <w:lang w:val="es-ES"/>
        </w:rPr>
      </w:pPr>
      <w:r w:rsidRPr="004C10F9">
        <w:rPr>
          <w:rStyle w:val="Refdenotaalpie"/>
          <w:rFonts w:ascii="Verdana" w:hAnsi="Verdana"/>
          <w:sz w:val="16"/>
          <w:szCs w:val="16"/>
        </w:rPr>
        <w:footnoteRef/>
      </w:r>
      <w:r w:rsidRPr="004C10F9">
        <w:rPr>
          <w:rFonts w:ascii="Verdana" w:hAnsi="Verdana"/>
          <w:sz w:val="16"/>
          <w:szCs w:val="16"/>
        </w:rPr>
        <w:t xml:space="preserve"> Párrafo 1 del Preámbulo de la Convención.”</w:t>
      </w:r>
      <w:r w:rsidRPr="004C10F9">
        <w:rPr>
          <w:rFonts w:ascii="Verdana" w:hAnsi="Verdana"/>
          <w:i/>
          <w:sz w:val="16"/>
          <w:szCs w:val="16"/>
          <w:lang w:val="es-ES"/>
        </w:rPr>
        <w:t>Reafirmando su propósito de consolidar en este Continente, dentro del cuadro de las instituciones democráticas, un régimen de libertad personal y de justicia social, fundado en el respeto de los derechos esenciales del hombre</w:t>
      </w:r>
      <w:r w:rsidRPr="004C10F9">
        <w:rPr>
          <w:rFonts w:ascii="Verdana" w:hAnsi="Verdana"/>
          <w:sz w:val="16"/>
          <w:szCs w:val="16"/>
          <w:lang w:val="es-ES"/>
        </w:rPr>
        <w:t>.”</w:t>
      </w:r>
    </w:p>
    <w:p w:rsidR="004A1036" w:rsidRPr="004C10F9" w:rsidRDefault="004A1036" w:rsidP="009F67C3">
      <w:pPr>
        <w:pStyle w:val="Textonotapie"/>
        <w:jc w:val="both"/>
        <w:rPr>
          <w:rFonts w:ascii="Verdana" w:hAnsi="Verdana"/>
          <w:sz w:val="16"/>
          <w:szCs w:val="16"/>
        </w:rPr>
      </w:pPr>
    </w:p>
  </w:footnote>
  <w:footnote w:id="25">
    <w:p w:rsidR="001C0CAE" w:rsidRDefault="001C0CAE">
      <w:pPr>
        <w:pStyle w:val="Textonotapie"/>
      </w:pPr>
      <w:r>
        <w:rPr>
          <w:rStyle w:val="Refdenotaalpie"/>
        </w:rPr>
        <w:footnoteRef/>
      </w:r>
      <w:r>
        <w:t xml:space="preserve"> </w:t>
      </w:r>
      <w:r w:rsidR="002057E7">
        <w:t>Comunicaciones del 25 de enero y 7 de febrero de 2019, de la Secretaría de la Corte.</w:t>
      </w:r>
    </w:p>
    <w:p w:rsidR="001C0CAE" w:rsidRDefault="001C0CAE">
      <w:pPr>
        <w:pStyle w:val="Textonotapie"/>
      </w:pPr>
    </w:p>
  </w:footnote>
  <w:footnote w:id="26">
    <w:p w:rsidR="001C0CAE" w:rsidRDefault="001C0CAE">
      <w:pPr>
        <w:pStyle w:val="Textonotapie"/>
      </w:pPr>
      <w:r>
        <w:rPr>
          <w:rStyle w:val="Refdenotaalpie"/>
        </w:rPr>
        <w:footnoteRef/>
      </w:r>
      <w:r>
        <w:t xml:space="preserve"> Párr.50.</w:t>
      </w:r>
    </w:p>
    <w:p w:rsidR="001C0CAE" w:rsidRDefault="001C0CAE">
      <w:pPr>
        <w:pStyle w:val="Textonotapie"/>
      </w:pPr>
    </w:p>
  </w:footnote>
  <w:footnote w:id="27">
    <w:p w:rsidR="002057E7" w:rsidRDefault="002057E7">
      <w:pPr>
        <w:pStyle w:val="Textonotapie"/>
      </w:pPr>
      <w:r>
        <w:rPr>
          <w:rStyle w:val="Refdenotaalpie"/>
        </w:rPr>
        <w:footnoteRef/>
      </w:r>
      <w:r>
        <w:t xml:space="preserve"> Párr.6.</w:t>
      </w:r>
    </w:p>
    <w:p w:rsidR="002057E7" w:rsidRDefault="002057E7">
      <w:pPr>
        <w:pStyle w:val="Textonotapie"/>
      </w:pPr>
    </w:p>
  </w:footnote>
  <w:footnote w:id="28">
    <w:p w:rsidR="00523D27" w:rsidRPr="004C10F9" w:rsidRDefault="00523D27" w:rsidP="009F67C3">
      <w:pPr>
        <w:autoSpaceDE w:val="0"/>
        <w:autoSpaceDN w:val="0"/>
        <w:adjustRightInd w:val="0"/>
        <w:spacing w:after="0" w:line="240" w:lineRule="auto"/>
        <w:jc w:val="both"/>
        <w:rPr>
          <w:rFonts w:ascii="Verdana" w:hAnsi="Verdana" w:cs="Times New Roman"/>
          <w:i/>
          <w:sz w:val="16"/>
          <w:szCs w:val="16"/>
        </w:rPr>
      </w:pPr>
      <w:r w:rsidRPr="004C10F9">
        <w:rPr>
          <w:rStyle w:val="Refdenotaalpie"/>
          <w:rFonts w:ascii="Verdana" w:hAnsi="Verdana"/>
          <w:i/>
          <w:sz w:val="16"/>
          <w:szCs w:val="16"/>
        </w:rPr>
        <w:footnoteRef/>
      </w:r>
      <w:r w:rsidRPr="004C10F9">
        <w:rPr>
          <w:rFonts w:ascii="Verdana" w:hAnsi="Verdana"/>
          <w:i/>
          <w:sz w:val="16"/>
          <w:szCs w:val="16"/>
        </w:rPr>
        <w:t xml:space="preserve"> </w:t>
      </w:r>
      <w:r w:rsidRPr="004C10F9">
        <w:rPr>
          <w:rFonts w:ascii="Verdana" w:hAnsi="Verdana"/>
          <w:sz w:val="16"/>
          <w:szCs w:val="16"/>
        </w:rPr>
        <w:t>Art, 31,1:“</w:t>
      </w:r>
      <w:r w:rsidRPr="004C10F9">
        <w:rPr>
          <w:rFonts w:ascii="Verdana" w:hAnsi="Verdana" w:cs="Times New Roman"/>
          <w:bCs/>
          <w:i/>
          <w:sz w:val="16"/>
          <w:szCs w:val="16"/>
        </w:rPr>
        <w:t xml:space="preserve">Regla general de interpretación. </w:t>
      </w:r>
      <w:r w:rsidRPr="004C10F9">
        <w:rPr>
          <w:rFonts w:ascii="Verdana" w:hAnsi="Verdana" w:cs="Times New Roman"/>
          <w:i/>
          <w:sz w:val="16"/>
          <w:szCs w:val="16"/>
        </w:rPr>
        <w:t>I. Un tratado deberá interpretarse de buena fe conforme al sentido corriente que haya de atribuirse a los términos del tratado en el contexto de estos y teniendo en cuenta su objeto y fin.”</w:t>
      </w:r>
    </w:p>
    <w:p w:rsidR="00DF1F41" w:rsidRPr="004C10F9" w:rsidRDefault="00DF1F41" w:rsidP="009F67C3">
      <w:pPr>
        <w:autoSpaceDE w:val="0"/>
        <w:autoSpaceDN w:val="0"/>
        <w:adjustRightInd w:val="0"/>
        <w:spacing w:after="0" w:line="240" w:lineRule="auto"/>
        <w:jc w:val="both"/>
        <w:rPr>
          <w:rFonts w:ascii="Verdana" w:hAnsi="Verdana" w:cs="Times New Roman"/>
          <w:i/>
          <w:sz w:val="16"/>
          <w:szCs w:val="16"/>
        </w:rPr>
      </w:pPr>
    </w:p>
  </w:footnote>
  <w:footnote w:id="29">
    <w:p w:rsidR="00523D27" w:rsidRPr="004C10F9" w:rsidRDefault="00523D27" w:rsidP="009F67C3">
      <w:pPr>
        <w:pStyle w:val="Textonotapie"/>
        <w:jc w:val="both"/>
        <w:rPr>
          <w:rFonts w:ascii="Verdana" w:hAnsi="Verdana"/>
          <w:sz w:val="16"/>
          <w:szCs w:val="16"/>
        </w:rPr>
      </w:pPr>
      <w:r w:rsidRPr="004C10F9">
        <w:rPr>
          <w:rStyle w:val="Refdenotaalpie"/>
          <w:rFonts w:ascii="Verdana" w:hAnsi="Verdana"/>
          <w:sz w:val="16"/>
          <w:szCs w:val="16"/>
        </w:rPr>
        <w:footnoteRef/>
      </w:r>
      <w:r w:rsidRPr="004C10F9">
        <w:rPr>
          <w:rFonts w:ascii="Verdana" w:hAnsi="Verdana"/>
          <w:sz w:val="16"/>
          <w:szCs w:val="16"/>
        </w:rPr>
        <w:t xml:space="preserve"> </w:t>
      </w:r>
      <w:r w:rsidR="004A1036" w:rsidRPr="004C10F9">
        <w:rPr>
          <w:rFonts w:ascii="Verdana" w:hAnsi="Verdana"/>
          <w:bCs/>
          <w:sz w:val="16"/>
          <w:szCs w:val="16"/>
        </w:rPr>
        <w:t>Proyecto de Artículos sobre Responsabilidad del Estado por Hechos Internacionalmente Ilícitos, adoptado por la CDI en su 53º período de sesiones (A/56/10) y anexado por la AG en su Resolución 56/83, de 12 de diciembre de 2001.</w:t>
      </w:r>
    </w:p>
    <w:p w:rsidR="00523D27" w:rsidRPr="004C10F9" w:rsidRDefault="00523D27" w:rsidP="009F67C3">
      <w:pPr>
        <w:pStyle w:val="Textonotapie"/>
        <w:jc w:val="both"/>
        <w:rPr>
          <w:rFonts w:ascii="Verdana" w:hAnsi="Verdana"/>
          <w:sz w:val="16"/>
          <w:szCs w:val="16"/>
        </w:rPr>
      </w:pPr>
    </w:p>
  </w:footnote>
  <w:footnote w:id="30">
    <w:p w:rsidR="004C10F9" w:rsidRPr="004C10F9" w:rsidRDefault="004C10F9" w:rsidP="009F67C3">
      <w:pPr>
        <w:pStyle w:val="Textonotapie"/>
        <w:jc w:val="both"/>
        <w:rPr>
          <w:rFonts w:ascii="Verdana" w:hAnsi="Verdana"/>
          <w:sz w:val="16"/>
          <w:szCs w:val="16"/>
        </w:rPr>
      </w:pPr>
      <w:r w:rsidRPr="004C10F9">
        <w:rPr>
          <w:rStyle w:val="Refdenotaalpie"/>
          <w:rFonts w:ascii="Verdana" w:hAnsi="Verdana"/>
          <w:sz w:val="16"/>
          <w:szCs w:val="16"/>
        </w:rPr>
        <w:footnoteRef/>
      </w:r>
      <w:r w:rsidRPr="004C10F9">
        <w:rPr>
          <w:rFonts w:ascii="Verdana" w:hAnsi="Verdana"/>
          <w:sz w:val="16"/>
          <w:szCs w:val="16"/>
        </w:rPr>
        <w:t xml:space="preserve"> </w:t>
      </w:r>
      <w:proofErr w:type="spellStart"/>
      <w:r w:rsidRPr="004C10F9">
        <w:rPr>
          <w:rFonts w:ascii="Verdana" w:hAnsi="Verdana"/>
          <w:i/>
          <w:sz w:val="16"/>
          <w:szCs w:val="16"/>
        </w:rPr>
        <w:t>Idem</w:t>
      </w:r>
      <w:proofErr w:type="spellEnd"/>
      <w:r w:rsidRPr="004C10F9">
        <w:rPr>
          <w:rFonts w:ascii="Verdana" w:hAnsi="Verdana"/>
          <w:sz w:val="16"/>
          <w:szCs w:val="16"/>
        </w:rPr>
        <w:t>, Artículos 2 y 3.</w:t>
      </w:r>
    </w:p>
    <w:p w:rsidR="004C10F9" w:rsidRPr="004C10F9" w:rsidRDefault="004C10F9" w:rsidP="009F67C3">
      <w:pPr>
        <w:pStyle w:val="Textonotapie"/>
        <w:jc w:val="both"/>
        <w:rPr>
          <w:rFonts w:ascii="Verdana" w:hAnsi="Verdana"/>
          <w:sz w:val="16"/>
          <w:szCs w:val="16"/>
        </w:rPr>
      </w:pPr>
    </w:p>
  </w:footnote>
  <w:footnote w:id="31">
    <w:p w:rsidR="004C10F9" w:rsidRPr="004C10F9" w:rsidRDefault="004C10F9" w:rsidP="009F67C3">
      <w:pPr>
        <w:pStyle w:val="Textonotapie"/>
        <w:jc w:val="both"/>
        <w:rPr>
          <w:rFonts w:ascii="Verdana" w:hAnsi="Verdana"/>
          <w:sz w:val="16"/>
          <w:szCs w:val="16"/>
        </w:rPr>
      </w:pPr>
      <w:r w:rsidRPr="004C10F9">
        <w:rPr>
          <w:rStyle w:val="Refdenotaalpie"/>
          <w:rFonts w:ascii="Verdana" w:hAnsi="Verdana"/>
          <w:sz w:val="16"/>
          <w:szCs w:val="16"/>
        </w:rPr>
        <w:footnoteRef/>
      </w:r>
      <w:r w:rsidRPr="004C10F9">
        <w:rPr>
          <w:rFonts w:ascii="Verdana" w:hAnsi="Verdana"/>
          <w:sz w:val="16"/>
          <w:szCs w:val="16"/>
        </w:rPr>
        <w:t xml:space="preserve"> Art. 27 de la Convención de Viena.</w:t>
      </w:r>
    </w:p>
    <w:p w:rsidR="004C10F9" w:rsidRPr="004C10F9" w:rsidRDefault="004C10F9" w:rsidP="009F67C3">
      <w:pPr>
        <w:pStyle w:val="Textonotapie"/>
        <w:jc w:val="both"/>
        <w:rPr>
          <w:rFonts w:ascii="Verdana" w:hAnsi="Verdana"/>
          <w:sz w:val="16"/>
          <w:szCs w:val="16"/>
        </w:rPr>
      </w:pPr>
      <w:r w:rsidRPr="004C10F9">
        <w:rPr>
          <w:rFonts w:ascii="Verdana" w:hAnsi="Verdana"/>
          <w:sz w:val="16"/>
          <w:szCs w:val="16"/>
        </w:rPr>
        <w:t xml:space="preserve"> </w:t>
      </w:r>
    </w:p>
  </w:footnote>
  <w:footnote w:id="32">
    <w:p w:rsidR="00892FC2" w:rsidRDefault="00892FC2" w:rsidP="009F67C3">
      <w:pPr>
        <w:pStyle w:val="Textonotapie"/>
      </w:pPr>
      <w:r>
        <w:rPr>
          <w:rStyle w:val="Refdenotaalpie"/>
        </w:rPr>
        <w:footnoteRef/>
      </w:r>
      <w:r w:rsidR="009B59B9">
        <w:t xml:space="preserve"> Párr.42.</w:t>
      </w:r>
    </w:p>
    <w:p w:rsidR="00892FC2" w:rsidRDefault="00892FC2" w:rsidP="009F67C3">
      <w:pPr>
        <w:pStyle w:val="Textonotapie"/>
      </w:pPr>
    </w:p>
  </w:footnote>
  <w:footnote w:id="33">
    <w:p w:rsidR="00892FC2" w:rsidRDefault="00892FC2" w:rsidP="009F67C3">
      <w:pPr>
        <w:pStyle w:val="Textonotapie"/>
      </w:pPr>
      <w:r>
        <w:rPr>
          <w:rStyle w:val="Refdenotaalpie"/>
        </w:rPr>
        <w:footnoteRef/>
      </w:r>
      <w:r w:rsidR="009B59B9">
        <w:t>Párr.44.</w:t>
      </w:r>
    </w:p>
    <w:p w:rsidR="00892FC2" w:rsidRDefault="00892FC2" w:rsidP="009F67C3">
      <w:pPr>
        <w:pStyle w:val="Textonotapie"/>
      </w:pPr>
    </w:p>
  </w:footnote>
  <w:footnote w:id="34">
    <w:p w:rsidR="00523D27" w:rsidRPr="004C10F9" w:rsidRDefault="00523D27" w:rsidP="009F67C3">
      <w:pPr>
        <w:tabs>
          <w:tab w:val="left" w:pos="142"/>
        </w:tabs>
        <w:spacing w:after="0" w:line="240" w:lineRule="auto"/>
        <w:jc w:val="both"/>
        <w:rPr>
          <w:rFonts w:ascii="Verdana" w:hAnsi="Verdana"/>
          <w:sz w:val="16"/>
          <w:szCs w:val="16"/>
          <w:lang w:val="es-ES"/>
        </w:rPr>
      </w:pPr>
      <w:r w:rsidRPr="004C10F9">
        <w:rPr>
          <w:rStyle w:val="Refdenotaalpie"/>
          <w:rFonts w:ascii="Verdana" w:hAnsi="Verdana"/>
          <w:sz w:val="16"/>
          <w:szCs w:val="16"/>
        </w:rPr>
        <w:footnoteRef/>
      </w:r>
      <w:r w:rsidRPr="004C10F9">
        <w:rPr>
          <w:rFonts w:ascii="Verdana" w:hAnsi="Verdana"/>
          <w:sz w:val="16"/>
          <w:szCs w:val="16"/>
        </w:rPr>
        <w:t xml:space="preserve"> Art.1.1: </w:t>
      </w:r>
      <w:r w:rsidRPr="004C10F9">
        <w:rPr>
          <w:rFonts w:ascii="Verdana" w:hAnsi="Verdana"/>
          <w:i/>
          <w:sz w:val="16"/>
          <w:szCs w:val="16"/>
        </w:rPr>
        <w:t>“</w:t>
      </w:r>
      <w:r w:rsidRPr="004C10F9">
        <w:rPr>
          <w:rFonts w:ascii="Verdana" w:hAnsi="Verdana"/>
          <w:i/>
          <w:sz w:val="16"/>
          <w:szCs w:val="16"/>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4C10F9">
        <w:rPr>
          <w:rFonts w:ascii="Verdana" w:hAnsi="Verdana"/>
          <w:sz w:val="16"/>
          <w:szCs w:val="16"/>
          <w:lang w:val="es-ES"/>
        </w:rPr>
        <w:t>.”</w:t>
      </w:r>
    </w:p>
    <w:p w:rsidR="00523D27" w:rsidRPr="004C10F9" w:rsidRDefault="00523D27" w:rsidP="009F67C3">
      <w:pPr>
        <w:pStyle w:val="Textonotapie"/>
        <w:jc w:val="both"/>
        <w:rPr>
          <w:rFonts w:ascii="Verdana" w:hAnsi="Verdana"/>
          <w:sz w:val="16"/>
          <w:szCs w:val="16"/>
        </w:rPr>
      </w:pPr>
    </w:p>
  </w:footnote>
  <w:footnote w:id="35">
    <w:p w:rsidR="00523D27" w:rsidRPr="004C10F9" w:rsidRDefault="00523D27" w:rsidP="009F67C3">
      <w:pPr>
        <w:pStyle w:val="Textonotapie"/>
        <w:jc w:val="both"/>
        <w:rPr>
          <w:rFonts w:ascii="Verdana" w:hAnsi="Verdana"/>
          <w:sz w:val="16"/>
          <w:szCs w:val="16"/>
        </w:rPr>
      </w:pPr>
      <w:r w:rsidRPr="004C10F9">
        <w:rPr>
          <w:rStyle w:val="Refdenotaalpie"/>
          <w:rFonts w:ascii="Verdana" w:hAnsi="Verdana"/>
          <w:sz w:val="16"/>
          <w:szCs w:val="16"/>
        </w:rPr>
        <w:footnoteRef/>
      </w:r>
      <w:r w:rsidRPr="004C10F9">
        <w:rPr>
          <w:rFonts w:ascii="Verdana" w:hAnsi="Verdana"/>
          <w:sz w:val="16"/>
          <w:szCs w:val="16"/>
        </w:rPr>
        <w:t xml:space="preserve"> Párrafo 2 del Preámbulo de la Convención.</w:t>
      </w:r>
    </w:p>
    <w:p w:rsidR="00DF1F41" w:rsidRPr="004C10F9" w:rsidRDefault="00DF1F41" w:rsidP="009F67C3">
      <w:pPr>
        <w:pStyle w:val="Textonotapie"/>
        <w:jc w:val="both"/>
        <w:rPr>
          <w:rFonts w:ascii="Verdana" w:hAnsi="Verdana"/>
          <w:sz w:val="16"/>
          <w:szCs w:val="16"/>
        </w:rPr>
      </w:pPr>
    </w:p>
  </w:footnote>
  <w:footnote w:id="36">
    <w:p w:rsidR="00523D27" w:rsidRPr="0026317D" w:rsidRDefault="00523D27" w:rsidP="0026317D">
      <w:pPr>
        <w:pStyle w:val="Textonotapie"/>
      </w:pPr>
      <w:r w:rsidRPr="004C10F9">
        <w:rPr>
          <w:rStyle w:val="Refdenotaalpie"/>
          <w:rFonts w:ascii="Verdana" w:hAnsi="Verdana"/>
          <w:sz w:val="16"/>
          <w:szCs w:val="16"/>
        </w:rPr>
        <w:footnoteRef/>
      </w:r>
      <w:r w:rsidRPr="004C10F9">
        <w:rPr>
          <w:rFonts w:ascii="Verdana" w:hAnsi="Verdana"/>
          <w:sz w:val="16"/>
          <w:szCs w:val="16"/>
        </w:rPr>
        <w:t>.</w:t>
      </w:r>
      <w:r w:rsidR="0026317D" w:rsidRPr="0026317D">
        <w:rPr>
          <w:rFonts w:ascii="Verdana" w:hAnsi="Verdana"/>
          <w:sz w:val="16"/>
          <w:szCs w:val="16"/>
        </w:rPr>
        <w:t xml:space="preserve"> </w:t>
      </w:r>
      <w:r w:rsidR="0026317D">
        <w:rPr>
          <w:rFonts w:ascii="Verdana" w:hAnsi="Verdana"/>
          <w:sz w:val="16"/>
          <w:szCs w:val="16"/>
        </w:rPr>
        <w:t>Párr.30.</w:t>
      </w:r>
    </w:p>
    <w:p w:rsidR="00DF1F41" w:rsidRPr="004C10F9" w:rsidRDefault="00DF1F41" w:rsidP="009F67C3">
      <w:pPr>
        <w:pStyle w:val="Textonotapie"/>
        <w:jc w:val="both"/>
        <w:rPr>
          <w:rFonts w:ascii="Verdana" w:hAnsi="Verdana"/>
          <w:sz w:val="16"/>
          <w:szCs w:val="16"/>
        </w:rPr>
      </w:pPr>
    </w:p>
  </w:footnote>
  <w:footnote w:id="37">
    <w:p w:rsidR="0026317D" w:rsidRDefault="0026317D">
      <w:pPr>
        <w:pStyle w:val="Textonotapie"/>
        <w:rPr>
          <w:rFonts w:ascii="Verdana" w:hAnsi="Verdana"/>
          <w:sz w:val="16"/>
          <w:szCs w:val="16"/>
        </w:rPr>
      </w:pPr>
      <w:r>
        <w:rPr>
          <w:rStyle w:val="Refdenotaalpie"/>
        </w:rPr>
        <w:footnoteRef/>
      </w:r>
      <w:r>
        <w:t xml:space="preserve"> </w:t>
      </w:r>
      <w:r>
        <w:rPr>
          <w:rFonts w:ascii="Verdana" w:hAnsi="Verdana"/>
          <w:sz w:val="16"/>
          <w:szCs w:val="16"/>
        </w:rPr>
        <w:t>Párr.31.</w:t>
      </w:r>
    </w:p>
    <w:p w:rsidR="0026317D" w:rsidRDefault="0026317D">
      <w:pPr>
        <w:pStyle w:val="Textonotapie"/>
      </w:pPr>
    </w:p>
  </w:footnote>
  <w:footnote w:id="38">
    <w:p w:rsidR="0026317D" w:rsidRDefault="0026317D">
      <w:pPr>
        <w:pStyle w:val="Textonotapie"/>
      </w:pPr>
      <w:r>
        <w:rPr>
          <w:rStyle w:val="Refdenotaalpie"/>
        </w:rPr>
        <w:footnoteRef/>
      </w:r>
      <w:r>
        <w:t xml:space="preserve"> </w:t>
      </w:r>
      <w:r w:rsidR="000A201D">
        <w:t>Párr.285.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A0098"/>
    <w:multiLevelType w:val="hybridMultilevel"/>
    <w:tmpl w:val="5608C222"/>
    <w:lvl w:ilvl="0" w:tplc="2910BD0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D4400A5"/>
    <w:multiLevelType w:val="hybridMultilevel"/>
    <w:tmpl w:val="C4FED906"/>
    <w:lvl w:ilvl="0" w:tplc="78AE11E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37"/>
    <w:rsid w:val="00017910"/>
    <w:rsid w:val="0002680D"/>
    <w:rsid w:val="00033AB9"/>
    <w:rsid w:val="000857F5"/>
    <w:rsid w:val="000A201D"/>
    <w:rsid w:val="000C268E"/>
    <w:rsid w:val="000F4DD8"/>
    <w:rsid w:val="000F7E89"/>
    <w:rsid w:val="00101E86"/>
    <w:rsid w:val="00131592"/>
    <w:rsid w:val="00147BDF"/>
    <w:rsid w:val="00172BD7"/>
    <w:rsid w:val="00180725"/>
    <w:rsid w:val="00180EFE"/>
    <w:rsid w:val="001909F8"/>
    <w:rsid w:val="001C0CAE"/>
    <w:rsid w:val="001F6A09"/>
    <w:rsid w:val="002057E7"/>
    <w:rsid w:val="00255CE7"/>
    <w:rsid w:val="0026317D"/>
    <w:rsid w:val="002B5841"/>
    <w:rsid w:val="002E67B9"/>
    <w:rsid w:val="002F6B27"/>
    <w:rsid w:val="00303E7B"/>
    <w:rsid w:val="003B7BFB"/>
    <w:rsid w:val="00404727"/>
    <w:rsid w:val="0045078F"/>
    <w:rsid w:val="004A1036"/>
    <w:rsid w:val="004C10F9"/>
    <w:rsid w:val="004F398D"/>
    <w:rsid w:val="004F59DB"/>
    <w:rsid w:val="00523D27"/>
    <w:rsid w:val="00524715"/>
    <w:rsid w:val="00555BD4"/>
    <w:rsid w:val="00593D29"/>
    <w:rsid w:val="005B5EFC"/>
    <w:rsid w:val="005E3607"/>
    <w:rsid w:val="005E361C"/>
    <w:rsid w:val="005F221A"/>
    <w:rsid w:val="0062035B"/>
    <w:rsid w:val="00632863"/>
    <w:rsid w:val="006717A7"/>
    <w:rsid w:val="00673FC4"/>
    <w:rsid w:val="00684F72"/>
    <w:rsid w:val="006B68E8"/>
    <w:rsid w:val="006D1110"/>
    <w:rsid w:val="00781F8D"/>
    <w:rsid w:val="007C6D32"/>
    <w:rsid w:val="007D100E"/>
    <w:rsid w:val="00817E2E"/>
    <w:rsid w:val="0082258C"/>
    <w:rsid w:val="00857C66"/>
    <w:rsid w:val="0088793A"/>
    <w:rsid w:val="00892FC2"/>
    <w:rsid w:val="008D39A0"/>
    <w:rsid w:val="008F5B33"/>
    <w:rsid w:val="009729A2"/>
    <w:rsid w:val="0099186C"/>
    <w:rsid w:val="0099799F"/>
    <w:rsid w:val="009B2BFB"/>
    <w:rsid w:val="009B59B9"/>
    <w:rsid w:val="009E65A2"/>
    <w:rsid w:val="009F67C3"/>
    <w:rsid w:val="00A317F9"/>
    <w:rsid w:val="00C45925"/>
    <w:rsid w:val="00C6776A"/>
    <w:rsid w:val="00CB0A3A"/>
    <w:rsid w:val="00D03BBC"/>
    <w:rsid w:val="00D86787"/>
    <w:rsid w:val="00DA1585"/>
    <w:rsid w:val="00DF1F41"/>
    <w:rsid w:val="00E362B0"/>
    <w:rsid w:val="00ED6BCF"/>
    <w:rsid w:val="00EF0B8E"/>
    <w:rsid w:val="00F272A1"/>
    <w:rsid w:val="00F84637"/>
    <w:rsid w:val="00F962D3"/>
    <w:rsid w:val="00FD57CF"/>
    <w:rsid w:val="00FF60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B82A6-7483-46A7-A47E-B90246D4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00" w:lineRule="auto"/>
        <w:ind w:left="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637"/>
    <w:pPr>
      <w:spacing w:after="200" w:line="276" w:lineRule="auto"/>
      <w:ind w:left="0"/>
      <w:jc w:val="left"/>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TextonotapieCar"/>
    <w:uiPriority w:val="99"/>
    <w:unhideWhenUsed/>
    <w:qFormat/>
    <w:rsid w:val="00F84637"/>
    <w:pPr>
      <w:spacing w:after="0" w:line="240" w:lineRule="auto"/>
    </w:pPr>
    <w:rPr>
      <w:sz w:val="20"/>
      <w:szCs w:val="20"/>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uiPriority w:val="99"/>
    <w:qFormat/>
    <w:rsid w:val="00F84637"/>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F84637"/>
    <w:rPr>
      <w:vertAlign w:val="superscript"/>
    </w:rPr>
  </w:style>
  <w:style w:type="paragraph" w:styleId="Prrafodelista">
    <w:name w:val="List Paragraph"/>
    <w:aliases w:val="Párrafo de lista1,Footnote,List Paragraph2,List Paragraph1,Colorful List - Accent 11,Lista vistosa - Énfasis 11,Subtle Emphasis1,Footnote1"/>
    <w:basedOn w:val="Normal"/>
    <w:link w:val="PrrafodelistaCar"/>
    <w:uiPriority w:val="99"/>
    <w:qFormat/>
    <w:rsid w:val="00F84637"/>
    <w:pPr>
      <w:ind w:left="720"/>
      <w:contextualSpacing/>
    </w:pPr>
  </w:style>
  <w:style w:type="paragraph" w:customStyle="1" w:styleId="Default">
    <w:name w:val="Default"/>
    <w:link w:val="DefaultChar"/>
    <w:rsid w:val="00F84637"/>
    <w:pPr>
      <w:autoSpaceDE w:val="0"/>
      <w:autoSpaceDN w:val="0"/>
      <w:adjustRightInd w:val="0"/>
      <w:spacing w:after="0" w:line="240" w:lineRule="auto"/>
      <w:ind w:left="0"/>
      <w:jc w:val="left"/>
    </w:pPr>
    <w:rPr>
      <w:rFonts w:ascii="Times New Roman" w:eastAsia="Times New Roman" w:hAnsi="Times New Roman" w:cs="Times New Roman"/>
      <w:color w:val="000000"/>
      <w:sz w:val="24"/>
      <w:szCs w:val="24"/>
      <w:lang w:val="es-CR" w:eastAsia="es-CR"/>
    </w:rPr>
  </w:style>
  <w:style w:type="character" w:customStyle="1" w:styleId="DefaultChar">
    <w:name w:val="Default Char"/>
    <w:link w:val="Default"/>
    <w:locked/>
    <w:rsid w:val="00F84637"/>
    <w:rPr>
      <w:rFonts w:ascii="Times New Roman" w:eastAsia="Times New Roman" w:hAnsi="Times New Roman" w:cs="Times New Roman"/>
      <w:color w:val="000000"/>
      <w:sz w:val="24"/>
      <w:szCs w:val="24"/>
      <w:lang w:val="es-CR" w:eastAsia="es-CR"/>
    </w:rPr>
  </w:style>
  <w:style w:type="character" w:customStyle="1" w:styleId="PrrafodelistaCar">
    <w:name w:val="Párrafo de lista Car"/>
    <w:aliases w:val="Párrafo de lista1 Car,Footnote Car,List Paragraph2 Car,List Paragraph1 Car,Colorful List - Accent 11 Car,Lista vistosa - Énfasis 11 Car,Subtle Emphasis1 Car,Footnote1 Car"/>
    <w:basedOn w:val="Fuentedeprrafopredeter"/>
    <w:link w:val="Prrafodelista"/>
    <w:uiPriority w:val="99"/>
    <w:locked/>
    <w:rsid w:val="00F8463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84637"/>
    <w:pPr>
      <w:widowControl w:val="0"/>
      <w:adjustRightInd w:val="0"/>
      <w:spacing w:after="0" w:line="240" w:lineRule="auto"/>
      <w:jc w:val="both"/>
      <w:textAlignment w:val="baseline"/>
    </w:pPr>
    <w:rPr>
      <w:vertAlign w:val="superscript"/>
    </w:rPr>
  </w:style>
  <w:style w:type="paragraph" w:styleId="Encabezado">
    <w:name w:val="header"/>
    <w:basedOn w:val="Normal"/>
    <w:link w:val="EncabezadoCar"/>
    <w:uiPriority w:val="99"/>
    <w:unhideWhenUsed/>
    <w:rsid w:val="00D867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787"/>
  </w:style>
  <w:style w:type="paragraph" w:styleId="Piedepgina">
    <w:name w:val="footer"/>
    <w:basedOn w:val="Normal"/>
    <w:link w:val="PiedepginaCar"/>
    <w:uiPriority w:val="99"/>
    <w:unhideWhenUsed/>
    <w:rsid w:val="00D867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787"/>
  </w:style>
  <w:style w:type="character" w:styleId="Textoennegrita">
    <w:name w:val="Strong"/>
    <w:basedOn w:val="Fuentedeprrafopredeter"/>
    <w:uiPriority w:val="22"/>
    <w:qFormat/>
    <w:rsid w:val="00523D27"/>
    <w:rPr>
      <w:b/>
      <w:bCs/>
    </w:rPr>
  </w:style>
  <w:style w:type="paragraph" w:styleId="Textodeglobo">
    <w:name w:val="Balloon Text"/>
    <w:basedOn w:val="Normal"/>
    <w:link w:val="TextodegloboCar"/>
    <w:uiPriority w:val="99"/>
    <w:semiHidden/>
    <w:unhideWhenUsed/>
    <w:rsid w:val="005E3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61C"/>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2BAE-6B9E-427B-A3B3-AEA78918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12056</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2</cp:revision>
  <cp:lastPrinted>2019-03-12T22:48:00Z</cp:lastPrinted>
  <dcterms:created xsi:type="dcterms:W3CDTF">2019-03-13T02:05:00Z</dcterms:created>
  <dcterms:modified xsi:type="dcterms:W3CDTF">2019-03-13T02:05:00Z</dcterms:modified>
</cp:coreProperties>
</file>