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0C23E" w14:textId="77777777" w:rsidR="00326A90" w:rsidRDefault="00326A90" w:rsidP="00C93B6D">
      <w:pPr>
        <w:spacing w:after="0"/>
        <w:jc w:val="center"/>
        <w:rPr>
          <w:rFonts w:ascii="Verdana" w:hAnsi="Verdana"/>
          <w:b/>
          <w:sz w:val="24"/>
          <w:szCs w:val="24"/>
          <w:lang w:val="es-PR"/>
        </w:rPr>
      </w:pPr>
      <w:bookmarkStart w:id="0" w:name="_GoBack"/>
      <w:bookmarkEnd w:id="0"/>
    </w:p>
    <w:p w14:paraId="1F78A7A8" w14:textId="77777777" w:rsidR="00326A90" w:rsidRDefault="00326A90" w:rsidP="00C93B6D">
      <w:pPr>
        <w:spacing w:after="0"/>
        <w:jc w:val="center"/>
        <w:rPr>
          <w:rFonts w:ascii="Verdana" w:hAnsi="Verdana"/>
          <w:b/>
          <w:sz w:val="24"/>
          <w:szCs w:val="24"/>
          <w:lang w:val="es-PR"/>
        </w:rPr>
      </w:pPr>
    </w:p>
    <w:p w14:paraId="72C4977E" w14:textId="77777777" w:rsidR="00326A90" w:rsidRDefault="00326A90" w:rsidP="00C93B6D">
      <w:pPr>
        <w:spacing w:after="0"/>
        <w:jc w:val="center"/>
        <w:rPr>
          <w:rFonts w:ascii="Verdana" w:hAnsi="Verdana"/>
          <w:b/>
          <w:sz w:val="24"/>
          <w:szCs w:val="24"/>
          <w:lang w:val="es-PR"/>
        </w:rPr>
      </w:pPr>
    </w:p>
    <w:p w14:paraId="7AF4B734" w14:textId="77777777" w:rsidR="00326A90" w:rsidRDefault="00326A90" w:rsidP="00C93B6D">
      <w:pPr>
        <w:spacing w:after="0"/>
        <w:jc w:val="center"/>
        <w:rPr>
          <w:rFonts w:ascii="Verdana" w:hAnsi="Verdana"/>
          <w:b/>
          <w:sz w:val="24"/>
          <w:szCs w:val="24"/>
          <w:lang w:val="es-PR"/>
        </w:rPr>
      </w:pPr>
    </w:p>
    <w:p w14:paraId="19253E9A" w14:textId="77777777" w:rsidR="00326A90" w:rsidRDefault="00326A90" w:rsidP="00C93B6D">
      <w:pPr>
        <w:spacing w:after="0"/>
        <w:jc w:val="center"/>
        <w:rPr>
          <w:rFonts w:ascii="Verdana" w:hAnsi="Verdana"/>
          <w:b/>
          <w:sz w:val="24"/>
          <w:szCs w:val="24"/>
          <w:lang w:val="es-PR"/>
        </w:rPr>
      </w:pPr>
    </w:p>
    <w:p w14:paraId="02721406" w14:textId="77777777" w:rsidR="008941AA" w:rsidRDefault="008941AA" w:rsidP="00C93B6D">
      <w:pPr>
        <w:spacing w:after="0"/>
        <w:jc w:val="center"/>
        <w:rPr>
          <w:rFonts w:ascii="Verdana" w:hAnsi="Verdana"/>
          <w:b/>
          <w:sz w:val="24"/>
          <w:szCs w:val="24"/>
          <w:lang w:val="es-PR"/>
        </w:rPr>
      </w:pPr>
    </w:p>
    <w:p w14:paraId="6D76CDC5" w14:textId="77777777" w:rsidR="008941AA" w:rsidRDefault="008941AA" w:rsidP="00C93B6D">
      <w:pPr>
        <w:spacing w:after="0"/>
        <w:jc w:val="center"/>
        <w:rPr>
          <w:rFonts w:ascii="Verdana" w:hAnsi="Verdana"/>
          <w:b/>
          <w:sz w:val="24"/>
          <w:szCs w:val="24"/>
          <w:lang w:val="es-PR"/>
        </w:rPr>
      </w:pPr>
    </w:p>
    <w:p w14:paraId="5E439A5D" w14:textId="77777777" w:rsidR="004C7C6C" w:rsidRPr="00F7745F" w:rsidRDefault="004C7C6C" w:rsidP="00C93B6D">
      <w:pPr>
        <w:spacing w:after="0"/>
        <w:jc w:val="center"/>
        <w:rPr>
          <w:rFonts w:ascii="Verdana" w:hAnsi="Verdana"/>
          <w:b/>
          <w:sz w:val="24"/>
          <w:szCs w:val="24"/>
          <w:lang w:val="es-PR"/>
        </w:rPr>
      </w:pPr>
      <w:r w:rsidRPr="00F7745F">
        <w:rPr>
          <w:rFonts w:ascii="Verdana" w:hAnsi="Verdana"/>
          <w:b/>
          <w:sz w:val="24"/>
          <w:szCs w:val="24"/>
          <w:lang w:val="es-PR"/>
        </w:rPr>
        <w:t>VOTO DISIDENTE DEL JUEZ EDUARDO VIO GROSSI,</w:t>
      </w:r>
    </w:p>
    <w:p w14:paraId="6285C104" w14:textId="77777777" w:rsidR="004C7C6C" w:rsidRPr="00F7745F" w:rsidRDefault="004C7C6C" w:rsidP="00C93B6D">
      <w:pPr>
        <w:spacing w:after="0"/>
        <w:jc w:val="center"/>
        <w:rPr>
          <w:rFonts w:ascii="Verdana" w:hAnsi="Verdana"/>
          <w:b/>
          <w:sz w:val="24"/>
          <w:szCs w:val="24"/>
          <w:lang w:val="es-PR"/>
        </w:rPr>
      </w:pPr>
      <w:r w:rsidRPr="00F7745F">
        <w:rPr>
          <w:rFonts w:ascii="Verdana" w:hAnsi="Verdana"/>
          <w:b/>
          <w:sz w:val="24"/>
          <w:szCs w:val="24"/>
          <w:lang w:val="es-PR"/>
        </w:rPr>
        <w:t>RESOLUCIÓN DE LA</w:t>
      </w:r>
    </w:p>
    <w:p w14:paraId="404AB17C" w14:textId="77777777" w:rsidR="004C7C6C" w:rsidRPr="00F7745F" w:rsidRDefault="004C7C6C" w:rsidP="00C93B6D">
      <w:pPr>
        <w:spacing w:after="0"/>
        <w:jc w:val="center"/>
        <w:rPr>
          <w:rFonts w:ascii="Verdana" w:hAnsi="Verdana"/>
          <w:b/>
          <w:sz w:val="24"/>
          <w:szCs w:val="24"/>
          <w:lang w:val="es-PR"/>
        </w:rPr>
      </w:pPr>
      <w:r w:rsidRPr="00F7745F">
        <w:rPr>
          <w:rFonts w:ascii="Verdana" w:hAnsi="Verdana"/>
          <w:b/>
          <w:sz w:val="24"/>
          <w:szCs w:val="24"/>
          <w:lang w:val="es-PR"/>
        </w:rPr>
        <w:t>CORTE INTERAMERICANA DE DERECHOS HUMANOS</w:t>
      </w:r>
    </w:p>
    <w:p w14:paraId="0C87C5A1" w14:textId="77777777" w:rsidR="004C7C6C" w:rsidRPr="00F7745F" w:rsidRDefault="00EB274D" w:rsidP="00C93B6D">
      <w:pPr>
        <w:spacing w:after="0"/>
        <w:jc w:val="center"/>
        <w:rPr>
          <w:rFonts w:ascii="Verdana" w:hAnsi="Verdana"/>
          <w:b/>
          <w:sz w:val="24"/>
          <w:szCs w:val="24"/>
          <w:lang w:val="es-PR"/>
        </w:rPr>
      </w:pPr>
      <w:r>
        <w:rPr>
          <w:rFonts w:ascii="Verdana" w:hAnsi="Verdana"/>
          <w:b/>
          <w:sz w:val="24"/>
          <w:szCs w:val="24"/>
          <w:lang w:val="es-PR"/>
        </w:rPr>
        <w:t xml:space="preserve">DE 8 </w:t>
      </w:r>
      <w:r w:rsidR="004C7C6C" w:rsidRPr="00F7745F">
        <w:rPr>
          <w:rFonts w:ascii="Verdana" w:hAnsi="Verdana"/>
          <w:b/>
          <w:sz w:val="24"/>
          <w:szCs w:val="24"/>
          <w:lang w:val="es-PR"/>
        </w:rPr>
        <w:t>DE FEBRERO DE 2018,</w:t>
      </w:r>
    </w:p>
    <w:p w14:paraId="4FB57453" w14:textId="77777777" w:rsidR="004C7C6C" w:rsidRPr="00F7745F" w:rsidRDefault="004C7C6C" w:rsidP="00C93B6D">
      <w:pPr>
        <w:spacing w:after="0"/>
        <w:jc w:val="center"/>
        <w:rPr>
          <w:rFonts w:ascii="Verdana" w:hAnsi="Verdana"/>
          <w:b/>
          <w:sz w:val="24"/>
          <w:szCs w:val="24"/>
          <w:lang w:val="es-PR"/>
        </w:rPr>
      </w:pPr>
      <w:r w:rsidRPr="00F7745F">
        <w:rPr>
          <w:rFonts w:ascii="Verdana" w:hAnsi="Verdana"/>
          <w:b/>
          <w:sz w:val="24"/>
          <w:szCs w:val="24"/>
          <w:lang w:val="es-PR"/>
        </w:rPr>
        <w:t>MEDIDAS PROVISIONALES</w:t>
      </w:r>
    </w:p>
    <w:p w14:paraId="7F3C6EE3" w14:textId="77777777" w:rsidR="004C7C6C" w:rsidRPr="00F7745F" w:rsidRDefault="004C7C6C" w:rsidP="00C93B6D">
      <w:pPr>
        <w:spacing w:after="0"/>
        <w:jc w:val="center"/>
        <w:rPr>
          <w:rFonts w:ascii="Verdana" w:hAnsi="Verdana"/>
          <w:b/>
          <w:sz w:val="24"/>
          <w:szCs w:val="24"/>
          <w:lang w:val="es-PR"/>
        </w:rPr>
      </w:pPr>
      <w:r w:rsidRPr="00F7745F">
        <w:rPr>
          <w:rFonts w:ascii="Verdana" w:hAnsi="Verdana"/>
          <w:b/>
          <w:sz w:val="24"/>
          <w:szCs w:val="24"/>
          <w:lang w:val="es-PR"/>
        </w:rPr>
        <w:t>RESPECTO DEL PERÚ,</w:t>
      </w:r>
    </w:p>
    <w:p w14:paraId="44DF6566" w14:textId="77777777" w:rsidR="00326A90" w:rsidRDefault="00326A90" w:rsidP="00C93B6D">
      <w:pPr>
        <w:spacing w:after="0"/>
        <w:jc w:val="center"/>
        <w:rPr>
          <w:rStyle w:val="Strong"/>
          <w:rFonts w:ascii="Verdana" w:hAnsi="Verdana"/>
          <w:sz w:val="24"/>
          <w:szCs w:val="24"/>
          <w:shd w:val="clear" w:color="auto" w:fill="FFFFFF"/>
          <w:lang w:val="es-PR"/>
        </w:rPr>
      </w:pPr>
    </w:p>
    <w:p w14:paraId="4C76F965" w14:textId="77777777" w:rsidR="004C7C6C" w:rsidRPr="00F7745F" w:rsidRDefault="004C7C6C" w:rsidP="00C93B6D">
      <w:pPr>
        <w:spacing w:after="0"/>
        <w:jc w:val="center"/>
        <w:rPr>
          <w:rFonts w:ascii="Verdana" w:hAnsi="Verdana"/>
          <w:b/>
          <w:sz w:val="24"/>
          <w:szCs w:val="24"/>
          <w:lang w:val="es-CR"/>
        </w:rPr>
      </w:pPr>
      <w:r w:rsidRPr="00F7745F">
        <w:rPr>
          <w:rStyle w:val="Strong"/>
          <w:rFonts w:ascii="Verdana" w:hAnsi="Verdana"/>
          <w:sz w:val="24"/>
          <w:szCs w:val="24"/>
          <w:shd w:val="clear" w:color="auto" w:fill="FFFFFF"/>
          <w:lang w:val="es-PR"/>
        </w:rPr>
        <w:t>CASO DURAND Y UGARTE</w:t>
      </w:r>
      <w:r w:rsidRPr="00F7745F">
        <w:rPr>
          <w:rFonts w:ascii="Verdana" w:hAnsi="Verdana"/>
          <w:b/>
          <w:sz w:val="24"/>
          <w:szCs w:val="24"/>
          <w:lang w:val="es-PR"/>
        </w:rPr>
        <w:t xml:space="preserve"> </w:t>
      </w:r>
      <w:r w:rsidRPr="00F7745F">
        <w:rPr>
          <w:rFonts w:ascii="Verdana" w:hAnsi="Verdana"/>
          <w:b/>
          <w:i/>
          <w:sz w:val="24"/>
          <w:szCs w:val="24"/>
          <w:lang w:val="es-PR"/>
        </w:rPr>
        <w:t>VS</w:t>
      </w:r>
      <w:r w:rsidRPr="00F7745F">
        <w:rPr>
          <w:rFonts w:ascii="Verdana" w:hAnsi="Verdana"/>
          <w:b/>
          <w:sz w:val="24"/>
          <w:szCs w:val="24"/>
          <w:lang w:val="es-PR"/>
        </w:rPr>
        <w:t xml:space="preserve">. </w:t>
      </w:r>
      <w:r w:rsidRPr="00326A90">
        <w:rPr>
          <w:rFonts w:ascii="Verdana" w:hAnsi="Verdana"/>
          <w:b/>
          <w:sz w:val="24"/>
          <w:szCs w:val="24"/>
          <w:lang w:val="es-CR"/>
        </w:rPr>
        <w:t>PERÚ.</w:t>
      </w:r>
    </w:p>
    <w:p w14:paraId="0B4A6625" w14:textId="77777777" w:rsidR="004C7C6C" w:rsidRPr="00326A90" w:rsidRDefault="004C7C6C" w:rsidP="00F7745F">
      <w:pPr>
        <w:rPr>
          <w:rFonts w:ascii="Verdana" w:hAnsi="Verdana"/>
          <w:sz w:val="24"/>
          <w:szCs w:val="24"/>
          <w:lang w:val="es-CR"/>
        </w:rPr>
      </w:pPr>
    </w:p>
    <w:p w14:paraId="403D53BC" w14:textId="77777777" w:rsidR="009943A7" w:rsidRPr="00326A90" w:rsidRDefault="006929B9" w:rsidP="00F7745F">
      <w:pPr>
        <w:rPr>
          <w:rFonts w:ascii="Verdana" w:hAnsi="Verdana"/>
          <w:b/>
          <w:sz w:val="24"/>
          <w:szCs w:val="24"/>
          <w:lang w:val="es-CR"/>
        </w:rPr>
      </w:pPr>
      <w:r w:rsidRPr="00326A90">
        <w:rPr>
          <w:rFonts w:ascii="Verdana" w:hAnsi="Verdana"/>
          <w:b/>
          <w:sz w:val="24"/>
          <w:szCs w:val="24"/>
          <w:lang w:val="es-CR"/>
        </w:rPr>
        <w:t>INTRODUCCIÓN.</w:t>
      </w:r>
    </w:p>
    <w:p w14:paraId="0BC23947" w14:textId="77777777" w:rsidR="006929B9" w:rsidRPr="004B672E" w:rsidRDefault="006929B9" w:rsidP="00F7745F">
      <w:pPr>
        <w:pStyle w:val="ListParagraph"/>
        <w:numPr>
          <w:ilvl w:val="0"/>
          <w:numId w:val="17"/>
        </w:numPr>
        <w:spacing w:before="120"/>
        <w:ind w:left="643"/>
        <w:rPr>
          <w:rFonts w:ascii="Verdana" w:hAnsi="Verdana"/>
          <w:b/>
          <w:sz w:val="24"/>
          <w:szCs w:val="24"/>
          <w:lang w:val="es-CR"/>
        </w:rPr>
      </w:pPr>
      <w:r w:rsidRPr="004B672E">
        <w:rPr>
          <w:rFonts w:ascii="Verdana" w:hAnsi="Verdana"/>
          <w:b/>
          <w:sz w:val="24"/>
          <w:szCs w:val="24"/>
          <w:lang w:val="es-CR"/>
        </w:rPr>
        <w:t>Objeto.</w:t>
      </w:r>
    </w:p>
    <w:p w14:paraId="351C1470" w14:textId="77777777" w:rsidR="006F23E3" w:rsidRPr="004B672E" w:rsidRDefault="00500C26" w:rsidP="00F7745F">
      <w:pPr>
        <w:rPr>
          <w:rFonts w:ascii="Verdana" w:hAnsi="Verdana"/>
          <w:sz w:val="24"/>
          <w:szCs w:val="24"/>
          <w:lang w:val="es-CR"/>
        </w:rPr>
      </w:pPr>
      <w:r w:rsidRPr="004B672E">
        <w:rPr>
          <w:rFonts w:ascii="Verdana" w:hAnsi="Verdana"/>
          <w:sz w:val="24"/>
          <w:szCs w:val="24"/>
          <w:lang w:val="es-CR"/>
        </w:rPr>
        <w:t>Las razones por las que se emite el presente voto disidente a la Resolución del epígrafe</w:t>
      </w:r>
      <w:r w:rsidRPr="004B672E">
        <w:rPr>
          <w:rStyle w:val="FootnoteReference"/>
          <w:rFonts w:ascii="Verdana" w:hAnsi="Verdana"/>
          <w:sz w:val="24"/>
          <w:szCs w:val="24"/>
          <w:lang w:val="es-CR"/>
        </w:rPr>
        <w:footnoteReference w:id="1"/>
      </w:r>
      <w:r w:rsidRPr="004B672E">
        <w:rPr>
          <w:rFonts w:ascii="Verdana" w:hAnsi="Verdana"/>
          <w:sz w:val="24"/>
          <w:szCs w:val="24"/>
          <w:lang w:val="es-CR"/>
        </w:rPr>
        <w:t xml:space="preserve">, se formulan teniendo muy presente la importancia y respeto  que, </w:t>
      </w:r>
      <w:r w:rsidR="00C95396" w:rsidRPr="004B672E">
        <w:rPr>
          <w:rFonts w:ascii="Verdana" w:hAnsi="Verdana"/>
          <w:sz w:val="24"/>
          <w:szCs w:val="24"/>
          <w:lang w:val="es-CR"/>
        </w:rPr>
        <w:t>par</w:t>
      </w:r>
      <w:r w:rsidRPr="004B672E">
        <w:rPr>
          <w:rFonts w:ascii="Verdana" w:hAnsi="Verdana"/>
          <w:sz w:val="24"/>
          <w:szCs w:val="24"/>
          <w:lang w:val="es-CR"/>
        </w:rPr>
        <w:t>a una instancia como la Corte Interamericana de Derechos Humanos</w:t>
      </w:r>
      <w:r w:rsidRPr="004B672E">
        <w:rPr>
          <w:rStyle w:val="FootnoteReference"/>
          <w:rFonts w:ascii="Verdana" w:hAnsi="Verdana"/>
          <w:sz w:val="24"/>
          <w:szCs w:val="24"/>
          <w:lang w:val="es-CR"/>
        </w:rPr>
        <w:footnoteReference w:id="2"/>
      </w:r>
      <w:r w:rsidRPr="004B672E">
        <w:rPr>
          <w:rFonts w:ascii="Verdana" w:hAnsi="Verdana"/>
          <w:sz w:val="24"/>
          <w:szCs w:val="24"/>
          <w:lang w:val="es-CR"/>
        </w:rPr>
        <w:t>, revisten</w:t>
      </w:r>
      <w:r w:rsidR="00C95396" w:rsidRPr="004B672E">
        <w:rPr>
          <w:rFonts w:ascii="Verdana" w:hAnsi="Verdana"/>
          <w:sz w:val="24"/>
          <w:szCs w:val="24"/>
          <w:lang w:val="es-CR"/>
        </w:rPr>
        <w:t xml:space="preserve"> y deben tener</w:t>
      </w:r>
      <w:r w:rsidRPr="004B672E">
        <w:rPr>
          <w:rFonts w:ascii="Verdana" w:hAnsi="Verdana"/>
          <w:sz w:val="24"/>
          <w:szCs w:val="24"/>
          <w:lang w:val="es-CR"/>
        </w:rPr>
        <w:t xml:space="preserve"> la independencia y la imparcialidad judiciales. De suerte, por lo tanto, que el presente voto no debe entenderse, bajo pretexto o circunstancia alguna, </w:t>
      </w:r>
      <w:r w:rsidR="00C95396" w:rsidRPr="004B672E">
        <w:rPr>
          <w:rFonts w:ascii="Verdana" w:hAnsi="Verdana"/>
          <w:sz w:val="24"/>
          <w:szCs w:val="24"/>
          <w:lang w:val="es-CR"/>
        </w:rPr>
        <w:t xml:space="preserve">como una expresión que pretendería, al sostener la improcedencia del otorgamiento </w:t>
      </w:r>
      <w:r w:rsidR="00F14A51" w:rsidRPr="004B672E">
        <w:rPr>
          <w:rFonts w:ascii="Verdana" w:hAnsi="Verdana"/>
          <w:sz w:val="24"/>
          <w:szCs w:val="24"/>
          <w:lang w:val="es-CR"/>
        </w:rPr>
        <w:t xml:space="preserve">en autos </w:t>
      </w:r>
      <w:r w:rsidR="00C95396" w:rsidRPr="004B672E">
        <w:rPr>
          <w:rFonts w:ascii="Verdana" w:hAnsi="Verdana"/>
          <w:sz w:val="24"/>
          <w:szCs w:val="24"/>
          <w:lang w:val="es-CR"/>
        </w:rPr>
        <w:t>de</w:t>
      </w:r>
      <w:r w:rsidR="00F14A51" w:rsidRPr="004B672E">
        <w:rPr>
          <w:rFonts w:ascii="Verdana" w:hAnsi="Verdana"/>
          <w:sz w:val="24"/>
          <w:szCs w:val="24"/>
          <w:lang w:val="es-CR"/>
        </w:rPr>
        <w:t xml:space="preserve"> las medidas provisionales en comento</w:t>
      </w:r>
      <w:r w:rsidR="00C95396" w:rsidRPr="004B672E">
        <w:rPr>
          <w:rFonts w:ascii="Verdana" w:hAnsi="Verdana"/>
          <w:sz w:val="24"/>
          <w:szCs w:val="24"/>
          <w:lang w:val="es-CR"/>
        </w:rPr>
        <w:t xml:space="preserve">, la vulneración </w:t>
      </w:r>
      <w:r w:rsidR="006929B9" w:rsidRPr="004B672E">
        <w:rPr>
          <w:rFonts w:ascii="Verdana" w:hAnsi="Verdana"/>
          <w:sz w:val="24"/>
          <w:szCs w:val="24"/>
          <w:lang w:val="es-CR"/>
        </w:rPr>
        <w:t>las mencionadas independencia e imparcialidad, sino precisamente a garantizarlas</w:t>
      </w:r>
      <w:r w:rsidR="00F14A51" w:rsidRPr="004B672E">
        <w:rPr>
          <w:rFonts w:ascii="Verdana" w:hAnsi="Verdana"/>
          <w:sz w:val="24"/>
          <w:szCs w:val="24"/>
          <w:lang w:val="es-CR"/>
        </w:rPr>
        <w:t xml:space="preserve"> en el presente procedimiento</w:t>
      </w:r>
      <w:r w:rsidR="006929B9" w:rsidRPr="004B672E">
        <w:rPr>
          <w:rFonts w:ascii="Verdana" w:hAnsi="Verdana"/>
          <w:sz w:val="24"/>
          <w:szCs w:val="24"/>
          <w:lang w:val="es-CR"/>
        </w:rPr>
        <w:t>.</w:t>
      </w:r>
    </w:p>
    <w:p w14:paraId="1148D6A5" w14:textId="77777777" w:rsidR="006F23E3" w:rsidRPr="004B672E" w:rsidRDefault="006F23E3" w:rsidP="00F7745F">
      <w:pPr>
        <w:pStyle w:val="ListParagraph"/>
        <w:numPr>
          <w:ilvl w:val="0"/>
          <w:numId w:val="17"/>
        </w:numPr>
        <w:rPr>
          <w:rFonts w:ascii="Verdana" w:hAnsi="Verdana"/>
          <w:sz w:val="24"/>
          <w:szCs w:val="24"/>
          <w:lang w:val="es-CR"/>
        </w:rPr>
      </w:pPr>
      <w:r w:rsidRPr="004B672E">
        <w:rPr>
          <w:rFonts w:ascii="Verdana" w:hAnsi="Verdana"/>
          <w:b/>
          <w:sz w:val="24"/>
          <w:szCs w:val="24"/>
          <w:lang w:val="es-CR"/>
        </w:rPr>
        <w:t>Razones.</w:t>
      </w:r>
    </w:p>
    <w:p w14:paraId="325F3622" w14:textId="79BDB708" w:rsidR="006929B9" w:rsidRDefault="006F23E3" w:rsidP="00F7745F">
      <w:pPr>
        <w:rPr>
          <w:rFonts w:ascii="Verdana" w:hAnsi="Verdana"/>
          <w:sz w:val="24"/>
          <w:szCs w:val="24"/>
          <w:lang w:val="es-CR"/>
        </w:rPr>
      </w:pPr>
      <w:r w:rsidRPr="004B672E">
        <w:rPr>
          <w:rFonts w:ascii="Verdana" w:hAnsi="Verdana"/>
          <w:sz w:val="24"/>
          <w:szCs w:val="24"/>
          <w:lang w:val="es-CR"/>
        </w:rPr>
        <w:t xml:space="preserve">Las razones que justifican la presente disidencia se agrupan de acuerdo al esquema que sigue: I. Consideraciones Generales; II. </w:t>
      </w:r>
      <w:r w:rsidR="004365AA" w:rsidRPr="004B672E">
        <w:rPr>
          <w:rFonts w:ascii="Verdana" w:hAnsi="Verdana"/>
          <w:sz w:val="24"/>
          <w:szCs w:val="24"/>
          <w:lang w:val="es-CR"/>
        </w:rPr>
        <w:t xml:space="preserve">Normas </w:t>
      </w:r>
      <w:r w:rsidR="004365AA" w:rsidRPr="004B672E">
        <w:rPr>
          <w:rFonts w:ascii="Verdana" w:hAnsi="Verdana"/>
          <w:sz w:val="24"/>
          <w:szCs w:val="24"/>
          <w:lang w:val="es-CR"/>
        </w:rPr>
        <w:lastRenderedPageBreak/>
        <w:t>Procesales</w:t>
      </w:r>
      <w:r w:rsidR="00AC2E82" w:rsidRPr="004B672E">
        <w:rPr>
          <w:rFonts w:ascii="Verdana" w:hAnsi="Verdana"/>
          <w:sz w:val="24"/>
          <w:szCs w:val="24"/>
          <w:lang w:val="es-CR"/>
        </w:rPr>
        <w:t xml:space="preserve"> aplicables</w:t>
      </w:r>
      <w:r w:rsidRPr="004B672E">
        <w:rPr>
          <w:rFonts w:ascii="Verdana" w:hAnsi="Verdana"/>
          <w:sz w:val="24"/>
          <w:szCs w:val="24"/>
          <w:lang w:val="es-CR"/>
        </w:rPr>
        <w:t>;</w:t>
      </w:r>
      <w:r w:rsidR="00FA0B2C" w:rsidRPr="004B672E">
        <w:rPr>
          <w:rFonts w:ascii="Verdana" w:hAnsi="Verdana"/>
          <w:sz w:val="24"/>
          <w:szCs w:val="24"/>
          <w:lang w:val="es-CR"/>
        </w:rPr>
        <w:t xml:space="preserve"> y</w:t>
      </w:r>
      <w:r w:rsidRPr="004B672E">
        <w:rPr>
          <w:rFonts w:ascii="Verdana" w:hAnsi="Verdana"/>
          <w:sz w:val="24"/>
          <w:szCs w:val="24"/>
          <w:lang w:val="es-CR"/>
        </w:rPr>
        <w:t xml:space="preserve"> III. </w:t>
      </w:r>
      <w:r w:rsidRPr="004B672E">
        <w:rPr>
          <w:rStyle w:val="Strong"/>
          <w:rFonts w:ascii="Verdana" w:hAnsi="Verdana"/>
          <w:b w:val="0"/>
          <w:color w:val="000000"/>
          <w:sz w:val="24"/>
          <w:szCs w:val="24"/>
          <w:shd w:val="clear" w:color="auto" w:fill="FFFFFF"/>
          <w:lang w:val="es-CR"/>
        </w:rPr>
        <w:t xml:space="preserve">Desvinculación de las medidas provisionales con el </w:t>
      </w:r>
      <w:r w:rsidRPr="004B672E">
        <w:rPr>
          <w:rStyle w:val="Strong"/>
          <w:rFonts w:ascii="Verdana" w:hAnsi="Verdana"/>
          <w:b w:val="0"/>
          <w:i/>
          <w:color w:val="000000"/>
          <w:sz w:val="24"/>
          <w:szCs w:val="24"/>
          <w:shd w:val="clear" w:color="auto" w:fill="FFFFFF"/>
          <w:lang w:val="es-CR"/>
        </w:rPr>
        <w:t>Caso Durand y Ugarte Vs. Perú</w:t>
      </w:r>
      <w:r w:rsidR="00C935A8" w:rsidRPr="004B672E">
        <w:rPr>
          <w:rStyle w:val="FootnoteReference"/>
          <w:rFonts w:ascii="Verdana" w:hAnsi="Verdana"/>
          <w:bCs/>
          <w:i/>
          <w:color w:val="000000"/>
          <w:sz w:val="24"/>
          <w:szCs w:val="24"/>
          <w:shd w:val="clear" w:color="auto" w:fill="FFFFFF"/>
          <w:lang w:val="es-CR"/>
        </w:rPr>
        <w:footnoteReference w:id="3"/>
      </w:r>
      <w:r w:rsidRPr="004B672E">
        <w:rPr>
          <w:rStyle w:val="Strong"/>
          <w:rFonts w:ascii="Verdana" w:hAnsi="Verdana"/>
          <w:b w:val="0"/>
          <w:i/>
          <w:color w:val="000000"/>
          <w:sz w:val="24"/>
          <w:szCs w:val="24"/>
          <w:shd w:val="clear" w:color="auto" w:fill="FFFFFF"/>
          <w:lang w:val="es-CR"/>
        </w:rPr>
        <w:t>.</w:t>
      </w:r>
      <w:r w:rsidR="006929B9" w:rsidRPr="004B672E">
        <w:rPr>
          <w:rFonts w:ascii="Verdana" w:hAnsi="Verdana"/>
          <w:sz w:val="24"/>
          <w:szCs w:val="24"/>
          <w:lang w:val="es-CR"/>
        </w:rPr>
        <w:t xml:space="preserve"> </w:t>
      </w:r>
    </w:p>
    <w:p w14:paraId="4941D086" w14:textId="77777777" w:rsidR="00326A90" w:rsidRPr="004B672E" w:rsidRDefault="00326A90" w:rsidP="00F7745F">
      <w:pPr>
        <w:rPr>
          <w:rFonts w:ascii="Verdana" w:hAnsi="Verdana"/>
          <w:bCs/>
          <w:color w:val="000000"/>
          <w:sz w:val="24"/>
          <w:szCs w:val="24"/>
          <w:shd w:val="clear" w:color="auto" w:fill="FFFFFF"/>
          <w:lang w:val="es-CR"/>
        </w:rPr>
      </w:pPr>
    </w:p>
    <w:p w14:paraId="09AC870E" w14:textId="77777777" w:rsidR="006929B9" w:rsidRPr="004B672E" w:rsidRDefault="006929B9" w:rsidP="00F7745F">
      <w:pPr>
        <w:pStyle w:val="ListParagraph"/>
        <w:numPr>
          <w:ilvl w:val="0"/>
          <w:numId w:val="24"/>
        </w:numPr>
        <w:spacing w:before="120"/>
        <w:ind w:left="720"/>
        <w:rPr>
          <w:rFonts w:ascii="Verdana" w:hAnsi="Verdana"/>
          <w:b/>
          <w:sz w:val="24"/>
          <w:szCs w:val="24"/>
          <w:lang w:val="es-CR"/>
        </w:rPr>
      </w:pPr>
      <w:r w:rsidRPr="004B672E">
        <w:rPr>
          <w:rFonts w:ascii="Verdana" w:hAnsi="Verdana"/>
          <w:b/>
          <w:sz w:val="24"/>
          <w:szCs w:val="24"/>
          <w:lang w:val="es-CR"/>
        </w:rPr>
        <w:t>Consideraciones generales previas.</w:t>
      </w:r>
    </w:p>
    <w:p w14:paraId="3AC5C940" w14:textId="7485C7AF" w:rsidR="006929B9" w:rsidRPr="001E3C83" w:rsidRDefault="006929B9" w:rsidP="00F7745F">
      <w:pPr>
        <w:rPr>
          <w:rFonts w:ascii="Verdana" w:hAnsi="Verdana"/>
          <w:sz w:val="24"/>
          <w:szCs w:val="24"/>
          <w:lang w:val="es-CR"/>
        </w:rPr>
      </w:pPr>
      <w:r w:rsidRPr="004B672E">
        <w:rPr>
          <w:rFonts w:ascii="Verdana" w:hAnsi="Verdana"/>
          <w:sz w:val="24"/>
          <w:szCs w:val="24"/>
          <w:lang w:val="es-CR"/>
        </w:rPr>
        <w:t xml:space="preserve">Las aludidas consideraciones generales previas </w:t>
      </w:r>
      <w:r w:rsidR="006F23E3" w:rsidRPr="004B672E">
        <w:rPr>
          <w:rFonts w:ascii="Verdana" w:hAnsi="Verdana"/>
          <w:sz w:val="24"/>
          <w:szCs w:val="24"/>
          <w:lang w:val="es-CR"/>
        </w:rPr>
        <w:t xml:space="preserve">agrupan aquellos motivos que inspiran </w:t>
      </w:r>
      <w:r w:rsidR="00C95396" w:rsidRPr="004B672E">
        <w:rPr>
          <w:rFonts w:ascii="Verdana" w:hAnsi="Verdana"/>
          <w:sz w:val="24"/>
          <w:szCs w:val="24"/>
          <w:lang w:val="es-CR"/>
        </w:rPr>
        <w:t xml:space="preserve">a toda la Resolución </w:t>
      </w:r>
      <w:r w:rsidR="006F23E3" w:rsidRPr="004B672E">
        <w:rPr>
          <w:rFonts w:ascii="Verdana" w:hAnsi="Verdana"/>
          <w:sz w:val="24"/>
          <w:szCs w:val="24"/>
          <w:lang w:val="es-CR"/>
        </w:rPr>
        <w:t xml:space="preserve">y </w:t>
      </w:r>
      <w:r w:rsidRPr="004B672E">
        <w:rPr>
          <w:rFonts w:ascii="Verdana" w:hAnsi="Verdana"/>
          <w:sz w:val="24"/>
          <w:szCs w:val="24"/>
          <w:lang w:val="es-CR"/>
        </w:rPr>
        <w:t xml:space="preserve">se </w:t>
      </w:r>
      <w:r w:rsidR="00EA1D43" w:rsidRPr="004B672E">
        <w:rPr>
          <w:rFonts w:ascii="Verdana" w:hAnsi="Verdana"/>
          <w:sz w:val="24"/>
          <w:szCs w:val="24"/>
          <w:lang w:val="es-CR"/>
        </w:rPr>
        <w:t>refieren a tres</w:t>
      </w:r>
      <w:r w:rsidRPr="004B672E">
        <w:rPr>
          <w:rFonts w:ascii="Verdana" w:hAnsi="Verdana"/>
          <w:sz w:val="24"/>
          <w:szCs w:val="24"/>
          <w:lang w:val="es-CR"/>
        </w:rPr>
        <w:t xml:space="preserve"> asuntos</w:t>
      </w:r>
      <w:r w:rsidR="00B85907" w:rsidRPr="004B672E">
        <w:rPr>
          <w:rFonts w:ascii="Verdana" w:hAnsi="Verdana"/>
          <w:sz w:val="24"/>
          <w:szCs w:val="24"/>
          <w:lang w:val="es-CR"/>
        </w:rPr>
        <w:t xml:space="preserve">, en relación a los que se discrepa de </w:t>
      </w:r>
      <w:r w:rsidR="00C95396" w:rsidRPr="004B672E">
        <w:rPr>
          <w:rFonts w:ascii="Verdana" w:hAnsi="Verdana"/>
          <w:sz w:val="24"/>
          <w:szCs w:val="24"/>
          <w:lang w:val="es-CR"/>
        </w:rPr>
        <w:t>cómo las considera</w:t>
      </w:r>
      <w:r w:rsidRPr="004B672E">
        <w:rPr>
          <w:rFonts w:ascii="Verdana" w:hAnsi="Verdana"/>
          <w:sz w:val="24"/>
          <w:szCs w:val="24"/>
          <w:lang w:val="es-CR"/>
        </w:rPr>
        <w:t xml:space="preserve">. Uno, </w:t>
      </w:r>
      <w:r w:rsidR="00AA7D68">
        <w:rPr>
          <w:rFonts w:ascii="Verdana" w:hAnsi="Verdana"/>
          <w:sz w:val="24"/>
          <w:szCs w:val="24"/>
          <w:lang w:val="es-CR"/>
        </w:rPr>
        <w:t>atin</w:t>
      </w:r>
      <w:r w:rsidR="00E50393" w:rsidRPr="004B672E">
        <w:rPr>
          <w:rFonts w:ascii="Verdana" w:hAnsi="Verdana"/>
          <w:sz w:val="24"/>
          <w:szCs w:val="24"/>
          <w:lang w:val="es-CR"/>
        </w:rPr>
        <w:t xml:space="preserve">ente a </w:t>
      </w:r>
      <w:r w:rsidR="00EA1D43" w:rsidRPr="004B672E">
        <w:rPr>
          <w:rFonts w:ascii="Verdana" w:hAnsi="Verdana"/>
          <w:sz w:val="24"/>
          <w:szCs w:val="24"/>
          <w:lang w:val="es-CR"/>
        </w:rPr>
        <w:t xml:space="preserve">la independencia judicial; </w:t>
      </w:r>
      <w:r w:rsidR="00B60448" w:rsidRPr="004B672E">
        <w:rPr>
          <w:rFonts w:ascii="Verdana" w:hAnsi="Verdana"/>
          <w:sz w:val="24"/>
          <w:szCs w:val="24"/>
          <w:lang w:val="es-CR"/>
        </w:rPr>
        <w:t xml:space="preserve">el </w:t>
      </w:r>
      <w:r w:rsidR="00E50393" w:rsidRPr="004B672E">
        <w:rPr>
          <w:rFonts w:ascii="Verdana" w:hAnsi="Verdana"/>
          <w:sz w:val="24"/>
          <w:szCs w:val="24"/>
          <w:lang w:val="es-CR"/>
        </w:rPr>
        <w:t>o</w:t>
      </w:r>
      <w:r w:rsidR="00B85907" w:rsidRPr="004B672E">
        <w:rPr>
          <w:rFonts w:ascii="Verdana" w:hAnsi="Verdana"/>
          <w:sz w:val="24"/>
          <w:szCs w:val="24"/>
          <w:lang w:val="es-CR"/>
        </w:rPr>
        <w:t xml:space="preserve">tro, </w:t>
      </w:r>
      <w:r w:rsidR="00EA1D43" w:rsidRPr="004B672E">
        <w:rPr>
          <w:rFonts w:ascii="Verdana" w:hAnsi="Verdana"/>
          <w:sz w:val="24"/>
          <w:szCs w:val="24"/>
          <w:lang w:val="es-CR"/>
        </w:rPr>
        <w:t xml:space="preserve">relativo a la seguridad jurídica; y el tercero, </w:t>
      </w:r>
      <w:r w:rsidR="00E50393" w:rsidRPr="004B672E">
        <w:rPr>
          <w:rFonts w:ascii="Verdana" w:hAnsi="Verdana"/>
          <w:sz w:val="24"/>
          <w:szCs w:val="24"/>
          <w:lang w:val="es-CR"/>
        </w:rPr>
        <w:t>concernien</w:t>
      </w:r>
      <w:r w:rsidR="00B60448" w:rsidRPr="004B672E">
        <w:rPr>
          <w:rFonts w:ascii="Verdana" w:hAnsi="Verdana"/>
          <w:sz w:val="24"/>
          <w:szCs w:val="24"/>
          <w:lang w:val="es-CR"/>
        </w:rPr>
        <w:t>te al juicio</w:t>
      </w:r>
      <w:r w:rsidR="00B60448" w:rsidRPr="001E3C83">
        <w:rPr>
          <w:rFonts w:ascii="Verdana" w:hAnsi="Verdana"/>
          <w:sz w:val="24"/>
          <w:szCs w:val="24"/>
          <w:lang w:val="es-CR"/>
        </w:rPr>
        <w:t xml:space="preserve"> político</w:t>
      </w:r>
      <w:r w:rsidR="00132316" w:rsidRPr="001E3C83">
        <w:rPr>
          <w:rFonts w:ascii="Verdana" w:hAnsi="Verdana"/>
          <w:sz w:val="24"/>
          <w:szCs w:val="24"/>
          <w:lang w:val="es-CR"/>
        </w:rPr>
        <w:t xml:space="preserve">. </w:t>
      </w:r>
    </w:p>
    <w:p w14:paraId="50C679AF" w14:textId="77777777" w:rsidR="00B85907" w:rsidRPr="00F7745F" w:rsidRDefault="00B85907" w:rsidP="00F7745F">
      <w:pPr>
        <w:pStyle w:val="ListParagraph"/>
        <w:numPr>
          <w:ilvl w:val="0"/>
          <w:numId w:val="25"/>
        </w:numPr>
        <w:spacing w:before="240" w:after="240"/>
        <w:ind w:left="643"/>
        <w:rPr>
          <w:rFonts w:ascii="Verdana" w:hAnsi="Verdana"/>
          <w:b/>
          <w:sz w:val="24"/>
          <w:szCs w:val="24"/>
          <w:lang w:val="es-ES"/>
        </w:rPr>
      </w:pPr>
      <w:r w:rsidRPr="00F7745F">
        <w:rPr>
          <w:rFonts w:ascii="Verdana" w:hAnsi="Verdana"/>
          <w:b/>
          <w:sz w:val="24"/>
          <w:szCs w:val="24"/>
          <w:lang w:val="es-ES"/>
        </w:rPr>
        <w:t>La independencia judicial.</w:t>
      </w:r>
    </w:p>
    <w:p w14:paraId="69371BD1" w14:textId="15E46ECA" w:rsidR="0057496B" w:rsidRPr="00F7745F" w:rsidRDefault="00B85907" w:rsidP="00F7745F">
      <w:pPr>
        <w:spacing w:before="120"/>
        <w:rPr>
          <w:rFonts w:ascii="Verdana" w:hAnsi="Verdana"/>
          <w:sz w:val="24"/>
          <w:szCs w:val="24"/>
          <w:lang w:val="es-ES"/>
        </w:rPr>
      </w:pPr>
      <w:r w:rsidRPr="00F7745F">
        <w:rPr>
          <w:rFonts w:ascii="Verdana" w:hAnsi="Verdana"/>
          <w:sz w:val="24"/>
          <w:szCs w:val="24"/>
          <w:lang w:val="es-ES"/>
        </w:rPr>
        <w:t>El resguardo del princi</w:t>
      </w:r>
      <w:r w:rsidR="007E22A0">
        <w:rPr>
          <w:rFonts w:ascii="Verdana" w:hAnsi="Verdana"/>
          <w:sz w:val="24"/>
          <w:szCs w:val="24"/>
          <w:lang w:val="es-ES"/>
        </w:rPr>
        <w:t>pio de independencia judicial parece ser</w:t>
      </w:r>
      <w:r w:rsidRPr="00F7745F">
        <w:rPr>
          <w:rFonts w:ascii="Verdana" w:hAnsi="Verdana"/>
          <w:sz w:val="24"/>
          <w:szCs w:val="24"/>
          <w:lang w:val="es-ES"/>
        </w:rPr>
        <w:t xml:space="preserve"> la base fundamental de</w:t>
      </w:r>
      <w:r w:rsidR="007E22A0">
        <w:rPr>
          <w:rFonts w:ascii="Verdana" w:hAnsi="Verdana"/>
          <w:sz w:val="24"/>
          <w:szCs w:val="24"/>
          <w:lang w:val="es-ES"/>
        </w:rPr>
        <w:t xml:space="preserve"> la Resolución. De ello dan cuenta</w:t>
      </w:r>
      <w:r w:rsidR="00C95396" w:rsidRPr="00F7745F">
        <w:rPr>
          <w:rFonts w:ascii="Verdana" w:hAnsi="Verdana"/>
          <w:sz w:val="24"/>
          <w:szCs w:val="24"/>
          <w:lang w:val="es-ES"/>
        </w:rPr>
        <w:t>,</w:t>
      </w:r>
      <w:r w:rsidR="007E22A0">
        <w:rPr>
          <w:rFonts w:ascii="Verdana" w:hAnsi="Verdana"/>
          <w:sz w:val="24"/>
          <w:szCs w:val="24"/>
          <w:lang w:val="es-ES"/>
        </w:rPr>
        <w:t xml:space="preserve"> directa o indirectamente,</w:t>
      </w:r>
      <w:r w:rsidR="00E50393">
        <w:rPr>
          <w:rFonts w:ascii="Verdana" w:hAnsi="Verdana"/>
          <w:sz w:val="24"/>
          <w:szCs w:val="24"/>
          <w:lang w:val="es-ES"/>
        </w:rPr>
        <w:t xml:space="preserve"> </w:t>
      </w:r>
      <w:r w:rsidR="00C95396" w:rsidRPr="00F7745F">
        <w:rPr>
          <w:rFonts w:ascii="Verdana" w:hAnsi="Verdana"/>
          <w:sz w:val="24"/>
          <w:szCs w:val="24"/>
          <w:lang w:val="es-ES"/>
        </w:rPr>
        <w:t>sus</w:t>
      </w:r>
      <w:r w:rsidR="00F66283" w:rsidRPr="00F7745F">
        <w:rPr>
          <w:rFonts w:ascii="Verdana" w:hAnsi="Verdana"/>
          <w:sz w:val="24"/>
          <w:szCs w:val="24"/>
          <w:lang w:val="es-ES"/>
        </w:rPr>
        <w:t xml:space="preserve"> </w:t>
      </w:r>
      <w:r w:rsidR="00F66283" w:rsidRPr="00797B3A">
        <w:rPr>
          <w:rFonts w:ascii="Verdana" w:hAnsi="Verdana"/>
          <w:sz w:val="24"/>
          <w:szCs w:val="24"/>
          <w:lang w:val="es-ES"/>
        </w:rPr>
        <w:t xml:space="preserve">considerandos </w:t>
      </w:r>
      <w:r w:rsidR="00C95396" w:rsidRPr="00797B3A">
        <w:rPr>
          <w:rFonts w:ascii="Verdana" w:hAnsi="Verdana"/>
          <w:sz w:val="24"/>
          <w:szCs w:val="24"/>
          <w:lang w:val="es-ES"/>
        </w:rPr>
        <w:t>7,</w:t>
      </w:r>
      <w:r w:rsidR="00E50393" w:rsidRPr="00797B3A">
        <w:rPr>
          <w:rFonts w:ascii="Verdana" w:hAnsi="Verdana"/>
          <w:sz w:val="24"/>
          <w:szCs w:val="24"/>
          <w:lang w:val="es-ES"/>
        </w:rPr>
        <w:t xml:space="preserve"> </w:t>
      </w:r>
      <w:r w:rsidR="003A4BA2" w:rsidRPr="00797B3A">
        <w:rPr>
          <w:rFonts w:ascii="Verdana" w:hAnsi="Verdana"/>
          <w:sz w:val="24"/>
          <w:szCs w:val="24"/>
          <w:lang w:val="es-ES"/>
        </w:rPr>
        <w:t>27</w:t>
      </w:r>
      <w:r w:rsidR="00E50393" w:rsidRPr="00797B3A">
        <w:rPr>
          <w:rFonts w:ascii="Verdana" w:hAnsi="Verdana"/>
          <w:sz w:val="24"/>
          <w:szCs w:val="24"/>
          <w:lang w:val="es-ES"/>
        </w:rPr>
        <w:t xml:space="preserve">, </w:t>
      </w:r>
      <w:r w:rsidR="00967CAF" w:rsidRPr="00797B3A">
        <w:rPr>
          <w:rFonts w:ascii="Verdana" w:hAnsi="Verdana"/>
          <w:sz w:val="24"/>
          <w:szCs w:val="24"/>
          <w:lang w:val="es-ES"/>
        </w:rPr>
        <w:t xml:space="preserve">29, </w:t>
      </w:r>
      <w:r w:rsidR="00F66283" w:rsidRPr="00797B3A">
        <w:rPr>
          <w:rFonts w:ascii="Verdana" w:hAnsi="Verdana"/>
          <w:sz w:val="24"/>
          <w:szCs w:val="24"/>
          <w:lang w:val="es-ES"/>
        </w:rPr>
        <w:t xml:space="preserve">31 y </w:t>
      </w:r>
      <w:r w:rsidR="00967CAF" w:rsidRPr="00797B3A">
        <w:rPr>
          <w:rFonts w:ascii="Verdana" w:hAnsi="Verdana"/>
          <w:sz w:val="24"/>
          <w:szCs w:val="24"/>
          <w:lang w:val="es-ES"/>
        </w:rPr>
        <w:t xml:space="preserve">35 a </w:t>
      </w:r>
      <w:r w:rsidR="00F66283" w:rsidRPr="00797B3A">
        <w:rPr>
          <w:rFonts w:ascii="Verdana" w:hAnsi="Verdana"/>
          <w:sz w:val="24"/>
          <w:szCs w:val="24"/>
          <w:lang w:val="es-ES"/>
        </w:rPr>
        <w:t>40.</w:t>
      </w:r>
    </w:p>
    <w:p w14:paraId="02331AB0" w14:textId="777AF719" w:rsidR="00F66283" w:rsidRPr="00F7745F" w:rsidRDefault="00B85907" w:rsidP="00F7745F">
      <w:pPr>
        <w:spacing w:before="120"/>
        <w:rPr>
          <w:rFonts w:ascii="Verdana" w:hAnsi="Verdana" w:cs="Verdana"/>
          <w:i/>
          <w:sz w:val="24"/>
          <w:szCs w:val="24"/>
          <w:lang w:val="es-CR"/>
        </w:rPr>
      </w:pPr>
      <w:r w:rsidRPr="00F7745F">
        <w:rPr>
          <w:rFonts w:ascii="Verdana" w:hAnsi="Verdana"/>
          <w:sz w:val="24"/>
          <w:szCs w:val="24"/>
          <w:lang w:val="es-ES"/>
        </w:rPr>
        <w:t>Pero, lo m</w:t>
      </w:r>
      <w:r w:rsidR="0057496B" w:rsidRPr="00F7745F">
        <w:rPr>
          <w:rFonts w:ascii="Verdana" w:hAnsi="Verdana"/>
          <w:sz w:val="24"/>
          <w:szCs w:val="24"/>
          <w:lang w:val="es-ES"/>
        </w:rPr>
        <w:t>ás releva</w:t>
      </w:r>
      <w:r w:rsidRPr="00F7745F">
        <w:rPr>
          <w:rFonts w:ascii="Verdana" w:hAnsi="Verdana"/>
          <w:sz w:val="24"/>
          <w:szCs w:val="24"/>
          <w:lang w:val="es-ES"/>
        </w:rPr>
        <w:t xml:space="preserve">nte es que en </w:t>
      </w:r>
      <w:r w:rsidR="0057496B" w:rsidRPr="00F7745F">
        <w:rPr>
          <w:rFonts w:ascii="Verdana" w:hAnsi="Verdana"/>
          <w:sz w:val="24"/>
          <w:szCs w:val="24"/>
          <w:lang w:val="es-ES"/>
        </w:rPr>
        <w:t xml:space="preserve">el Punto Resolutivo N° 1 de la Resolución se requiere </w:t>
      </w:r>
      <w:r w:rsidR="0057496B" w:rsidRPr="00205592">
        <w:rPr>
          <w:rFonts w:ascii="Verdana" w:hAnsi="Verdana"/>
          <w:sz w:val="24"/>
          <w:szCs w:val="24"/>
          <w:lang w:val="es-ES"/>
        </w:rPr>
        <w:t>“</w:t>
      </w:r>
      <w:r w:rsidR="0057496B" w:rsidRPr="00205592">
        <w:rPr>
          <w:rFonts w:ascii="Verdana" w:hAnsi="Verdana"/>
          <w:i/>
          <w:sz w:val="24"/>
          <w:szCs w:val="24"/>
          <w:lang w:val="es-ES"/>
        </w:rPr>
        <w:t>al Estado del Perú</w:t>
      </w:r>
      <w:r w:rsidR="00E80CD6" w:rsidRPr="00205592">
        <w:rPr>
          <w:rFonts w:ascii="Verdana" w:hAnsi="Verdana"/>
          <w:i/>
          <w:sz w:val="24"/>
          <w:szCs w:val="24"/>
          <w:lang w:val="es-ES"/>
        </w:rPr>
        <w:t xml:space="preserve"> que</w:t>
      </w:r>
      <w:r w:rsidR="0057496B" w:rsidRPr="00205592">
        <w:rPr>
          <w:rFonts w:ascii="Verdana" w:hAnsi="Verdana"/>
          <w:i/>
          <w:sz w:val="24"/>
          <w:szCs w:val="24"/>
          <w:lang w:val="es-CR"/>
        </w:rPr>
        <w:t>, para garantizar</w:t>
      </w:r>
      <w:r w:rsidR="0057496B" w:rsidRPr="00205592">
        <w:rPr>
          <w:rFonts w:ascii="Verdana" w:hAnsi="Verdana"/>
          <w:b/>
          <w:i/>
          <w:sz w:val="24"/>
          <w:szCs w:val="24"/>
          <w:lang w:val="es-CR"/>
        </w:rPr>
        <w:t xml:space="preserve"> </w:t>
      </w:r>
      <w:r w:rsidR="0057496B" w:rsidRPr="00205592">
        <w:rPr>
          <w:rFonts w:ascii="Verdana" w:hAnsi="Verdana" w:cs="Verdana"/>
          <w:i/>
          <w:sz w:val="24"/>
          <w:szCs w:val="24"/>
          <w:lang w:val="es-CR"/>
        </w:rPr>
        <w:t xml:space="preserve">el derecho de las víctimas del caso Durand y Ugarte a obtener un acceso a la justicia sin interferencias en la independencia judicial, </w:t>
      </w:r>
      <w:r w:rsidR="00E80CD6" w:rsidRPr="00205592">
        <w:rPr>
          <w:rFonts w:ascii="Verdana" w:hAnsi="Verdana" w:cs="Verdana"/>
          <w:i/>
          <w:sz w:val="24"/>
          <w:szCs w:val="24"/>
          <w:lang w:val="es-CR"/>
        </w:rPr>
        <w:t xml:space="preserve">archive </w:t>
      </w:r>
      <w:r w:rsidR="0057496B" w:rsidRPr="00205592">
        <w:rPr>
          <w:rFonts w:ascii="Verdana" w:hAnsi="Verdana"/>
          <w:i/>
          <w:sz w:val="24"/>
          <w:szCs w:val="24"/>
          <w:lang w:val="es-CR"/>
        </w:rPr>
        <w:t>el</w:t>
      </w:r>
      <w:r w:rsidR="0057496B" w:rsidRPr="00205592">
        <w:rPr>
          <w:rFonts w:ascii="Verdana" w:hAnsi="Verdana"/>
          <w:b/>
          <w:i/>
          <w:sz w:val="24"/>
          <w:szCs w:val="24"/>
          <w:lang w:val="es-CR"/>
        </w:rPr>
        <w:t xml:space="preserve"> </w:t>
      </w:r>
      <w:r w:rsidR="0057496B" w:rsidRPr="00205592">
        <w:rPr>
          <w:rFonts w:ascii="Verdana" w:hAnsi="Verdana"/>
          <w:i/>
          <w:sz w:val="24"/>
          <w:szCs w:val="24"/>
          <w:lang w:val="es-CR"/>
        </w:rPr>
        <w:t>procedimiento de acusación constitucional actualmente seguido ante el Congreso de la República contra los Magistrados</w:t>
      </w:r>
      <w:r w:rsidR="00F66283" w:rsidRPr="00205592">
        <w:rPr>
          <w:rFonts w:ascii="Verdana" w:hAnsi="Verdana" w:cs="Verdana"/>
          <w:i/>
          <w:sz w:val="24"/>
          <w:szCs w:val="24"/>
          <w:lang w:val="es-CR"/>
        </w:rPr>
        <w:t xml:space="preserve"> </w:t>
      </w:r>
      <w:r w:rsidR="00091DC3" w:rsidRPr="00205592">
        <w:rPr>
          <w:rFonts w:ascii="Verdana" w:hAnsi="Verdana" w:cs="Verdana"/>
          <w:i/>
          <w:color w:val="000000"/>
          <w:sz w:val="24"/>
          <w:szCs w:val="24"/>
          <w:lang w:val="es-CR"/>
        </w:rPr>
        <w:t>Manuel Miranda, Marianella Ledesma, Carlos Ramos y Eloy Espinosa-Saldaña</w:t>
      </w:r>
      <w:r w:rsidR="00091DC3" w:rsidRPr="00205592">
        <w:rPr>
          <w:rFonts w:ascii="Verdana" w:hAnsi="Verdana" w:cs="Verdana"/>
          <w:i/>
          <w:sz w:val="24"/>
          <w:szCs w:val="24"/>
          <w:lang w:val="es-CR"/>
        </w:rPr>
        <w:t xml:space="preserve"> </w:t>
      </w:r>
      <w:r w:rsidR="00F66283" w:rsidRPr="00205592">
        <w:rPr>
          <w:rFonts w:ascii="Verdana" w:hAnsi="Verdana" w:cs="Verdana"/>
          <w:i/>
          <w:sz w:val="24"/>
          <w:szCs w:val="24"/>
          <w:lang w:val="es-CR"/>
        </w:rPr>
        <w:t>…</w:t>
      </w:r>
      <w:r w:rsidR="00E80CD6" w:rsidRPr="00205592">
        <w:rPr>
          <w:rFonts w:ascii="Verdana" w:hAnsi="Verdana" w:cs="Verdana"/>
          <w:i/>
          <w:sz w:val="24"/>
          <w:szCs w:val="24"/>
          <w:lang w:val="es-CR"/>
        </w:rPr>
        <w:t>”</w:t>
      </w:r>
      <w:r w:rsidR="00F66283" w:rsidRPr="00205592">
        <w:rPr>
          <w:rFonts w:ascii="Verdana" w:hAnsi="Verdana" w:cs="Verdana"/>
          <w:i/>
          <w:sz w:val="24"/>
          <w:szCs w:val="24"/>
          <w:lang w:val="es-CR"/>
        </w:rPr>
        <w:t>.</w:t>
      </w:r>
    </w:p>
    <w:p w14:paraId="7D938BC7" w14:textId="77777777" w:rsidR="00B85907" w:rsidRPr="007E22A0" w:rsidRDefault="00F66283" w:rsidP="00F7745F">
      <w:pPr>
        <w:spacing w:before="120"/>
        <w:rPr>
          <w:rFonts w:ascii="Verdana" w:hAnsi="Verdana"/>
          <w:sz w:val="24"/>
          <w:szCs w:val="24"/>
          <w:lang w:val="es-ES_tradnl"/>
        </w:rPr>
      </w:pPr>
      <w:r w:rsidRPr="00F7745F">
        <w:rPr>
          <w:rFonts w:ascii="Verdana" w:hAnsi="Verdana" w:cs="Verdana"/>
          <w:sz w:val="24"/>
          <w:szCs w:val="24"/>
          <w:lang w:val="es-CR"/>
        </w:rPr>
        <w:t>Sin embargo y pese a todas esas referencia</w:t>
      </w:r>
      <w:r w:rsidR="00091DC3" w:rsidRPr="00F7745F">
        <w:rPr>
          <w:rFonts w:ascii="Verdana" w:hAnsi="Verdana" w:cs="Verdana"/>
          <w:sz w:val="24"/>
          <w:szCs w:val="24"/>
          <w:lang w:val="es-CR"/>
        </w:rPr>
        <w:t>s</w:t>
      </w:r>
      <w:r w:rsidRPr="00F7745F">
        <w:rPr>
          <w:rFonts w:ascii="Verdana" w:hAnsi="Verdana" w:cs="Verdana"/>
          <w:sz w:val="24"/>
          <w:szCs w:val="24"/>
          <w:lang w:val="es-CR"/>
        </w:rPr>
        <w:t xml:space="preserve"> a los principios de independencia e imparcialidad judiciales que serían afectados por la eventual destitución de los </w:t>
      </w:r>
      <w:r w:rsidR="00091DC3" w:rsidRPr="00F7745F">
        <w:rPr>
          <w:rFonts w:ascii="Verdana" w:hAnsi="Verdana" w:cs="Verdana"/>
          <w:sz w:val="24"/>
          <w:szCs w:val="24"/>
          <w:lang w:val="es-CR"/>
        </w:rPr>
        <w:t xml:space="preserve">individualizados </w:t>
      </w:r>
      <w:r w:rsidRPr="00F7745F">
        <w:rPr>
          <w:rFonts w:ascii="Verdana" w:hAnsi="Verdana" w:cs="Verdana"/>
          <w:sz w:val="24"/>
          <w:szCs w:val="24"/>
          <w:lang w:val="es-CR"/>
        </w:rPr>
        <w:t>magistrados del Tribunal</w:t>
      </w:r>
      <w:r w:rsidR="00F14A51">
        <w:rPr>
          <w:rFonts w:ascii="Verdana" w:hAnsi="Verdana" w:cs="Verdana"/>
          <w:sz w:val="24"/>
          <w:szCs w:val="24"/>
          <w:lang w:val="es-CR"/>
        </w:rPr>
        <w:t>,</w:t>
      </w:r>
      <w:r w:rsidRPr="00F7745F">
        <w:rPr>
          <w:rFonts w:ascii="Verdana" w:hAnsi="Verdana" w:cs="Verdana"/>
          <w:sz w:val="24"/>
          <w:szCs w:val="24"/>
          <w:lang w:val="es-CR"/>
        </w:rPr>
        <w:t xml:space="preserve"> </w:t>
      </w:r>
      <w:r w:rsidR="00091DC3" w:rsidRPr="00F7745F">
        <w:rPr>
          <w:rFonts w:ascii="Verdana" w:hAnsi="Verdana" w:cs="Verdana"/>
          <w:sz w:val="24"/>
          <w:szCs w:val="24"/>
          <w:lang w:val="es-CR"/>
        </w:rPr>
        <w:t>la consecuencia</w:t>
      </w:r>
      <w:r w:rsidR="007E22A0">
        <w:rPr>
          <w:rFonts w:ascii="Verdana" w:hAnsi="Verdana" w:cs="Verdana"/>
          <w:sz w:val="24"/>
          <w:szCs w:val="24"/>
          <w:lang w:val="es-CR"/>
        </w:rPr>
        <w:t xml:space="preserve"> directa y evidente</w:t>
      </w:r>
      <w:r w:rsidR="00C935A8" w:rsidRPr="00F7745F">
        <w:rPr>
          <w:rFonts w:ascii="Verdana" w:hAnsi="Verdana" w:cs="Verdana"/>
          <w:sz w:val="24"/>
          <w:szCs w:val="24"/>
          <w:lang w:val="es-CR"/>
        </w:rPr>
        <w:t xml:space="preserve"> que el señalado procedimiento tendría</w:t>
      </w:r>
      <w:r w:rsidR="00091DC3" w:rsidRPr="00F7745F">
        <w:rPr>
          <w:rFonts w:ascii="Verdana" w:hAnsi="Verdana" w:cs="Verdana"/>
          <w:sz w:val="24"/>
          <w:szCs w:val="24"/>
          <w:lang w:val="es-CR"/>
        </w:rPr>
        <w:t xml:space="preserve"> </w:t>
      </w:r>
      <w:r w:rsidR="00C935A8" w:rsidRPr="00F7745F">
        <w:rPr>
          <w:rFonts w:ascii="Verdana" w:hAnsi="Verdana" w:cs="Verdana"/>
          <w:sz w:val="24"/>
          <w:szCs w:val="24"/>
          <w:lang w:val="es-CR"/>
        </w:rPr>
        <w:t>en el cumplimiento de la Sentencia</w:t>
      </w:r>
      <w:r w:rsidR="00C935A8" w:rsidRPr="00F7745F">
        <w:rPr>
          <w:rStyle w:val="FootnoteReference"/>
          <w:rFonts w:ascii="Verdana" w:hAnsi="Verdana" w:cs="Verdana"/>
          <w:sz w:val="24"/>
          <w:szCs w:val="24"/>
          <w:lang w:val="es-CR"/>
        </w:rPr>
        <w:t xml:space="preserve"> </w:t>
      </w:r>
      <w:r w:rsidR="007E22A0">
        <w:rPr>
          <w:rFonts w:ascii="Verdana" w:hAnsi="Verdana" w:cs="Verdana"/>
          <w:sz w:val="24"/>
          <w:szCs w:val="24"/>
          <w:lang w:val="es-CR"/>
        </w:rPr>
        <w:t xml:space="preserve">del </w:t>
      </w:r>
      <w:r w:rsidR="00F14A51">
        <w:rPr>
          <w:rFonts w:ascii="Verdana" w:hAnsi="Verdana"/>
          <w:i/>
          <w:sz w:val="24"/>
          <w:szCs w:val="24"/>
          <w:lang w:val="es-ES_tradnl"/>
        </w:rPr>
        <w:t>Caso Durand y Ugarte Vs. Perú</w:t>
      </w:r>
      <w:r w:rsidR="00F14A51" w:rsidRPr="00F14A51">
        <w:rPr>
          <w:rFonts w:ascii="Verdana" w:hAnsi="Verdana"/>
          <w:sz w:val="24"/>
          <w:szCs w:val="24"/>
          <w:lang w:val="es-ES_tradnl"/>
        </w:rPr>
        <w:t xml:space="preserve"> no queda</w:t>
      </w:r>
      <w:r w:rsidR="00F14A51">
        <w:rPr>
          <w:rFonts w:ascii="Verdana" w:hAnsi="Verdana"/>
          <w:i/>
          <w:sz w:val="24"/>
          <w:szCs w:val="24"/>
          <w:lang w:val="es-ES_tradnl"/>
        </w:rPr>
        <w:t xml:space="preserve"> </w:t>
      </w:r>
      <w:r w:rsidR="00F14A51">
        <w:rPr>
          <w:rFonts w:ascii="Verdana" w:hAnsi="Verdana"/>
          <w:sz w:val="24"/>
          <w:szCs w:val="24"/>
          <w:lang w:val="es-ES_tradnl"/>
        </w:rPr>
        <w:t>acreditada.</w:t>
      </w:r>
      <w:r w:rsidR="007E22A0">
        <w:rPr>
          <w:rFonts w:ascii="Verdana" w:hAnsi="Verdana"/>
          <w:sz w:val="24"/>
          <w:szCs w:val="24"/>
          <w:lang w:val="es-ES_tradnl"/>
        </w:rPr>
        <w:t xml:space="preserve"> </w:t>
      </w:r>
    </w:p>
    <w:p w14:paraId="20665A31" w14:textId="77777777" w:rsidR="00EA1D43" w:rsidRPr="00EA1D43" w:rsidRDefault="00EA1D43" w:rsidP="00EA1D43">
      <w:pPr>
        <w:pStyle w:val="ListParagraph"/>
        <w:numPr>
          <w:ilvl w:val="0"/>
          <w:numId w:val="25"/>
        </w:numPr>
        <w:spacing w:before="120"/>
        <w:rPr>
          <w:rFonts w:ascii="Verdana" w:hAnsi="Verdana"/>
          <w:b/>
          <w:sz w:val="24"/>
          <w:szCs w:val="24"/>
          <w:lang w:val="es-ES"/>
        </w:rPr>
      </w:pPr>
      <w:r w:rsidRPr="00EA1D43">
        <w:rPr>
          <w:rFonts w:ascii="Verdana" w:hAnsi="Verdana"/>
          <w:b/>
          <w:sz w:val="24"/>
          <w:szCs w:val="24"/>
          <w:lang w:val="es-ES"/>
        </w:rPr>
        <w:t>Seguridad jurídica.</w:t>
      </w:r>
    </w:p>
    <w:p w14:paraId="119ECED0" w14:textId="77777777" w:rsidR="00FB6336" w:rsidRDefault="00FB6336" w:rsidP="00FB6336">
      <w:pPr>
        <w:spacing w:before="120"/>
        <w:rPr>
          <w:rFonts w:ascii="Verdana" w:hAnsi="Verdana" w:cs="Verdana"/>
          <w:sz w:val="24"/>
          <w:szCs w:val="24"/>
          <w:lang w:val="es-CR"/>
        </w:rPr>
      </w:pPr>
      <w:r w:rsidRPr="00FB6336">
        <w:rPr>
          <w:rFonts w:ascii="Verdana" w:hAnsi="Verdana"/>
          <w:sz w:val="24"/>
          <w:szCs w:val="24"/>
          <w:lang w:val="es-ES_tradnl"/>
        </w:rPr>
        <w:t xml:space="preserve">Por otra parte, es preciso llamar la atención que con ello, la Resolución le da a un hecho que aún no ha acontecido y que pueda que no ocurra, una certeza que, por lo tanto, no parece tal. </w:t>
      </w:r>
    </w:p>
    <w:p w14:paraId="1470C035" w14:textId="64685EE5" w:rsidR="00EA1D43" w:rsidRPr="00FB6336" w:rsidRDefault="00FB6336" w:rsidP="00FB6336">
      <w:pPr>
        <w:spacing w:before="120"/>
        <w:rPr>
          <w:rFonts w:ascii="Verdana" w:hAnsi="Verdana" w:cs="Verdana"/>
          <w:sz w:val="24"/>
          <w:szCs w:val="24"/>
          <w:lang w:val="es-CR"/>
        </w:rPr>
      </w:pPr>
      <w:r>
        <w:rPr>
          <w:rFonts w:ascii="Verdana" w:hAnsi="Verdana" w:cs="Verdana"/>
          <w:sz w:val="24"/>
          <w:szCs w:val="24"/>
          <w:lang w:val="es-CR"/>
        </w:rPr>
        <w:t xml:space="preserve">Efectivamente, </w:t>
      </w:r>
      <w:r w:rsidR="00EA1D43">
        <w:rPr>
          <w:rFonts w:ascii="Verdana" w:hAnsi="Verdana"/>
          <w:sz w:val="24"/>
          <w:szCs w:val="24"/>
          <w:lang w:val="es-ES"/>
        </w:rPr>
        <w:t>e</w:t>
      </w:r>
      <w:r w:rsidR="00EA1D43" w:rsidRPr="00F7745F">
        <w:rPr>
          <w:rFonts w:ascii="Verdana" w:hAnsi="Verdana"/>
          <w:sz w:val="24"/>
          <w:szCs w:val="24"/>
          <w:lang w:val="es-ES"/>
        </w:rPr>
        <w:t xml:space="preserve">n no pocas ocasiones, la Resolución evoca a la seguridad jurídica, indicando que ella es o sería afectada por lo que </w:t>
      </w:r>
      <w:r w:rsidR="00EA1D43" w:rsidRPr="00F7745F">
        <w:rPr>
          <w:rFonts w:ascii="Verdana" w:hAnsi="Verdana"/>
          <w:sz w:val="24"/>
          <w:szCs w:val="24"/>
          <w:lang w:val="es-ES"/>
        </w:rPr>
        <w:lastRenderedPageBreak/>
        <w:t xml:space="preserve">eventualmente se disponga en el juicio político antes referido. </w:t>
      </w:r>
      <w:r w:rsidR="00EA1D43">
        <w:rPr>
          <w:rFonts w:ascii="Verdana" w:hAnsi="Verdana"/>
          <w:sz w:val="24"/>
          <w:szCs w:val="24"/>
          <w:lang w:val="es-ES"/>
        </w:rPr>
        <w:t xml:space="preserve">Los </w:t>
      </w:r>
      <w:r w:rsidR="00EA1D43" w:rsidRPr="00CF2EA1">
        <w:rPr>
          <w:rFonts w:ascii="Verdana" w:hAnsi="Verdana"/>
          <w:sz w:val="24"/>
          <w:szCs w:val="24"/>
          <w:lang w:val="es-ES"/>
        </w:rPr>
        <w:t xml:space="preserve">Considerandos </w:t>
      </w:r>
      <w:r w:rsidR="00CF2EA1" w:rsidRPr="00CF2EA1">
        <w:rPr>
          <w:rFonts w:ascii="Verdana" w:hAnsi="Verdana"/>
          <w:sz w:val="24"/>
          <w:szCs w:val="24"/>
          <w:lang w:val="es-ES"/>
        </w:rPr>
        <w:t>25</w:t>
      </w:r>
      <w:r w:rsidR="00EA1D43" w:rsidRPr="00CF2EA1">
        <w:rPr>
          <w:rFonts w:ascii="Verdana" w:hAnsi="Verdana"/>
          <w:sz w:val="24"/>
          <w:szCs w:val="24"/>
          <w:lang w:val="es-ES"/>
        </w:rPr>
        <w:t xml:space="preserve">, </w:t>
      </w:r>
      <w:r w:rsidR="00CF2EA1" w:rsidRPr="00CF2EA1">
        <w:rPr>
          <w:rFonts w:ascii="Verdana" w:hAnsi="Verdana"/>
          <w:sz w:val="24"/>
          <w:szCs w:val="24"/>
          <w:lang w:val="es-ES"/>
        </w:rPr>
        <w:t xml:space="preserve">29, </w:t>
      </w:r>
      <w:r w:rsidR="00EA1D43" w:rsidRPr="00CF2EA1">
        <w:rPr>
          <w:rFonts w:ascii="Verdana" w:hAnsi="Verdana"/>
          <w:sz w:val="24"/>
          <w:szCs w:val="24"/>
          <w:lang w:val="es-ES"/>
        </w:rPr>
        <w:t xml:space="preserve"> </w:t>
      </w:r>
      <w:r w:rsidR="00CF2EA1" w:rsidRPr="00CF2EA1">
        <w:rPr>
          <w:rFonts w:ascii="Verdana" w:hAnsi="Verdana"/>
          <w:sz w:val="24"/>
          <w:szCs w:val="24"/>
          <w:lang w:val="es-ES"/>
        </w:rPr>
        <w:t xml:space="preserve">34 </w:t>
      </w:r>
      <w:r w:rsidR="00EA1D43" w:rsidRPr="00CF2EA1">
        <w:rPr>
          <w:rFonts w:ascii="Verdana" w:hAnsi="Verdana"/>
          <w:sz w:val="24"/>
          <w:szCs w:val="24"/>
          <w:lang w:val="es-ES"/>
        </w:rPr>
        <w:t xml:space="preserve">y </w:t>
      </w:r>
      <w:r w:rsidR="00CF2EA1" w:rsidRPr="00CF2EA1">
        <w:rPr>
          <w:rFonts w:ascii="Verdana" w:hAnsi="Verdana"/>
          <w:sz w:val="24"/>
          <w:szCs w:val="24"/>
          <w:lang w:val="es-ES"/>
        </w:rPr>
        <w:t xml:space="preserve">40 </w:t>
      </w:r>
      <w:r w:rsidR="00EA1D43">
        <w:rPr>
          <w:rFonts w:ascii="Verdana" w:hAnsi="Verdana"/>
          <w:sz w:val="24"/>
          <w:szCs w:val="24"/>
          <w:lang w:val="es-ES"/>
        </w:rPr>
        <w:t xml:space="preserve"> de la Resolución abordan esta cuestión</w:t>
      </w:r>
      <w:r w:rsidR="00EA1D43" w:rsidRPr="00F7745F">
        <w:rPr>
          <w:rFonts w:ascii="Verdana" w:hAnsi="Verdana"/>
          <w:sz w:val="24"/>
          <w:szCs w:val="24"/>
          <w:lang w:val="es-ES"/>
        </w:rPr>
        <w:t>.</w:t>
      </w:r>
    </w:p>
    <w:p w14:paraId="64794301" w14:textId="2BA9FE21" w:rsidR="00C87F59" w:rsidRPr="00EA1D43" w:rsidRDefault="00EA1D43" w:rsidP="00EA1D43">
      <w:pPr>
        <w:spacing w:after="160"/>
        <w:rPr>
          <w:rFonts w:ascii="Verdana" w:hAnsi="Verdana"/>
          <w:sz w:val="24"/>
          <w:szCs w:val="24"/>
          <w:lang w:val="es-ES"/>
        </w:rPr>
      </w:pPr>
      <w:r w:rsidRPr="00F7745F">
        <w:rPr>
          <w:rFonts w:ascii="Verdana" w:hAnsi="Verdana"/>
          <w:sz w:val="24"/>
          <w:szCs w:val="24"/>
          <w:lang w:val="es-ES"/>
        </w:rPr>
        <w:t xml:space="preserve">Sin embargo, precisamente </w:t>
      </w:r>
      <w:r>
        <w:rPr>
          <w:rFonts w:ascii="Verdana" w:hAnsi="Verdana"/>
          <w:sz w:val="24"/>
          <w:szCs w:val="24"/>
          <w:lang w:val="es-ES"/>
        </w:rPr>
        <w:t xml:space="preserve">es la Resolución </w:t>
      </w:r>
      <w:r w:rsidRPr="00F7745F">
        <w:rPr>
          <w:rFonts w:ascii="Verdana" w:hAnsi="Verdana"/>
          <w:sz w:val="24"/>
          <w:szCs w:val="24"/>
          <w:lang w:val="es-ES"/>
        </w:rPr>
        <w:t>la que incorpora un elemento de inseguridad jurídica en la situación de que se trata.</w:t>
      </w:r>
      <w:r>
        <w:rPr>
          <w:rFonts w:ascii="Verdana" w:hAnsi="Verdana"/>
          <w:sz w:val="24"/>
          <w:szCs w:val="24"/>
          <w:lang w:val="es-ES"/>
        </w:rPr>
        <w:t xml:space="preserve"> Lo hace al </w:t>
      </w:r>
      <w:r w:rsidRPr="00F7745F">
        <w:rPr>
          <w:rFonts w:ascii="Verdana" w:hAnsi="Verdana"/>
          <w:sz w:val="24"/>
          <w:szCs w:val="24"/>
          <w:lang w:val="es-ES"/>
        </w:rPr>
        <w:t>referirse, como base o fundamento para decretar las medidas provisionales, a un hecho futuro e incierto, es decir, a uno de los posibles</w:t>
      </w:r>
      <w:r>
        <w:rPr>
          <w:rFonts w:ascii="Verdana" w:hAnsi="Verdana"/>
          <w:sz w:val="24"/>
          <w:szCs w:val="24"/>
          <w:lang w:val="es-ES"/>
        </w:rPr>
        <w:t>, más no seguro,</w:t>
      </w:r>
      <w:r w:rsidRPr="00F7745F">
        <w:rPr>
          <w:rFonts w:ascii="Verdana" w:hAnsi="Verdana"/>
          <w:sz w:val="24"/>
          <w:szCs w:val="24"/>
          <w:lang w:val="es-ES"/>
        </w:rPr>
        <w:t xml:space="preserve"> resultados que podría tener la acusación constitucional en actual</w:t>
      </w:r>
      <w:r>
        <w:rPr>
          <w:rFonts w:ascii="Verdana" w:hAnsi="Verdana"/>
          <w:sz w:val="24"/>
          <w:szCs w:val="24"/>
          <w:lang w:val="es-ES"/>
        </w:rPr>
        <w:t xml:space="preserve"> trámite, cual es, la sanción a</w:t>
      </w:r>
      <w:r w:rsidRPr="00F7745F">
        <w:rPr>
          <w:rFonts w:ascii="Verdana" w:hAnsi="Verdana"/>
          <w:sz w:val="24"/>
          <w:szCs w:val="24"/>
          <w:lang w:val="es-ES"/>
        </w:rPr>
        <w:t xml:space="preserve"> los mag</w:t>
      </w:r>
      <w:r>
        <w:rPr>
          <w:rFonts w:ascii="Verdana" w:hAnsi="Verdana"/>
          <w:sz w:val="24"/>
          <w:szCs w:val="24"/>
          <w:lang w:val="es-ES"/>
        </w:rPr>
        <w:t>istrados</w:t>
      </w:r>
      <w:r w:rsidRPr="00F7745F">
        <w:rPr>
          <w:rFonts w:ascii="Verdana" w:hAnsi="Verdana"/>
          <w:sz w:val="24"/>
          <w:szCs w:val="24"/>
          <w:lang w:val="es-ES"/>
        </w:rPr>
        <w:t xml:space="preserve">. </w:t>
      </w:r>
    </w:p>
    <w:p w14:paraId="1B0C7BD8" w14:textId="77777777" w:rsidR="006929B9" w:rsidRPr="00F7745F" w:rsidRDefault="006929B9" w:rsidP="00F7745F">
      <w:pPr>
        <w:pStyle w:val="ListParagraph"/>
        <w:numPr>
          <w:ilvl w:val="0"/>
          <w:numId w:val="25"/>
        </w:numPr>
        <w:spacing w:before="120"/>
        <w:ind w:left="643"/>
        <w:rPr>
          <w:rFonts w:ascii="Verdana" w:hAnsi="Verdana"/>
          <w:b/>
          <w:sz w:val="24"/>
          <w:szCs w:val="24"/>
          <w:lang w:val="es-ES"/>
        </w:rPr>
      </w:pPr>
      <w:r w:rsidRPr="00F7745F">
        <w:rPr>
          <w:rFonts w:ascii="Verdana" w:hAnsi="Verdana"/>
          <w:b/>
          <w:sz w:val="24"/>
          <w:szCs w:val="24"/>
          <w:lang w:val="es-ES"/>
        </w:rPr>
        <w:t>Juicio político.</w:t>
      </w:r>
    </w:p>
    <w:p w14:paraId="48F7D852" w14:textId="041DACB9" w:rsidR="006929B9" w:rsidRPr="00F7745F" w:rsidRDefault="00EA1D43" w:rsidP="00F7745F">
      <w:pPr>
        <w:rPr>
          <w:rFonts w:ascii="Verdana" w:hAnsi="Verdana"/>
          <w:sz w:val="24"/>
          <w:szCs w:val="24"/>
          <w:lang w:val="es-ES"/>
        </w:rPr>
      </w:pPr>
      <w:r>
        <w:rPr>
          <w:rFonts w:ascii="Verdana" w:hAnsi="Verdana"/>
          <w:sz w:val="24"/>
          <w:szCs w:val="24"/>
          <w:lang w:val="es-ES"/>
        </w:rPr>
        <w:t>La tercera</w:t>
      </w:r>
      <w:r w:rsidR="006929B9" w:rsidRPr="00F7745F">
        <w:rPr>
          <w:rFonts w:ascii="Verdana" w:hAnsi="Verdana"/>
          <w:sz w:val="24"/>
          <w:szCs w:val="24"/>
          <w:lang w:val="es-ES"/>
        </w:rPr>
        <w:t xml:space="preserve"> consideración general previa apunta a llamar la atención acerca de que, en definitiva, las medidas provisionales solicitadas y concedidas en autos, lo son respecto del juicio político que se le</w:t>
      </w:r>
      <w:r w:rsidR="004365AA">
        <w:rPr>
          <w:rFonts w:ascii="Verdana" w:hAnsi="Verdana"/>
          <w:sz w:val="24"/>
          <w:szCs w:val="24"/>
          <w:lang w:val="es-ES"/>
        </w:rPr>
        <w:t>s</w:t>
      </w:r>
      <w:r w:rsidR="006929B9" w:rsidRPr="00F7745F">
        <w:rPr>
          <w:rFonts w:ascii="Verdana" w:hAnsi="Verdana"/>
          <w:sz w:val="24"/>
          <w:szCs w:val="24"/>
          <w:lang w:val="es-ES"/>
        </w:rPr>
        <w:t xml:space="preserve"> está siguiendo en el Perú</w:t>
      </w:r>
      <w:r w:rsidR="006929B9" w:rsidRPr="00F7745F">
        <w:rPr>
          <w:rStyle w:val="FootnoteReference"/>
          <w:rFonts w:ascii="Verdana" w:hAnsi="Verdana"/>
          <w:sz w:val="24"/>
          <w:szCs w:val="24"/>
          <w:lang w:val="es-ES"/>
        </w:rPr>
        <w:footnoteReference w:id="4"/>
      </w:r>
      <w:r w:rsidR="006929B9" w:rsidRPr="00F7745F">
        <w:rPr>
          <w:rFonts w:ascii="Verdana" w:hAnsi="Verdana"/>
          <w:sz w:val="24"/>
          <w:szCs w:val="24"/>
          <w:lang w:val="es-ES"/>
        </w:rPr>
        <w:t xml:space="preserve"> a cuatro magistrados del Tribunal Constitucional de ese país</w:t>
      </w:r>
      <w:r w:rsidR="006929B9" w:rsidRPr="00F7745F">
        <w:rPr>
          <w:rStyle w:val="FootnoteReference"/>
          <w:rFonts w:ascii="Verdana" w:hAnsi="Verdana"/>
          <w:sz w:val="24"/>
          <w:szCs w:val="24"/>
          <w:lang w:val="es-ES"/>
        </w:rPr>
        <w:footnoteReference w:id="5"/>
      </w:r>
      <w:r w:rsidR="006929B9" w:rsidRPr="00F7745F">
        <w:rPr>
          <w:rFonts w:ascii="Verdana" w:hAnsi="Verdana"/>
          <w:sz w:val="24"/>
          <w:szCs w:val="24"/>
          <w:lang w:val="es-ES"/>
        </w:rPr>
        <w:t>.</w:t>
      </w:r>
      <w:r w:rsidR="004761E2">
        <w:rPr>
          <w:rFonts w:ascii="Verdana" w:hAnsi="Verdana"/>
          <w:sz w:val="24"/>
          <w:szCs w:val="24"/>
          <w:lang w:val="es-ES"/>
        </w:rPr>
        <w:t xml:space="preserve"> Los </w:t>
      </w:r>
      <w:r w:rsidR="004761E2" w:rsidRPr="006C5264">
        <w:rPr>
          <w:rFonts w:ascii="Verdana" w:hAnsi="Verdana"/>
          <w:sz w:val="24"/>
          <w:szCs w:val="24"/>
          <w:lang w:val="es-ES"/>
        </w:rPr>
        <w:t>considerandos 2</w:t>
      </w:r>
      <w:r w:rsidR="00E50393" w:rsidRPr="006C5264">
        <w:rPr>
          <w:rFonts w:ascii="Verdana" w:hAnsi="Verdana"/>
          <w:sz w:val="24"/>
          <w:szCs w:val="24"/>
          <w:lang w:val="es-ES"/>
        </w:rPr>
        <w:t>6, 29</w:t>
      </w:r>
      <w:r w:rsidR="00C87F59">
        <w:rPr>
          <w:rFonts w:ascii="Verdana" w:hAnsi="Verdana"/>
          <w:sz w:val="24"/>
          <w:szCs w:val="24"/>
          <w:lang w:val="es-ES"/>
        </w:rPr>
        <w:t>, 31, 32, 39, 40, 42</w:t>
      </w:r>
      <w:r w:rsidR="00E50393">
        <w:rPr>
          <w:rFonts w:ascii="Verdana" w:hAnsi="Verdana"/>
          <w:sz w:val="24"/>
          <w:szCs w:val="24"/>
          <w:lang w:val="es-ES"/>
        </w:rPr>
        <w:t xml:space="preserve">, así como el </w:t>
      </w:r>
      <w:r w:rsidR="00E50393" w:rsidRPr="00C87F59">
        <w:rPr>
          <w:rFonts w:ascii="Verdana" w:hAnsi="Verdana"/>
          <w:sz w:val="24"/>
          <w:szCs w:val="24"/>
          <w:lang w:val="es-ES"/>
        </w:rPr>
        <w:t>Resolutivo N°1</w:t>
      </w:r>
      <w:r w:rsidR="00E50393">
        <w:rPr>
          <w:rFonts w:ascii="Verdana" w:hAnsi="Verdana"/>
          <w:sz w:val="24"/>
          <w:szCs w:val="24"/>
          <w:lang w:val="es-ES"/>
        </w:rPr>
        <w:t xml:space="preserve"> transcrito precedentemente, </w:t>
      </w:r>
      <w:r w:rsidR="004761E2">
        <w:rPr>
          <w:rFonts w:ascii="Verdana" w:hAnsi="Verdana"/>
          <w:sz w:val="24"/>
          <w:szCs w:val="24"/>
          <w:lang w:val="es-ES"/>
        </w:rPr>
        <w:t>dan cuenta de ello</w:t>
      </w:r>
      <w:r w:rsidR="00E50393">
        <w:rPr>
          <w:rFonts w:ascii="Verdana" w:hAnsi="Verdana"/>
          <w:sz w:val="24"/>
          <w:szCs w:val="24"/>
          <w:lang w:val="es-ES"/>
        </w:rPr>
        <w:t>.</w:t>
      </w:r>
      <w:r w:rsidR="004365AA">
        <w:rPr>
          <w:rFonts w:ascii="Verdana" w:hAnsi="Verdana"/>
          <w:sz w:val="24"/>
          <w:szCs w:val="24"/>
          <w:lang w:val="es-ES"/>
        </w:rPr>
        <w:t xml:space="preserve"> </w:t>
      </w:r>
    </w:p>
    <w:p w14:paraId="6732AD3C" w14:textId="0177F700" w:rsidR="00EE589D" w:rsidRPr="00F7745F" w:rsidRDefault="00E50393" w:rsidP="00F7745F">
      <w:pPr>
        <w:rPr>
          <w:rFonts w:ascii="Verdana" w:hAnsi="Verdana"/>
          <w:sz w:val="24"/>
          <w:szCs w:val="24"/>
          <w:lang w:val="es-ES"/>
        </w:rPr>
      </w:pPr>
      <w:r>
        <w:rPr>
          <w:rFonts w:ascii="Verdana" w:hAnsi="Verdana"/>
          <w:sz w:val="24"/>
          <w:szCs w:val="24"/>
          <w:lang w:val="es-ES"/>
        </w:rPr>
        <w:t>Y, e</w:t>
      </w:r>
      <w:r w:rsidR="004761E2">
        <w:rPr>
          <w:rFonts w:ascii="Verdana" w:hAnsi="Verdana"/>
          <w:sz w:val="24"/>
          <w:szCs w:val="24"/>
          <w:lang w:val="es-ES"/>
        </w:rPr>
        <w:t>videntemente</w:t>
      </w:r>
      <w:r>
        <w:rPr>
          <w:rFonts w:ascii="Verdana" w:hAnsi="Verdana"/>
          <w:sz w:val="24"/>
          <w:szCs w:val="24"/>
          <w:lang w:val="es-ES"/>
        </w:rPr>
        <w:t xml:space="preserve">, dichas alusiones </w:t>
      </w:r>
      <w:r w:rsidR="00EE589D" w:rsidRPr="00F7745F">
        <w:rPr>
          <w:rFonts w:ascii="Verdana" w:hAnsi="Verdana"/>
          <w:sz w:val="24"/>
          <w:szCs w:val="24"/>
          <w:lang w:val="es-ES"/>
        </w:rPr>
        <w:t>no podría</w:t>
      </w:r>
      <w:r w:rsidR="001E3C83">
        <w:rPr>
          <w:rFonts w:ascii="Verdana" w:hAnsi="Verdana"/>
          <w:sz w:val="24"/>
          <w:szCs w:val="24"/>
          <w:lang w:val="es-ES"/>
        </w:rPr>
        <w:t>n</w:t>
      </w:r>
      <w:r>
        <w:rPr>
          <w:rFonts w:ascii="Verdana" w:hAnsi="Verdana"/>
          <w:sz w:val="24"/>
          <w:szCs w:val="24"/>
          <w:lang w:val="es-ES"/>
        </w:rPr>
        <w:t xml:space="preserve"> ser interpretadas</w:t>
      </w:r>
      <w:r w:rsidR="006929B9" w:rsidRPr="00F7745F">
        <w:rPr>
          <w:rFonts w:ascii="Verdana" w:hAnsi="Verdana"/>
          <w:sz w:val="24"/>
          <w:szCs w:val="24"/>
          <w:lang w:val="es-ES"/>
        </w:rPr>
        <w:t xml:space="preserve"> sino en el sentido de que el juicio político incoado en contra de los cuatro magistrados antes mencionados, constituiría un ilícito internacional, que, por tanto, justifica que la Corte adoptara y concediera la</w:t>
      </w:r>
      <w:r w:rsidR="00692359">
        <w:rPr>
          <w:rFonts w:ascii="Verdana" w:hAnsi="Verdana"/>
          <w:sz w:val="24"/>
          <w:szCs w:val="24"/>
          <w:lang w:val="es-ES"/>
        </w:rPr>
        <w:t>s</w:t>
      </w:r>
      <w:r w:rsidR="00F14A51">
        <w:rPr>
          <w:rFonts w:ascii="Verdana" w:hAnsi="Verdana"/>
          <w:sz w:val="24"/>
          <w:szCs w:val="24"/>
          <w:lang w:val="es-ES"/>
        </w:rPr>
        <w:t xml:space="preserve"> citadas medidas provisionales. Con ello y </w:t>
      </w:r>
      <w:r w:rsidR="00F14A51" w:rsidRPr="00F7745F">
        <w:rPr>
          <w:rFonts w:ascii="Verdana" w:hAnsi="Verdana"/>
          <w:sz w:val="24"/>
          <w:szCs w:val="24"/>
          <w:lang w:val="es-ES"/>
        </w:rPr>
        <w:t>al no proporcionarse detalladamente las peculiaridad</w:t>
      </w:r>
      <w:r w:rsidR="00F14A51">
        <w:rPr>
          <w:rFonts w:ascii="Verdana" w:hAnsi="Verdana"/>
          <w:sz w:val="24"/>
          <w:szCs w:val="24"/>
          <w:lang w:val="es-ES"/>
        </w:rPr>
        <w:t xml:space="preserve">es </w:t>
      </w:r>
      <w:r w:rsidR="00205592">
        <w:rPr>
          <w:rFonts w:ascii="Verdana" w:hAnsi="Verdana"/>
          <w:sz w:val="24"/>
          <w:szCs w:val="24"/>
          <w:lang w:val="es-ES"/>
        </w:rPr>
        <w:t>d</w:t>
      </w:r>
      <w:r w:rsidR="00F14A51">
        <w:rPr>
          <w:rFonts w:ascii="Verdana" w:hAnsi="Verdana"/>
          <w:sz w:val="24"/>
          <w:szCs w:val="24"/>
          <w:lang w:val="es-ES"/>
        </w:rPr>
        <w:t xml:space="preserve">el caso de autos, la Resolución estaría sentando un </w:t>
      </w:r>
      <w:r w:rsidR="006929B9" w:rsidRPr="00F7745F">
        <w:rPr>
          <w:rFonts w:ascii="Verdana" w:hAnsi="Verdana"/>
          <w:sz w:val="24"/>
          <w:szCs w:val="24"/>
          <w:lang w:val="es-ES"/>
        </w:rPr>
        <w:t>precedente</w:t>
      </w:r>
      <w:r w:rsidR="00F14A51">
        <w:rPr>
          <w:rFonts w:ascii="Verdana" w:hAnsi="Verdana"/>
          <w:sz w:val="24"/>
          <w:szCs w:val="24"/>
          <w:lang w:val="es-ES"/>
        </w:rPr>
        <w:t xml:space="preserve"> que </w:t>
      </w:r>
      <w:r w:rsidR="006929B9" w:rsidRPr="00F7745F">
        <w:rPr>
          <w:rFonts w:ascii="Verdana" w:hAnsi="Verdana"/>
          <w:sz w:val="24"/>
          <w:szCs w:val="24"/>
          <w:lang w:val="es-ES"/>
        </w:rPr>
        <w:t>podría ser ap</w:t>
      </w:r>
      <w:r w:rsidR="00EE589D" w:rsidRPr="00F7745F">
        <w:rPr>
          <w:rFonts w:ascii="Verdana" w:hAnsi="Verdana"/>
          <w:sz w:val="24"/>
          <w:szCs w:val="24"/>
          <w:lang w:val="es-ES"/>
        </w:rPr>
        <w:t>licable a todo juicio político.</w:t>
      </w:r>
    </w:p>
    <w:p w14:paraId="1E2CC2C5" w14:textId="130D6663" w:rsidR="00EE589D" w:rsidRPr="00F7745F" w:rsidRDefault="00B60448" w:rsidP="00F7745F">
      <w:pPr>
        <w:rPr>
          <w:rFonts w:ascii="Verdana" w:hAnsi="Verdana"/>
          <w:sz w:val="24"/>
          <w:szCs w:val="24"/>
          <w:lang w:val="es-ES"/>
        </w:rPr>
      </w:pPr>
      <w:r>
        <w:rPr>
          <w:rFonts w:ascii="Verdana" w:hAnsi="Verdana"/>
          <w:sz w:val="24"/>
          <w:szCs w:val="24"/>
          <w:lang w:val="es-ES"/>
        </w:rPr>
        <w:t>Sobre este particular, hay que hacer presente que la Resolución no</w:t>
      </w:r>
      <w:r w:rsidRPr="001E3C83">
        <w:rPr>
          <w:rFonts w:ascii="Verdana" w:hAnsi="Verdana" w:cs="Tahoma"/>
          <w:sz w:val="24"/>
          <w:szCs w:val="24"/>
          <w:lang w:val="es-CR"/>
        </w:rPr>
        <w:t xml:space="preserve"> </w:t>
      </w:r>
      <w:r w:rsidR="00EE589D" w:rsidRPr="001E3C83">
        <w:rPr>
          <w:rFonts w:ascii="Verdana" w:hAnsi="Verdana" w:cs="Tahoma"/>
          <w:sz w:val="24"/>
          <w:szCs w:val="24"/>
          <w:lang w:val="es-CR"/>
        </w:rPr>
        <w:t>afirma que en el citado juicio político no se estarían respetando las garantías mínimas del debido proceso</w:t>
      </w:r>
      <w:r w:rsidR="004B672E">
        <w:rPr>
          <w:rFonts w:ascii="Verdana" w:hAnsi="Verdana" w:cs="Tahoma"/>
          <w:sz w:val="24"/>
          <w:szCs w:val="24"/>
          <w:lang w:val="es-CR"/>
        </w:rPr>
        <w:t>,</w:t>
      </w:r>
      <w:r w:rsidR="00EE589D" w:rsidRPr="001E3C83">
        <w:rPr>
          <w:rFonts w:ascii="Verdana" w:hAnsi="Verdana" w:cs="Tahoma"/>
          <w:sz w:val="24"/>
          <w:szCs w:val="24"/>
          <w:lang w:val="es-CR"/>
        </w:rPr>
        <w:t xml:space="preserve"> previstas en el artículo 8 de la Convención</w:t>
      </w:r>
      <w:r w:rsidR="00EE589D" w:rsidRPr="00F7745F">
        <w:rPr>
          <w:rFonts w:ascii="Verdana" w:hAnsi="Verdana" w:cs="Tahoma"/>
          <w:sz w:val="24"/>
          <w:szCs w:val="24"/>
          <w:vertAlign w:val="superscript"/>
        </w:rPr>
        <w:footnoteReference w:id="6"/>
      </w:r>
      <w:r w:rsidR="00692359" w:rsidRPr="00724A76">
        <w:rPr>
          <w:rFonts w:ascii="Verdana" w:hAnsi="Verdana" w:cs="Tahoma"/>
          <w:sz w:val="24"/>
          <w:szCs w:val="24"/>
          <w:lang w:val="es-CR"/>
        </w:rPr>
        <w:t>,</w:t>
      </w:r>
      <w:r w:rsidR="00F14A51" w:rsidRPr="001E3C83">
        <w:rPr>
          <w:rFonts w:ascii="Verdana" w:hAnsi="Verdana" w:cs="Tahoma"/>
          <w:sz w:val="24"/>
          <w:szCs w:val="24"/>
          <w:lang w:val="es-CR"/>
        </w:rPr>
        <w:t xml:space="preserve"> ni </w:t>
      </w:r>
      <w:r w:rsidR="00EE589D" w:rsidRPr="001E3C83">
        <w:rPr>
          <w:rFonts w:ascii="Verdana" w:hAnsi="Verdana" w:cs="Tahoma"/>
          <w:sz w:val="24"/>
          <w:szCs w:val="24"/>
          <w:lang w:val="es-CR"/>
        </w:rPr>
        <w:t xml:space="preserve">la debida protección judicial contemplada en el artículo </w:t>
      </w:r>
      <w:r w:rsidR="00EE589D" w:rsidRPr="001E3C83">
        <w:rPr>
          <w:rFonts w:ascii="Verdana" w:hAnsi="Verdana" w:cs="Tahoma"/>
          <w:sz w:val="24"/>
          <w:szCs w:val="24"/>
          <w:lang w:val="es-CR"/>
        </w:rPr>
        <w:lastRenderedPageBreak/>
        <w:t>25 de dicho texto</w:t>
      </w:r>
      <w:r w:rsidR="00EE589D" w:rsidRPr="00F7745F">
        <w:rPr>
          <w:rFonts w:ascii="Verdana" w:hAnsi="Verdana" w:cs="Tahoma"/>
          <w:sz w:val="24"/>
          <w:szCs w:val="24"/>
          <w:vertAlign w:val="superscript"/>
        </w:rPr>
        <w:footnoteReference w:id="7"/>
      </w:r>
      <w:r w:rsidRPr="001E3C83">
        <w:rPr>
          <w:rFonts w:ascii="Verdana" w:hAnsi="Verdana" w:cs="Tahoma"/>
          <w:sz w:val="24"/>
          <w:szCs w:val="24"/>
          <w:lang w:val="es-CR"/>
        </w:rPr>
        <w:t>. Lo que invoca</w:t>
      </w:r>
      <w:r w:rsidR="00EE589D" w:rsidRPr="001E3C83">
        <w:rPr>
          <w:rFonts w:ascii="Verdana" w:hAnsi="Verdana" w:cs="Tahoma"/>
          <w:sz w:val="24"/>
          <w:szCs w:val="24"/>
          <w:lang w:val="es-CR"/>
        </w:rPr>
        <w:t>, en cambio, es el probable resultado</w:t>
      </w:r>
      <w:r w:rsidR="00692359">
        <w:rPr>
          <w:rFonts w:ascii="Verdana" w:hAnsi="Verdana" w:cs="Tahoma"/>
          <w:sz w:val="24"/>
          <w:szCs w:val="24"/>
          <w:lang w:val="es-CR"/>
        </w:rPr>
        <w:t xml:space="preserve"> sancionatorio</w:t>
      </w:r>
      <w:r w:rsidR="00EE589D" w:rsidRPr="001E3C83">
        <w:rPr>
          <w:rFonts w:ascii="Verdana" w:hAnsi="Verdana" w:cs="Tahoma"/>
          <w:sz w:val="24"/>
          <w:szCs w:val="24"/>
          <w:lang w:val="es-CR"/>
        </w:rPr>
        <w:t xml:space="preserve">, </w:t>
      </w:r>
      <w:r w:rsidRPr="001E3C83">
        <w:rPr>
          <w:rFonts w:ascii="Verdana" w:hAnsi="Verdana" w:cs="Tahoma"/>
          <w:sz w:val="24"/>
          <w:szCs w:val="24"/>
          <w:lang w:val="es-CR"/>
        </w:rPr>
        <w:t xml:space="preserve">que </w:t>
      </w:r>
      <w:r w:rsidR="00EE589D" w:rsidRPr="001E3C83">
        <w:rPr>
          <w:rFonts w:ascii="Verdana" w:hAnsi="Verdana" w:cs="Tahoma"/>
          <w:sz w:val="24"/>
          <w:szCs w:val="24"/>
          <w:lang w:val="es-CR"/>
        </w:rPr>
        <w:t>debido a la actual mayoría existen</w:t>
      </w:r>
      <w:r w:rsidRPr="001E3C83">
        <w:rPr>
          <w:rFonts w:ascii="Verdana" w:hAnsi="Verdana" w:cs="Tahoma"/>
          <w:sz w:val="24"/>
          <w:szCs w:val="24"/>
          <w:lang w:val="es-CR"/>
        </w:rPr>
        <w:t xml:space="preserve">te en el Congreso del Perú, </w:t>
      </w:r>
      <w:r w:rsidR="00EE589D" w:rsidRPr="001E3C83">
        <w:rPr>
          <w:rFonts w:ascii="Verdana" w:hAnsi="Verdana" w:cs="Tahoma"/>
          <w:sz w:val="24"/>
          <w:szCs w:val="24"/>
          <w:lang w:val="es-CR"/>
        </w:rPr>
        <w:t>podría tener el juicio político en desarrollo.</w:t>
      </w:r>
    </w:p>
    <w:p w14:paraId="3638CF97" w14:textId="5AF30A21" w:rsidR="00EE589D" w:rsidRPr="001E3C83" w:rsidRDefault="00EE589D" w:rsidP="00F7745F">
      <w:pPr>
        <w:rPr>
          <w:rFonts w:ascii="Verdana" w:hAnsi="Verdana" w:cs="Tahoma"/>
          <w:sz w:val="24"/>
          <w:szCs w:val="24"/>
          <w:lang w:val="es-CR"/>
        </w:rPr>
      </w:pPr>
      <w:r w:rsidRPr="001E3C83">
        <w:rPr>
          <w:rFonts w:ascii="Verdana" w:hAnsi="Verdana" w:cs="Tahoma"/>
          <w:sz w:val="24"/>
          <w:szCs w:val="24"/>
          <w:lang w:val="es-CR"/>
        </w:rPr>
        <w:t>En tal perspectiva, cabría interrogarse si la independencia de</w:t>
      </w:r>
      <w:r w:rsidR="00B60448" w:rsidRPr="001E3C83">
        <w:rPr>
          <w:rFonts w:ascii="Verdana" w:hAnsi="Verdana" w:cs="Tahoma"/>
          <w:sz w:val="24"/>
          <w:szCs w:val="24"/>
          <w:lang w:val="es-CR"/>
        </w:rPr>
        <w:t xml:space="preserve"> que debe gozar toda </w:t>
      </w:r>
      <w:r w:rsidRPr="001E3C83">
        <w:rPr>
          <w:rFonts w:ascii="Verdana" w:hAnsi="Verdana" w:cs="Tahoma"/>
          <w:sz w:val="24"/>
          <w:szCs w:val="24"/>
          <w:lang w:val="es-CR"/>
        </w:rPr>
        <w:t>función jurisdiccional, no debería igualmente respetarse</w:t>
      </w:r>
      <w:r w:rsidR="00B60448" w:rsidRPr="001E3C83">
        <w:rPr>
          <w:rFonts w:ascii="Verdana" w:hAnsi="Verdana" w:cs="Tahoma"/>
          <w:sz w:val="24"/>
          <w:szCs w:val="24"/>
          <w:lang w:val="es-CR"/>
        </w:rPr>
        <w:t xml:space="preserve"> en el caso del juicio </w:t>
      </w:r>
      <w:r w:rsidR="00692359" w:rsidRPr="001E3C83">
        <w:rPr>
          <w:rFonts w:ascii="Verdana" w:hAnsi="Verdana" w:cs="Tahoma"/>
          <w:sz w:val="24"/>
          <w:szCs w:val="24"/>
          <w:lang w:val="es-CR"/>
        </w:rPr>
        <w:t>político</w:t>
      </w:r>
      <w:r w:rsidR="00F14A51" w:rsidRPr="001E3C83">
        <w:rPr>
          <w:rFonts w:ascii="Verdana" w:hAnsi="Verdana" w:cs="Tahoma"/>
          <w:sz w:val="24"/>
          <w:szCs w:val="24"/>
          <w:lang w:val="es-CR"/>
        </w:rPr>
        <w:t xml:space="preserve"> seguido en el ámbito del sistema democrático</w:t>
      </w:r>
      <w:r w:rsidR="00015C8E">
        <w:rPr>
          <w:rStyle w:val="FootnoteReference"/>
          <w:rFonts w:ascii="Verdana" w:hAnsi="Verdana" w:cs="Tahoma"/>
          <w:sz w:val="24"/>
          <w:szCs w:val="24"/>
          <w:lang w:val="es-CR"/>
        </w:rPr>
        <w:footnoteReference w:id="8"/>
      </w:r>
      <w:r w:rsidR="00692359">
        <w:rPr>
          <w:rFonts w:ascii="Verdana" w:hAnsi="Verdana" w:cs="Tahoma"/>
          <w:sz w:val="24"/>
          <w:szCs w:val="24"/>
          <w:lang w:val="es-CR"/>
        </w:rPr>
        <w:t>.</w:t>
      </w:r>
    </w:p>
    <w:p w14:paraId="3C80AD65" w14:textId="77777777" w:rsidR="00F14A51" w:rsidRPr="00F14A51" w:rsidRDefault="004365AA" w:rsidP="00F14A51">
      <w:pPr>
        <w:pStyle w:val="ListParagraph"/>
        <w:numPr>
          <w:ilvl w:val="0"/>
          <w:numId w:val="24"/>
        </w:numPr>
        <w:spacing w:before="120"/>
        <w:ind w:left="720"/>
        <w:rPr>
          <w:rFonts w:ascii="Verdana" w:hAnsi="Verdana"/>
          <w:b/>
          <w:sz w:val="24"/>
          <w:szCs w:val="24"/>
          <w:lang w:val="es-ES"/>
        </w:rPr>
      </w:pPr>
      <w:r w:rsidRPr="001E3C83">
        <w:rPr>
          <w:rFonts w:ascii="Verdana" w:hAnsi="Verdana"/>
          <w:b/>
          <w:sz w:val="24"/>
          <w:szCs w:val="24"/>
          <w:lang w:val="es-CR"/>
        </w:rPr>
        <w:t>Normas procesales del sis</w:t>
      </w:r>
      <w:r w:rsidR="00B60448" w:rsidRPr="001E3C83">
        <w:rPr>
          <w:rFonts w:ascii="Verdana" w:hAnsi="Verdana"/>
          <w:b/>
          <w:sz w:val="24"/>
          <w:szCs w:val="24"/>
          <w:lang w:val="es-CR"/>
        </w:rPr>
        <w:t xml:space="preserve">tema interamericano de derechos </w:t>
      </w:r>
      <w:r w:rsidRPr="001E3C83">
        <w:rPr>
          <w:rFonts w:ascii="Verdana" w:hAnsi="Verdana"/>
          <w:b/>
          <w:sz w:val="24"/>
          <w:szCs w:val="24"/>
          <w:lang w:val="es-CR"/>
        </w:rPr>
        <w:t>humanos</w:t>
      </w:r>
      <w:r w:rsidR="00AC2E82" w:rsidRPr="001E3C83">
        <w:rPr>
          <w:rFonts w:ascii="Verdana" w:hAnsi="Verdana"/>
          <w:b/>
          <w:sz w:val="24"/>
          <w:szCs w:val="24"/>
          <w:lang w:val="es-CR"/>
        </w:rPr>
        <w:t xml:space="preserve"> aplicables</w:t>
      </w:r>
      <w:r w:rsidRPr="001E3C83">
        <w:rPr>
          <w:rFonts w:ascii="Verdana" w:hAnsi="Verdana"/>
          <w:b/>
          <w:sz w:val="24"/>
          <w:szCs w:val="24"/>
          <w:lang w:val="es-CR"/>
        </w:rPr>
        <w:t>.</w:t>
      </w:r>
    </w:p>
    <w:p w14:paraId="2F88D7DB" w14:textId="77777777" w:rsidR="00F14A51" w:rsidRPr="00F14A51" w:rsidRDefault="00F14A51" w:rsidP="00F14A51">
      <w:pPr>
        <w:pStyle w:val="ListParagraph"/>
        <w:spacing w:before="120"/>
        <w:rPr>
          <w:rFonts w:ascii="Verdana" w:hAnsi="Verdana"/>
          <w:b/>
          <w:sz w:val="24"/>
          <w:szCs w:val="24"/>
          <w:lang w:val="es-ES"/>
        </w:rPr>
      </w:pPr>
    </w:p>
    <w:p w14:paraId="2FCDB012" w14:textId="77777777" w:rsidR="00B60448" w:rsidRPr="00EA1D43" w:rsidRDefault="00B60448" w:rsidP="00EA1D43">
      <w:pPr>
        <w:pStyle w:val="ListParagraph"/>
        <w:numPr>
          <w:ilvl w:val="0"/>
          <w:numId w:val="32"/>
        </w:numPr>
        <w:spacing w:before="120"/>
        <w:rPr>
          <w:rFonts w:ascii="Verdana" w:hAnsi="Verdana"/>
          <w:b/>
          <w:sz w:val="24"/>
          <w:szCs w:val="24"/>
          <w:lang w:val="es-ES"/>
        </w:rPr>
      </w:pPr>
      <w:r w:rsidRPr="00EA1D43">
        <w:rPr>
          <w:rFonts w:ascii="Verdana" w:hAnsi="Verdana"/>
          <w:b/>
          <w:sz w:val="24"/>
          <w:szCs w:val="24"/>
          <w:lang w:val="es-ES"/>
        </w:rPr>
        <w:t>Comentario general.</w:t>
      </w:r>
    </w:p>
    <w:p w14:paraId="00E86F45" w14:textId="5587D7E6" w:rsidR="004365AA" w:rsidRPr="00B60448" w:rsidRDefault="004365AA" w:rsidP="00B60448">
      <w:pPr>
        <w:spacing w:before="120"/>
        <w:rPr>
          <w:rFonts w:ascii="Verdana" w:hAnsi="Verdana"/>
          <w:b/>
          <w:sz w:val="24"/>
          <w:szCs w:val="24"/>
          <w:lang w:val="es-ES"/>
        </w:rPr>
      </w:pPr>
      <w:r w:rsidRPr="00B60448">
        <w:rPr>
          <w:rFonts w:ascii="Verdana" w:hAnsi="Verdana"/>
          <w:sz w:val="24"/>
          <w:szCs w:val="24"/>
          <w:lang w:val="es-ES"/>
        </w:rPr>
        <w:t>En el ámbito interamericano y considerando que, según la Convención Americana sobre Derechos Humanos</w:t>
      </w:r>
      <w:r w:rsidRPr="00F7745F">
        <w:rPr>
          <w:rStyle w:val="FootnoteReference"/>
          <w:rFonts w:ascii="Verdana" w:hAnsi="Verdana"/>
          <w:sz w:val="24"/>
          <w:szCs w:val="24"/>
          <w:lang w:val="es-ES"/>
        </w:rPr>
        <w:footnoteReference w:id="9"/>
      </w:r>
      <w:r w:rsidRPr="00B60448">
        <w:rPr>
          <w:rFonts w:ascii="Verdana" w:hAnsi="Verdana"/>
          <w:sz w:val="24"/>
          <w:szCs w:val="24"/>
          <w:lang w:val="es-ES"/>
        </w:rPr>
        <w:t xml:space="preserve">, éstos </w:t>
      </w:r>
      <w:r w:rsidRPr="001E3C83">
        <w:rPr>
          <w:rFonts w:ascii="Verdana" w:hAnsi="Verdana"/>
          <w:sz w:val="24"/>
          <w:szCs w:val="24"/>
          <w:lang w:val="es-CR"/>
        </w:rPr>
        <w:t>“</w:t>
      </w:r>
      <w:r w:rsidRPr="00B60448">
        <w:rPr>
          <w:rFonts w:ascii="Verdana" w:hAnsi="Verdana"/>
          <w:i/>
          <w:sz w:val="24"/>
          <w:szCs w:val="24"/>
          <w:lang w:val="es-ES"/>
        </w:rPr>
        <w:t>tienen como fundamento los atributos de la persona humana</w:t>
      </w:r>
      <w:r w:rsidRPr="00B60448">
        <w:rPr>
          <w:rFonts w:ascii="Verdana" w:hAnsi="Verdana"/>
          <w:sz w:val="24"/>
          <w:szCs w:val="24"/>
          <w:lang w:val="es-ES"/>
        </w:rPr>
        <w:t>”</w:t>
      </w:r>
      <w:r w:rsidRPr="00F7745F">
        <w:rPr>
          <w:rStyle w:val="FootnoteReference"/>
          <w:rFonts w:ascii="Verdana" w:hAnsi="Verdana"/>
          <w:sz w:val="24"/>
          <w:szCs w:val="24"/>
          <w:lang w:val="es-ES"/>
        </w:rPr>
        <w:footnoteReference w:id="10"/>
      </w:r>
      <w:r w:rsidR="007A2C32">
        <w:rPr>
          <w:rFonts w:ascii="Verdana" w:hAnsi="Verdana"/>
          <w:sz w:val="24"/>
          <w:szCs w:val="24"/>
          <w:lang w:val="es-ES"/>
        </w:rPr>
        <w:t xml:space="preserve">. Consecuentemente, </w:t>
      </w:r>
      <w:r w:rsidRPr="00B60448">
        <w:rPr>
          <w:rFonts w:ascii="Verdana" w:hAnsi="Verdana"/>
          <w:sz w:val="24"/>
          <w:szCs w:val="24"/>
          <w:lang w:val="es-ES"/>
        </w:rPr>
        <w:t>ella</w:t>
      </w:r>
      <w:r w:rsidR="007A2C32">
        <w:rPr>
          <w:rFonts w:ascii="Verdana" w:hAnsi="Verdana"/>
          <w:sz w:val="24"/>
          <w:szCs w:val="24"/>
          <w:lang w:val="es-ES"/>
        </w:rPr>
        <w:t xml:space="preserve"> </w:t>
      </w:r>
      <w:r w:rsidR="007A2C32">
        <w:rPr>
          <w:rFonts w:ascii="Verdana" w:hAnsi="Verdana"/>
          <w:sz w:val="24"/>
          <w:szCs w:val="24"/>
          <w:lang w:val="es-ES"/>
        </w:rPr>
        <w:lastRenderedPageBreak/>
        <w:t>únicamente reconoce a algunos de esos derechos</w:t>
      </w:r>
      <w:r w:rsidRPr="00F7745F">
        <w:rPr>
          <w:rStyle w:val="FootnoteReference"/>
          <w:rFonts w:ascii="Verdana" w:hAnsi="Verdana"/>
          <w:sz w:val="24"/>
          <w:szCs w:val="24"/>
          <w:lang w:val="es-ES"/>
        </w:rPr>
        <w:footnoteReference w:id="11"/>
      </w:r>
      <w:r w:rsidR="007A2C32">
        <w:rPr>
          <w:rFonts w:ascii="Verdana" w:hAnsi="Verdana"/>
          <w:sz w:val="24"/>
          <w:szCs w:val="24"/>
          <w:lang w:val="es-ES"/>
        </w:rPr>
        <w:t xml:space="preserve"> y lo hace </w:t>
      </w:r>
      <w:r w:rsidRPr="00B60448">
        <w:rPr>
          <w:rFonts w:ascii="Verdana" w:hAnsi="Verdana"/>
          <w:sz w:val="24"/>
          <w:szCs w:val="24"/>
          <w:lang w:val="es-ES"/>
        </w:rPr>
        <w:t xml:space="preserve">a los efectos de proporcionar </w:t>
      </w:r>
      <w:r w:rsidRPr="00B60448">
        <w:rPr>
          <w:rFonts w:ascii="Verdana" w:hAnsi="Verdana"/>
          <w:i/>
          <w:sz w:val="24"/>
          <w:szCs w:val="24"/>
          <w:lang w:val="es-ES"/>
        </w:rPr>
        <w:t>“una protección internacional, de naturaleza convencional coadyuvante o complementaria de la que ofrece el derecho int</w:t>
      </w:r>
      <w:r w:rsidR="007A2C32">
        <w:rPr>
          <w:rFonts w:ascii="Verdana" w:hAnsi="Verdana"/>
          <w:i/>
          <w:sz w:val="24"/>
          <w:szCs w:val="24"/>
          <w:lang w:val="es-ES"/>
        </w:rPr>
        <w:t xml:space="preserve">erno de los Estados americanos”. </w:t>
      </w:r>
      <w:r w:rsidR="007A2C32" w:rsidRPr="007A2C32">
        <w:rPr>
          <w:rFonts w:ascii="Verdana" w:hAnsi="Verdana"/>
          <w:sz w:val="24"/>
          <w:szCs w:val="24"/>
          <w:lang w:val="es-ES"/>
        </w:rPr>
        <w:t>De</w:t>
      </w:r>
      <w:r w:rsidR="007A2C32">
        <w:rPr>
          <w:rFonts w:ascii="Verdana" w:hAnsi="Verdana"/>
          <w:sz w:val="24"/>
          <w:szCs w:val="24"/>
          <w:lang w:val="es-ES"/>
        </w:rPr>
        <w:t xml:space="preserve"> allí, por ende, </w:t>
      </w:r>
      <w:r w:rsidRPr="00B60448">
        <w:rPr>
          <w:rFonts w:ascii="Verdana" w:hAnsi="Verdana"/>
          <w:sz w:val="24"/>
          <w:szCs w:val="24"/>
          <w:lang w:val="es-ES"/>
        </w:rPr>
        <w:t>que</w:t>
      </w:r>
      <w:r w:rsidRPr="001E3C83">
        <w:rPr>
          <w:rFonts w:ascii="Verdana" w:hAnsi="Verdana"/>
          <w:sz w:val="24"/>
          <w:szCs w:val="24"/>
          <w:lang w:val="es-CR"/>
        </w:rPr>
        <w:t xml:space="preserve"> el propósito de la Convención sea </w:t>
      </w:r>
      <w:r w:rsidR="007A2C32" w:rsidRPr="001E3C83">
        <w:rPr>
          <w:rFonts w:ascii="Verdana" w:hAnsi="Verdana"/>
          <w:sz w:val="24"/>
          <w:szCs w:val="24"/>
          <w:lang w:val="es-CR"/>
        </w:rPr>
        <w:t xml:space="preserve">asimismo </w:t>
      </w:r>
      <w:r w:rsidRPr="004B672E">
        <w:rPr>
          <w:rFonts w:ascii="Verdana" w:hAnsi="Verdana"/>
          <w:sz w:val="24"/>
          <w:szCs w:val="24"/>
          <w:lang w:val="es-CR"/>
        </w:rPr>
        <w:t>de</w:t>
      </w:r>
      <w:r w:rsidR="00FE0329" w:rsidRPr="004B672E">
        <w:rPr>
          <w:rFonts w:ascii="Verdana" w:hAnsi="Verdana"/>
          <w:sz w:val="24"/>
          <w:szCs w:val="24"/>
          <w:lang w:val="es-CR"/>
        </w:rPr>
        <w:t xml:space="preserve"> </w:t>
      </w:r>
      <w:r w:rsidRPr="00B60448">
        <w:rPr>
          <w:rFonts w:ascii="Verdana" w:hAnsi="Verdana"/>
          <w:sz w:val="24"/>
          <w:szCs w:val="24"/>
          <w:lang w:val="es-ES"/>
        </w:rPr>
        <w:t xml:space="preserve">determinar </w:t>
      </w:r>
      <w:r w:rsidRPr="00B60448">
        <w:rPr>
          <w:rFonts w:ascii="Verdana" w:hAnsi="Verdana"/>
          <w:i/>
          <w:sz w:val="24"/>
          <w:szCs w:val="24"/>
          <w:lang w:val="es-ES"/>
        </w:rPr>
        <w:t>“la estructura, competencia y procedimiento de los órganos encargados de esa materia”</w:t>
      </w:r>
      <w:r w:rsidRPr="00F7745F">
        <w:rPr>
          <w:rStyle w:val="FootnoteReference"/>
          <w:rFonts w:ascii="Verdana" w:hAnsi="Verdana"/>
          <w:i/>
          <w:sz w:val="24"/>
          <w:szCs w:val="24"/>
          <w:lang w:val="es-ES"/>
        </w:rPr>
        <w:footnoteReference w:id="12"/>
      </w:r>
      <w:r w:rsidRPr="00B60448">
        <w:rPr>
          <w:rFonts w:ascii="Verdana" w:hAnsi="Verdana"/>
          <w:i/>
          <w:sz w:val="24"/>
          <w:szCs w:val="24"/>
          <w:lang w:val="es-ES"/>
        </w:rPr>
        <w:t>.</w:t>
      </w:r>
    </w:p>
    <w:p w14:paraId="70015D8A" w14:textId="77777777" w:rsidR="004365AA" w:rsidRPr="001E3C83" w:rsidRDefault="004365AA" w:rsidP="004365AA">
      <w:pPr>
        <w:rPr>
          <w:rFonts w:ascii="Verdana" w:hAnsi="Verdana"/>
          <w:sz w:val="24"/>
          <w:szCs w:val="24"/>
          <w:lang w:val="es-CR"/>
        </w:rPr>
      </w:pPr>
      <w:r w:rsidRPr="00F7745F">
        <w:rPr>
          <w:rFonts w:ascii="Verdana" w:hAnsi="Verdana"/>
          <w:sz w:val="24"/>
          <w:szCs w:val="24"/>
          <w:lang w:val="es-ES"/>
        </w:rPr>
        <w:t xml:space="preserve">Se puede colegir, por tanto, </w:t>
      </w:r>
      <w:r w:rsidRPr="001E3C83">
        <w:rPr>
          <w:rFonts w:ascii="Verdana" w:hAnsi="Verdana"/>
          <w:sz w:val="24"/>
          <w:szCs w:val="24"/>
          <w:lang w:val="es-CR"/>
        </w:rPr>
        <w:t>que el sistema interamericano de derechos humanos no está integrado exclusivamente por las normas que reconocen los referidos derechos, sino que también lo está por aquellas de orden procesal. Unas y otras son igualmente relevantes e indispensables para garantizar el debido y oportuno respeto de los derechos humanos.</w:t>
      </w:r>
    </w:p>
    <w:p w14:paraId="7F6E6F2A" w14:textId="77777777" w:rsidR="004365AA" w:rsidRPr="00F7745F" w:rsidRDefault="004365AA" w:rsidP="004365AA">
      <w:pPr>
        <w:rPr>
          <w:rFonts w:ascii="Verdana" w:hAnsi="Verdana"/>
          <w:sz w:val="24"/>
          <w:szCs w:val="24"/>
          <w:lang w:val="es-ES"/>
        </w:rPr>
      </w:pPr>
      <w:r w:rsidRPr="001E3C83">
        <w:rPr>
          <w:rFonts w:ascii="Verdana" w:hAnsi="Verdana"/>
          <w:sz w:val="24"/>
          <w:szCs w:val="24"/>
          <w:lang w:val="es-CR"/>
        </w:rPr>
        <w:t xml:space="preserve">Lo anterior, es particularmente significativo puesto que la jurisdicción interamericana, empleando términos de la Convención, debe proporcionar a todo el que comparece ante ella, sea persona humana sea Estado, </w:t>
      </w:r>
      <w:r w:rsidRPr="00F7745F">
        <w:rPr>
          <w:rFonts w:ascii="Verdana" w:hAnsi="Verdana"/>
          <w:sz w:val="24"/>
          <w:szCs w:val="24"/>
          <w:lang w:val="es-ES"/>
        </w:rPr>
        <w:t xml:space="preserve">las </w:t>
      </w:r>
      <w:r w:rsidR="003E0156">
        <w:rPr>
          <w:rFonts w:ascii="Verdana" w:hAnsi="Verdana"/>
          <w:sz w:val="24"/>
          <w:szCs w:val="24"/>
          <w:lang w:val="es-ES"/>
        </w:rPr>
        <w:t>“</w:t>
      </w:r>
      <w:r w:rsidRPr="00F7745F">
        <w:rPr>
          <w:rFonts w:ascii="Verdana" w:hAnsi="Verdana"/>
          <w:i/>
          <w:sz w:val="24"/>
          <w:szCs w:val="24"/>
          <w:lang w:val="es-ES"/>
        </w:rPr>
        <w:t>debidas garantías</w:t>
      </w:r>
      <w:r w:rsidR="003E0156">
        <w:rPr>
          <w:rFonts w:ascii="Verdana" w:hAnsi="Verdana"/>
          <w:sz w:val="24"/>
          <w:szCs w:val="24"/>
          <w:lang w:val="es-ES"/>
        </w:rPr>
        <w:t>”</w:t>
      </w:r>
      <w:r w:rsidRPr="00F7745F">
        <w:rPr>
          <w:rFonts w:ascii="Verdana" w:hAnsi="Verdana"/>
          <w:sz w:val="24"/>
          <w:szCs w:val="24"/>
          <w:lang w:val="es-ES"/>
        </w:rPr>
        <w:t xml:space="preserve"> de ser un “</w:t>
      </w:r>
      <w:r w:rsidRPr="00F7745F">
        <w:rPr>
          <w:rFonts w:ascii="Verdana" w:hAnsi="Verdana"/>
          <w:i/>
          <w:sz w:val="24"/>
          <w:szCs w:val="24"/>
          <w:lang w:val="es-ES"/>
        </w:rPr>
        <w:t>tribunal competente, independiente e imparcial”</w:t>
      </w:r>
      <w:r w:rsidRPr="00F7745F">
        <w:rPr>
          <w:rFonts w:ascii="Verdana" w:hAnsi="Verdana"/>
          <w:sz w:val="24"/>
          <w:szCs w:val="24"/>
          <w:lang w:val="es-ES"/>
        </w:rPr>
        <w:t xml:space="preserve"> en el ejercicio de su competencia</w:t>
      </w:r>
      <w:r w:rsidRPr="00F7745F">
        <w:rPr>
          <w:rStyle w:val="FootnoteReference"/>
          <w:rFonts w:ascii="Verdana" w:hAnsi="Verdana"/>
          <w:sz w:val="24"/>
          <w:szCs w:val="24"/>
          <w:lang w:val="es-ES"/>
        </w:rPr>
        <w:footnoteReference w:id="13"/>
      </w:r>
      <w:r w:rsidR="00B60448">
        <w:rPr>
          <w:rFonts w:ascii="Verdana" w:hAnsi="Verdana"/>
          <w:sz w:val="24"/>
          <w:szCs w:val="24"/>
          <w:lang w:val="es-ES"/>
        </w:rPr>
        <w:t xml:space="preserve">, </w:t>
      </w:r>
      <w:r w:rsidRPr="00F7745F">
        <w:rPr>
          <w:rFonts w:ascii="Verdana" w:hAnsi="Verdana"/>
          <w:sz w:val="24"/>
          <w:szCs w:val="24"/>
          <w:lang w:val="es-ES"/>
        </w:rPr>
        <w:t>consistente en la “</w:t>
      </w:r>
      <w:r w:rsidRPr="00F7745F">
        <w:rPr>
          <w:rFonts w:ascii="Verdana" w:hAnsi="Verdana"/>
          <w:i/>
          <w:sz w:val="24"/>
          <w:szCs w:val="24"/>
          <w:lang w:val="es-ES"/>
        </w:rPr>
        <w:t>interpretación y aplicación</w:t>
      </w:r>
      <w:r w:rsidRPr="00F7745F">
        <w:rPr>
          <w:rFonts w:ascii="Verdana" w:hAnsi="Verdana"/>
          <w:sz w:val="24"/>
          <w:szCs w:val="24"/>
          <w:lang w:val="es-ES"/>
        </w:rPr>
        <w:t>” de la Convención</w:t>
      </w:r>
      <w:r w:rsidRPr="00F7745F">
        <w:rPr>
          <w:rStyle w:val="FootnoteReference"/>
          <w:rFonts w:ascii="Verdana" w:hAnsi="Verdana"/>
          <w:sz w:val="24"/>
          <w:szCs w:val="24"/>
          <w:lang w:val="es-ES"/>
        </w:rPr>
        <w:footnoteReference w:id="14"/>
      </w:r>
      <w:r w:rsidRPr="00F7745F">
        <w:rPr>
          <w:rFonts w:ascii="Verdana" w:hAnsi="Verdana"/>
          <w:sz w:val="24"/>
          <w:szCs w:val="24"/>
          <w:lang w:val="es-ES"/>
        </w:rPr>
        <w:t>, es decir, impartir justicia en materia de derechos humanos</w:t>
      </w:r>
      <w:r w:rsidR="00B60448">
        <w:rPr>
          <w:rStyle w:val="FootnoteReference"/>
          <w:rFonts w:ascii="Verdana" w:hAnsi="Verdana"/>
          <w:sz w:val="24"/>
          <w:szCs w:val="24"/>
          <w:lang w:val="es-ES"/>
        </w:rPr>
        <w:footnoteReference w:id="15"/>
      </w:r>
      <w:r w:rsidRPr="00F7745F">
        <w:rPr>
          <w:rFonts w:ascii="Verdana" w:hAnsi="Verdana"/>
          <w:sz w:val="24"/>
          <w:szCs w:val="24"/>
          <w:lang w:val="es-ES"/>
        </w:rPr>
        <w:t xml:space="preserve">. </w:t>
      </w:r>
    </w:p>
    <w:p w14:paraId="4AABA98D" w14:textId="77777777" w:rsidR="004365AA" w:rsidRDefault="00B60448" w:rsidP="004365AA">
      <w:pPr>
        <w:rPr>
          <w:rFonts w:ascii="Verdana" w:hAnsi="Verdana"/>
          <w:sz w:val="24"/>
          <w:szCs w:val="24"/>
          <w:lang w:val="es-ES"/>
        </w:rPr>
      </w:pPr>
      <w:r>
        <w:rPr>
          <w:rFonts w:ascii="Verdana" w:hAnsi="Verdana"/>
          <w:sz w:val="24"/>
          <w:szCs w:val="24"/>
          <w:lang w:val="es-ES"/>
        </w:rPr>
        <w:t>E</w:t>
      </w:r>
      <w:r w:rsidR="004365AA" w:rsidRPr="00F7745F">
        <w:rPr>
          <w:rFonts w:ascii="Verdana" w:hAnsi="Verdana"/>
          <w:sz w:val="24"/>
          <w:szCs w:val="24"/>
          <w:lang w:val="es-ES"/>
        </w:rPr>
        <w:t>l objeto y fin de la Convención comprende, entonces, como elemento esencial de los mismos, el estricto respeto de las normas procesales que la rigen. Éstas no son, por ende, prescindibles, sino que son tan necesarias como las sustantivas, en particular, dado que es su respeto por parte de la Corte lo que le suministra a sus decisiones la seguridad jurídica de que han sido adoptadas con la independencia y la imparcialidad requeridas.</w:t>
      </w:r>
    </w:p>
    <w:p w14:paraId="01C0E320" w14:textId="77777777" w:rsidR="008941AA" w:rsidRDefault="008941AA" w:rsidP="004365AA">
      <w:pPr>
        <w:rPr>
          <w:rFonts w:ascii="Verdana" w:hAnsi="Verdana"/>
          <w:sz w:val="24"/>
          <w:szCs w:val="24"/>
          <w:lang w:val="es-ES"/>
        </w:rPr>
      </w:pPr>
    </w:p>
    <w:p w14:paraId="5FD60409" w14:textId="77777777" w:rsidR="008941AA" w:rsidRDefault="008941AA" w:rsidP="004365AA">
      <w:pPr>
        <w:rPr>
          <w:rFonts w:ascii="Verdana" w:hAnsi="Verdana"/>
          <w:sz w:val="24"/>
          <w:szCs w:val="24"/>
          <w:lang w:val="es-ES"/>
        </w:rPr>
      </w:pPr>
    </w:p>
    <w:p w14:paraId="3694537A" w14:textId="77777777" w:rsidR="006929B9" w:rsidRPr="00EA1D43" w:rsidRDefault="006929B9" w:rsidP="00EA1D43">
      <w:pPr>
        <w:pStyle w:val="ListParagraph"/>
        <w:numPr>
          <w:ilvl w:val="0"/>
          <w:numId w:val="32"/>
        </w:numPr>
        <w:spacing w:before="120"/>
        <w:rPr>
          <w:rFonts w:ascii="Verdana" w:hAnsi="Verdana"/>
          <w:b/>
          <w:sz w:val="24"/>
          <w:szCs w:val="24"/>
          <w:lang w:val="es-ES"/>
        </w:rPr>
      </w:pPr>
      <w:r w:rsidRPr="00EA1D43">
        <w:rPr>
          <w:rFonts w:ascii="Verdana" w:hAnsi="Verdana"/>
          <w:b/>
          <w:sz w:val="24"/>
          <w:szCs w:val="24"/>
          <w:lang w:val="es-ES"/>
        </w:rPr>
        <w:lastRenderedPageBreak/>
        <w:t>Preclusión de la facultad de emitir medi</w:t>
      </w:r>
      <w:r w:rsidR="00205592">
        <w:rPr>
          <w:rFonts w:ascii="Verdana" w:hAnsi="Verdana"/>
          <w:b/>
          <w:sz w:val="24"/>
          <w:szCs w:val="24"/>
          <w:lang w:val="es-ES"/>
        </w:rPr>
        <w:t>d</w:t>
      </w:r>
      <w:r w:rsidRPr="00EA1D43">
        <w:rPr>
          <w:rFonts w:ascii="Verdana" w:hAnsi="Verdana"/>
          <w:b/>
          <w:sz w:val="24"/>
          <w:szCs w:val="24"/>
          <w:lang w:val="es-ES"/>
        </w:rPr>
        <w:t>as provisionales.</w:t>
      </w:r>
    </w:p>
    <w:p w14:paraId="73532D35" w14:textId="77777777" w:rsidR="00E56BA6" w:rsidRPr="00096C1B" w:rsidRDefault="00AC2E82" w:rsidP="00096C1B">
      <w:pPr>
        <w:spacing w:after="160"/>
        <w:rPr>
          <w:rFonts w:ascii="Verdana" w:hAnsi="Verdana"/>
          <w:sz w:val="24"/>
          <w:szCs w:val="24"/>
          <w:lang w:val="es-ES"/>
        </w:rPr>
      </w:pPr>
      <w:r w:rsidRPr="00AC2E82">
        <w:rPr>
          <w:rFonts w:ascii="Verdana" w:hAnsi="Verdana"/>
          <w:sz w:val="24"/>
          <w:szCs w:val="24"/>
          <w:lang w:val="es-ES"/>
        </w:rPr>
        <w:t xml:space="preserve">Pues bien, las normas procesales aplicables al asunto en comento son </w:t>
      </w:r>
      <w:r>
        <w:rPr>
          <w:rFonts w:ascii="Verdana" w:hAnsi="Verdana"/>
          <w:sz w:val="24"/>
          <w:szCs w:val="24"/>
          <w:lang w:val="es-ES"/>
        </w:rPr>
        <w:t xml:space="preserve">las </w:t>
      </w:r>
      <w:r w:rsidRPr="00AC2E82">
        <w:rPr>
          <w:rFonts w:ascii="Verdana" w:hAnsi="Verdana"/>
          <w:sz w:val="24"/>
          <w:szCs w:val="24"/>
          <w:lang w:val="es-ES"/>
        </w:rPr>
        <w:t>pertinentes a la preclusión de la facultad de emitir medidas provisionales</w:t>
      </w:r>
      <w:r w:rsidR="006929B9" w:rsidRPr="00F7745F">
        <w:rPr>
          <w:rStyle w:val="FootnoteReference"/>
          <w:rFonts w:ascii="Verdana" w:hAnsi="Verdana"/>
          <w:sz w:val="24"/>
          <w:szCs w:val="24"/>
          <w:lang w:val="es-ES"/>
        </w:rPr>
        <w:footnoteReference w:id="16"/>
      </w:r>
      <w:r w:rsidR="006929B9" w:rsidRPr="00F7745F">
        <w:rPr>
          <w:rFonts w:ascii="Verdana" w:hAnsi="Verdana"/>
          <w:sz w:val="24"/>
          <w:szCs w:val="24"/>
          <w:lang w:val="es-ES"/>
        </w:rPr>
        <w:t xml:space="preserve">. </w:t>
      </w:r>
    </w:p>
    <w:p w14:paraId="58FA4BCE" w14:textId="77777777" w:rsidR="006929B9" w:rsidRPr="00F7745F" w:rsidRDefault="00E56BA6" w:rsidP="00F7745F">
      <w:pPr>
        <w:pStyle w:val="ListParagraph"/>
        <w:numPr>
          <w:ilvl w:val="0"/>
          <w:numId w:val="22"/>
        </w:numPr>
        <w:spacing w:before="120"/>
        <w:ind w:left="927"/>
        <w:rPr>
          <w:rFonts w:ascii="Verdana" w:hAnsi="Verdana"/>
          <w:b/>
          <w:sz w:val="24"/>
          <w:szCs w:val="24"/>
          <w:lang w:val="es-ES"/>
        </w:rPr>
      </w:pPr>
      <w:r w:rsidRPr="00F7745F">
        <w:rPr>
          <w:rFonts w:ascii="Verdana" w:hAnsi="Verdana"/>
          <w:b/>
          <w:sz w:val="24"/>
          <w:szCs w:val="24"/>
          <w:lang w:val="es-ES"/>
        </w:rPr>
        <w:t>Las normas.</w:t>
      </w:r>
    </w:p>
    <w:p w14:paraId="153AF9ED" w14:textId="77777777" w:rsidR="006929B9" w:rsidRPr="00F7745F" w:rsidRDefault="006929B9" w:rsidP="00F7745F">
      <w:pPr>
        <w:rPr>
          <w:rFonts w:ascii="Verdana" w:hAnsi="Verdana"/>
          <w:sz w:val="24"/>
          <w:szCs w:val="24"/>
          <w:lang w:val="es-ES"/>
        </w:rPr>
      </w:pPr>
      <w:r w:rsidRPr="00F7745F">
        <w:rPr>
          <w:rFonts w:ascii="Verdana" w:hAnsi="Verdana"/>
          <w:sz w:val="24"/>
          <w:szCs w:val="24"/>
          <w:lang w:val="es-ES"/>
        </w:rPr>
        <w:t>La facultad de la Corte de dictar medidas provisionales está prevista en el artículo 63.2 de la Convención</w:t>
      </w:r>
      <w:r w:rsidRPr="00F7745F">
        <w:rPr>
          <w:rStyle w:val="FootnoteReference"/>
          <w:rFonts w:ascii="Verdana" w:hAnsi="Verdana"/>
          <w:sz w:val="24"/>
          <w:szCs w:val="24"/>
          <w:lang w:val="es-ES"/>
        </w:rPr>
        <w:footnoteReference w:id="17"/>
      </w:r>
      <w:r w:rsidRPr="00F7745F">
        <w:rPr>
          <w:rFonts w:ascii="Verdana" w:hAnsi="Verdana"/>
          <w:sz w:val="24"/>
          <w:szCs w:val="24"/>
          <w:lang w:val="es-ES"/>
        </w:rPr>
        <w:t xml:space="preserve">. Tal disposición distingue entre las medidas provisionales que la Corte puede decretar </w:t>
      </w:r>
      <w:r w:rsidRPr="00F7745F">
        <w:rPr>
          <w:rFonts w:ascii="Verdana" w:hAnsi="Verdana"/>
          <w:i/>
          <w:sz w:val="24"/>
          <w:szCs w:val="24"/>
          <w:lang w:val="es-ES"/>
        </w:rPr>
        <w:t>“en los asuntos que esté conociendo”</w:t>
      </w:r>
      <w:r w:rsidRPr="00F7745F">
        <w:rPr>
          <w:rFonts w:ascii="Verdana" w:hAnsi="Verdana"/>
          <w:sz w:val="24"/>
          <w:szCs w:val="24"/>
          <w:lang w:val="es-ES"/>
        </w:rPr>
        <w:t xml:space="preserve"> y las que puede ordenar en los </w:t>
      </w:r>
      <w:r w:rsidRPr="00F7745F">
        <w:rPr>
          <w:rFonts w:ascii="Verdana" w:hAnsi="Verdana"/>
          <w:i/>
          <w:sz w:val="24"/>
          <w:szCs w:val="24"/>
          <w:lang w:val="es-ES"/>
        </w:rPr>
        <w:t>“asuntos que aún no estén sometidos a su conocimiento”</w:t>
      </w:r>
      <w:r w:rsidRPr="00F7745F">
        <w:rPr>
          <w:rStyle w:val="FootnoteReference"/>
          <w:rFonts w:ascii="Verdana" w:hAnsi="Verdana"/>
          <w:sz w:val="24"/>
          <w:szCs w:val="24"/>
          <w:lang w:val="es-ES"/>
        </w:rPr>
        <w:footnoteReference w:id="18"/>
      </w:r>
      <w:r w:rsidRPr="00F7745F">
        <w:rPr>
          <w:rFonts w:ascii="Verdana" w:hAnsi="Verdana"/>
          <w:i/>
          <w:sz w:val="24"/>
          <w:szCs w:val="24"/>
          <w:lang w:val="es-ES"/>
        </w:rPr>
        <w:t>.</w:t>
      </w:r>
    </w:p>
    <w:p w14:paraId="1292B5A5" w14:textId="77777777" w:rsidR="006929B9" w:rsidRPr="001E3C83" w:rsidRDefault="006929B9" w:rsidP="00F7745F">
      <w:pPr>
        <w:rPr>
          <w:rFonts w:ascii="Verdana" w:hAnsi="Verdana" w:cs="Tahoma"/>
          <w:sz w:val="24"/>
          <w:szCs w:val="24"/>
          <w:lang w:val="es-CR"/>
        </w:rPr>
      </w:pPr>
      <w:r w:rsidRPr="00F7745F">
        <w:rPr>
          <w:rFonts w:ascii="Verdana" w:hAnsi="Verdana" w:cs="Tahoma"/>
          <w:sz w:val="24"/>
          <w:szCs w:val="24"/>
          <w:lang w:val="es-ES"/>
        </w:rPr>
        <w:t>Respecto de los primeros,</w:t>
      </w:r>
      <w:r w:rsidRPr="001E3C83">
        <w:rPr>
          <w:rFonts w:ascii="Verdana" w:hAnsi="Verdana" w:cs="Tahoma"/>
          <w:sz w:val="24"/>
          <w:szCs w:val="24"/>
          <w:lang w:val="es-CR"/>
        </w:rPr>
        <w:t xml:space="preserve"> habría que llamar la atención, por de pronto, acerca de que la aludida </w:t>
      </w:r>
      <w:r w:rsidRPr="00F7745F">
        <w:rPr>
          <w:rFonts w:ascii="Verdana" w:hAnsi="Verdana"/>
          <w:sz w:val="24"/>
          <w:szCs w:val="24"/>
          <w:lang w:val="es-ES"/>
        </w:rPr>
        <w:t xml:space="preserve">disposición es precedida por </w:t>
      </w:r>
      <w:r w:rsidRPr="001E3C83">
        <w:rPr>
          <w:rFonts w:ascii="Verdana" w:hAnsi="Verdana" w:cs="Tahoma"/>
          <w:sz w:val="24"/>
          <w:szCs w:val="24"/>
          <w:lang w:val="es-CR"/>
        </w:rPr>
        <w:t xml:space="preserve">el artículo 62.3 de </w:t>
      </w:r>
      <w:r w:rsidRPr="001E3C83">
        <w:rPr>
          <w:rFonts w:ascii="Verdana" w:hAnsi="Verdana" w:cs="Tahoma"/>
          <w:sz w:val="24"/>
          <w:szCs w:val="24"/>
          <w:lang w:val="es-CR"/>
        </w:rPr>
        <w:lastRenderedPageBreak/>
        <w:t>la Convención, relativa a la competencia de la Corte</w:t>
      </w:r>
      <w:r w:rsidRPr="00F7745F">
        <w:rPr>
          <w:rStyle w:val="FootnoteReference"/>
          <w:rFonts w:ascii="Verdana" w:hAnsi="Verdana" w:cs="Tahoma"/>
          <w:sz w:val="24"/>
          <w:szCs w:val="24"/>
        </w:rPr>
        <w:footnoteReference w:id="19"/>
      </w:r>
      <w:r w:rsidRPr="001E3C83">
        <w:rPr>
          <w:rFonts w:ascii="Verdana" w:hAnsi="Verdana" w:cs="Tahoma"/>
          <w:sz w:val="24"/>
          <w:szCs w:val="24"/>
          <w:lang w:val="es-CR"/>
        </w:rPr>
        <w:t>, y especialmente del artículo 63.1 del mismo texto convencional</w:t>
      </w:r>
      <w:r w:rsidRPr="00F7745F">
        <w:rPr>
          <w:rStyle w:val="FootnoteReference"/>
          <w:rFonts w:ascii="Verdana" w:hAnsi="Verdana" w:cs="Tahoma"/>
          <w:sz w:val="24"/>
          <w:szCs w:val="24"/>
        </w:rPr>
        <w:footnoteReference w:id="20"/>
      </w:r>
      <w:r w:rsidRPr="001E3C83">
        <w:rPr>
          <w:rFonts w:ascii="Verdana" w:hAnsi="Verdana" w:cs="Tahoma"/>
          <w:sz w:val="24"/>
          <w:szCs w:val="24"/>
          <w:lang w:val="es-CR"/>
        </w:rPr>
        <w:t xml:space="preserve">. </w:t>
      </w:r>
    </w:p>
    <w:p w14:paraId="214F256E" w14:textId="77777777" w:rsidR="006929B9" w:rsidRPr="001E3C83" w:rsidRDefault="006929B9" w:rsidP="00F7745F">
      <w:pPr>
        <w:rPr>
          <w:rFonts w:ascii="Verdana" w:hAnsi="Verdana" w:cs="Tahoma"/>
          <w:sz w:val="24"/>
          <w:szCs w:val="24"/>
          <w:lang w:val="es-CR"/>
        </w:rPr>
      </w:pPr>
      <w:r w:rsidRPr="001E3C83">
        <w:rPr>
          <w:rFonts w:ascii="Verdana" w:hAnsi="Verdana" w:cs="Tahoma"/>
          <w:sz w:val="24"/>
          <w:szCs w:val="24"/>
          <w:lang w:val="es-CR"/>
        </w:rPr>
        <w:t xml:space="preserve">De la interpretación armónica de los citados artículos no se puede sino concluir que </w:t>
      </w:r>
      <w:r w:rsidRPr="001E3C83">
        <w:rPr>
          <w:rFonts w:ascii="Verdana" w:hAnsi="Verdana" w:cs="Arial"/>
          <w:sz w:val="24"/>
          <w:szCs w:val="24"/>
          <w:lang w:val="es-CR"/>
        </w:rPr>
        <w:t xml:space="preserve">la Corte dispone de la facultad de dictar </w:t>
      </w:r>
      <w:r w:rsidRPr="001E3C83">
        <w:rPr>
          <w:rFonts w:ascii="Verdana" w:hAnsi="Verdana" w:cs="Tahoma"/>
          <w:sz w:val="24"/>
          <w:szCs w:val="24"/>
          <w:lang w:val="es-CR"/>
        </w:rPr>
        <w:t>medidas provisionales mientras ejerce su competencia contenciosa en el caso de que le fue sometido a fin de que resuelva si hubo o no violación de un derecho o libertad protegidos por la Convención.</w:t>
      </w:r>
    </w:p>
    <w:p w14:paraId="745BA00F" w14:textId="705545F1" w:rsidR="006929B9" w:rsidRPr="00F7745F" w:rsidRDefault="006929B9" w:rsidP="00F7745F">
      <w:pPr>
        <w:rPr>
          <w:rFonts w:ascii="Verdana" w:hAnsi="Verdana"/>
          <w:sz w:val="24"/>
          <w:szCs w:val="24"/>
          <w:lang w:val="es-ES"/>
        </w:rPr>
      </w:pPr>
      <w:r w:rsidRPr="00F7745F">
        <w:rPr>
          <w:rFonts w:ascii="Verdana" w:hAnsi="Verdana"/>
          <w:sz w:val="24"/>
          <w:szCs w:val="24"/>
          <w:lang w:val="es-ES"/>
        </w:rPr>
        <w:t xml:space="preserve">Ahora bien, </w:t>
      </w:r>
      <w:r w:rsidRPr="00F7745F">
        <w:rPr>
          <w:rFonts w:ascii="Verdana" w:hAnsi="Verdana" w:cs="Arial"/>
          <w:sz w:val="24"/>
          <w:szCs w:val="24"/>
          <w:lang w:val="es-ES"/>
        </w:rPr>
        <w:t xml:space="preserve">el artículo 63.2 de la Convención prevé también </w:t>
      </w:r>
      <w:r w:rsidR="003E0156">
        <w:rPr>
          <w:rFonts w:ascii="Verdana" w:hAnsi="Verdana" w:cs="Arial"/>
          <w:sz w:val="24"/>
          <w:szCs w:val="24"/>
          <w:lang w:val="es-ES"/>
        </w:rPr>
        <w:t xml:space="preserve">el dictado </w:t>
      </w:r>
      <w:r w:rsidRPr="00F7745F">
        <w:rPr>
          <w:rFonts w:ascii="Verdana" w:hAnsi="Verdana" w:cs="Arial"/>
          <w:sz w:val="24"/>
          <w:szCs w:val="24"/>
          <w:lang w:val="es-ES"/>
        </w:rPr>
        <w:t xml:space="preserve">de medidas provisionales en aquellos asuntos </w:t>
      </w:r>
      <w:r w:rsidRPr="001E3C83">
        <w:rPr>
          <w:rFonts w:ascii="Verdana" w:hAnsi="Verdana" w:cs="Arial"/>
          <w:sz w:val="24"/>
          <w:szCs w:val="24"/>
          <w:lang w:val="es-CR"/>
        </w:rPr>
        <w:t>aún no estén sometidos a su conocimiento</w:t>
      </w:r>
      <w:r w:rsidRPr="00F7745F">
        <w:rPr>
          <w:rFonts w:ascii="Verdana" w:hAnsi="Verdana" w:cs="Arial"/>
          <w:sz w:val="24"/>
          <w:szCs w:val="24"/>
          <w:lang w:val="es-ES"/>
        </w:rPr>
        <w:t xml:space="preserve"> y respecto de los cuales, por lo tanto, aún no ejerce su competencia contenciosa. En tal eventualidad, la Corte solo puede actuar, según lo prescribe la última frase de l</w:t>
      </w:r>
      <w:r w:rsidRPr="001E3C83">
        <w:rPr>
          <w:rFonts w:ascii="Verdana" w:hAnsi="Verdana" w:cs="Arial"/>
          <w:sz w:val="24"/>
          <w:szCs w:val="24"/>
          <w:lang w:val="es-CR"/>
        </w:rPr>
        <w:t xml:space="preserve">a </w:t>
      </w:r>
      <w:r w:rsidRPr="00F7745F">
        <w:rPr>
          <w:rFonts w:ascii="Verdana" w:hAnsi="Verdana" w:cs="Arial"/>
          <w:sz w:val="24"/>
          <w:szCs w:val="24"/>
          <w:lang w:val="es-ES"/>
        </w:rPr>
        <w:t xml:space="preserve">referida disposición, a </w:t>
      </w:r>
      <w:r w:rsidRPr="001E3C83">
        <w:rPr>
          <w:rFonts w:ascii="Verdana" w:hAnsi="Verdana" w:cs="Arial"/>
          <w:sz w:val="24"/>
          <w:szCs w:val="24"/>
          <w:lang w:val="es-CR"/>
        </w:rPr>
        <w:t>solicitud de la Comisión</w:t>
      </w:r>
      <w:r w:rsidR="007A2C32" w:rsidRPr="001E3C83">
        <w:rPr>
          <w:rFonts w:ascii="Verdana" w:hAnsi="Verdana" w:cs="Arial"/>
          <w:sz w:val="24"/>
          <w:szCs w:val="24"/>
          <w:lang w:val="es-CR"/>
        </w:rPr>
        <w:t xml:space="preserve"> Interamericana de Derechos Humanos</w:t>
      </w:r>
      <w:r w:rsidR="007A2C32">
        <w:rPr>
          <w:rStyle w:val="FootnoteReference"/>
          <w:rFonts w:ascii="Verdana" w:hAnsi="Verdana" w:cs="Arial"/>
          <w:sz w:val="24"/>
          <w:szCs w:val="24"/>
        </w:rPr>
        <w:footnoteReference w:id="21"/>
      </w:r>
      <w:r w:rsidRPr="001E3C83">
        <w:rPr>
          <w:rFonts w:ascii="Verdana" w:hAnsi="Verdana" w:cs="Arial"/>
          <w:sz w:val="24"/>
          <w:szCs w:val="24"/>
          <w:lang w:val="es-CR"/>
        </w:rPr>
        <w:t xml:space="preserve">, </w:t>
      </w:r>
      <w:r w:rsidRPr="00F7745F">
        <w:rPr>
          <w:rFonts w:ascii="Verdana" w:hAnsi="Verdana" w:cs="Arial"/>
          <w:sz w:val="24"/>
          <w:szCs w:val="24"/>
          <w:lang w:val="es-ES"/>
        </w:rPr>
        <w:t>es decir, respecto de tales asuntos, la Corte puede decretar medidas provisionales únicamente si aquella se lo solicita</w:t>
      </w:r>
      <w:r w:rsidRPr="001E3C83">
        <w:rPr>
          <w:rFonts w:ascii="Verdana" w:hAnsi="Verdana" w:cs="Arial"/>
          <w:sz w:val="24"/>
          <w:szCs w:val="24"/>
          <w:lang w:val="es-CR"/>
        </w:rPr>
        <w:t>.</w:t>
      </w:r>
    </w:p>
    <w:p w14:paraId="7A185B01" w14:textId="77777777" w:rsidR="006929B9" w:rsidRPr="001E3C83" w:rsidRDefault="006929B9" w:rsidP="00F7745F">
      <w:pPr>
        <w:rPr>
          <w:rFonts w:ascii="Verdana" w:hAnsi="Verdana"/>
          <w:sz w:val="24"/>
          <w:szCs w:val="24"/>
          <w:lang w:val="es-CR"/>
        </w:rPr>
      </w:pPr>
      <w:r w:rsidRPr="00F7745F">
        <w:rPr>
          <w:rFonts w:ascii="Verdana" w:eastAsia="Times New Roman" w:hAnsi="Verdana"/>
          <w:sz w:val="24"/>
          <w:szCs w:val="24"/>
          <w:lang w:val="es-ES" w:eastAsia="es-CL"/>
        </w:rPr>
        <w:t xml:space="preserve">Todo lo indicado precedentemente obviamente también se expresa </w:t>
      </w:r>
      <w:r w:rsidRPr="00F7745F">
        <w:rPr>
          <w:rFonts w:ascii="Verdana" w:hAnsi="Verdana"/>
          <w:sz w:val="24"/>
          <w:szCs w:val="24"/>
          <w:lang w:val="es-ES"/>
        </w:rPr>
        <w:t>en el Reglamento de la Corte</w:t>
      </w:r>
      <w:r w:rsidRPr="00F7745F">
        <w:rPr>
          <w:rStyle w:val="FootnoteReference"/>
          <w:rFonts w:ascii="Verdana" w:hAnsi="Verdana"/>
          <w:sz w:val="24"/>
          <w:szCs w:val="24"/>
          <w:lang w:val="es-ES"/>
        </w:rPr>
        <w:footnoteReference w:id="22"/>
      </w:r>
      <w:r w:rsidR="00096C1B">
        <w:rPr>
          <w:rFonts w:ascii="Verdana" w:hAnsi="Verdana"/>
          <w:sz w:val="24"/>
          <w:szCs w:val="24"/>
          <w:lang w:val="es-ES"/>
        </w:rPr>
        <w:t>.</w:t>
      </w:r>
      <w:r w:rsidRPr="00F7745F">
        <w:rPr>
          <w:rFonts w:ascii="Verdana" w:hAnsi="Verdana"/>
          <w:sz w:val="24"/>
          <w:szCs w:val="24"/>
          <w:lang w:val="es-ES"/>
        </w:rPr>
        <w:t xml:space="preserve"> Y así, entonces, re</w:t>
      </w:r>
      <w:r w:rsidR="007A2C32">
        <w:rPr>
          <w:rFonts w:ascii="Verdana" w:hAnsi="Verdana"/>
          <w:sz w:val="24"/>
          <w:szCs w:val="24"/>
          <w:lang w:val="es-ES"/>
        </w:rPr>
        <w:t xml:space="preserve">produce en términos similares a </w:t>
      </w:r>
      <w:r w:rsidRPr="00F7745F">
        <w:rPr>
          <w:rFonts w:ascii="Verdana" w:hAnsi="Verdana"/>
          <w:sz w:val="24"/>
          <w:szCs w:val="24"/>
          <w:lang w:val="es-ES"/>
        </w:rPr>
        <w:t>los utilizados por el artículo 63.2 de la Convención, la distinción entre asuntos sometidos a conocimiento de la Corte y asuntos aún no sometidos a su conocimiento. Es por ese motivo que la referencia que el numeral 1 del artículo 27 del Reglamento de la Corte hace a “</w:t>
      </w:r>
      <w:r w:rsidRPr="00F7745F">
        <w:rPr>
          <w:rFonts w:ascii="Verdana" w:hAnsi="Verdana"/>
          <w:i/>
          <w:sz w:val="24"/>
          <w:szCs w:val="24"/>
          <w:lang w:val="es-ES"/>
        </w:rPr>
        <w:t>cualquier estado del procedimiento</w:t>
      </w:r>
      <w:r w:rsidRPr="00F7745F">
        <w:rPr>
          <w:rFonts w:ascii="Verdana" w:hAnsi="Verdana"/>
          <w:sz w:val="24"/>
          <w:szCs w:val="24"/>
          <w:lang w:val="es-ES"/>
        </w:rPr>
        <w:t>”, únicamente puede entenderse en el sentido de que este último se lleva a cabo respecto de asuntos</w:t>
      </w:r>
      <w:r w:rsidRPr="001E3C83">
        <w:rPr>
          <w:rFonts w:ascii="Verdana" w:hAnsi="Verdana" w:cs="Tahoma"/>
          <w:sz w:val="24"/>
          <w:szCs w:val="24"/>
          <w:lang w:val="es-CR"/>
        </w:rPr>
        <w:t xml:space="preserve"> en </w:t>
      </w:r>
      <w:r w:rsidR="007A2C32">
        <w:rPr>
          <w:rFonts w:ascii="Verdana" w:hAnsi="Verdana" w:cs="Tahoma"/>
          <w:sz w:val="24"/>
          <w:szCs w:val="24"/>
          <w:lang w:val="es-ES"/>
        </w:rPr>
        <w:t xml:space="preserve">que la Corte está </w:t>
      </w:r>
      <w:r w:rsidR="00205592">
        <w:rPr>
          <w:rFonts w:ascii="Verdana" w:hAnsi="Verdana" w:cs="Tahoma"/>
          <w:sz w:val="24"/>
          <w:szCs w:val="24"/>
          <w:lang w:val="es-ES"/>
        </w:rPr>
        <w:t xml:space="preserve">en ejercicio de </w:t>
      </w:r>
      <w:r w:rsidRPr="00F7745F">
        <w:rPr>
          <w:rFonts w:ascii="Verdana" w:hAnsi="Verdana" w:cs="Tahoma"/>
          <w:sz w:val="24"/>
          <w:szCs w:val="24"/>
          <w:lang w:val="es-ES"/>
        </w:rPr>
        <w:t>su competencia contenciosa</w:t>
      </w:r>
      <w:r w:rsidRPr="00F7745F">
        <w:rPr>
          <w:rFonts w:ascii="Verdana" w:hAnsi="Verdana" w:cs="Tahoma"/>
          <w:i/>
          <w:sz w:val="24"/>
          <w:szCs w:val="24"/>
          <w:lang w:val="es-ES"/>
        </w:rPr>
        <w:t>.</w:t>
      </w:r>
      <w:r w:rsidRPr="00F7745F">
        <w:rPr>
          <w:rFonts w:ascii="Verdana" w:hAnsi="Verdana"/>
          <w:sz w:val="24"/>
          <w:szCs w:val="24"/>
          <w:lang w:val="es-ES"/>
        </w:rPr>
        <w:t xml:space="preserve"> </w:t>
      </w:r>
    </w:p>
    <w:p w14:paraId="13682370" w14:textId="77777777" w:rsidR="006929B9" w:rsidRPr="003E0156" w:rsidRDefault="006929B9" w:rsidP="00F7745F">
      <w:pPr>
        <w:rPr>
          <w:rFonts w:ascii="Verdana" w:hAnsi="Verdana"/>
          <w:sz w:val="24"/>
          <w:szCs w:val="24"/>
          <w:lang w:val="es-CR"/>
        </w:rPr>
      </w:pPr>
      <w:r w:rsidRPr="00F7745F">
        <w:rPr>
          <w:rFonts w:ascii="Verdana" w:hAnsi="Verdana"/>
          <w:sz w:val="24"/>
          <w:szCs w:val="24"/>
          <w:lang w:val="es-ES"/>
        </w:rPr>
        <w:lastRenderedPageBreak/>
        <w:t xml:space="preserve">Y en autos, se ha demandado y se ha decretado la adopción de medidas provisionales con relación al </w:t>
      </w:r>
      <w:r w:rsidRPr="001E3C83">
        <w:rPr>
          <w:rStyle w:val="Strong"/>
          <w:rFonts w:ascii="Verdana" w:hAnsi="Verdana"/>
          <w:b w:val="0"/>
          <w:i/>
          <w:color w:val="000000"/>
          <w:sz w:val="24"/>
          <w:szCs w:val="24"/>
          <w:shd w:val="clear" w:color="auto" w:fill="FFFFFF"/>
          <w:lang w:val="es-CR"/>
        </w:rPr>
        <w:t xml:space="preserve">Caso Durand y Ugarte Vs. </w:t>
      </w:r>
      <w:r w:rsidRPr="003E0156">
        <w:rPr>
          <w:rStyle w:val="Strong"/>
          <w:rFonts w:ascii="Verdana" w:hAnsi="Verdana"/>
          <w:b w:val="0"/>
          <w:i/>
          <w:color w:val="000000"/>
          <w:sz w:val="24"/>
          <w:szCs w:val="24"/>
          <w:shd w:val="clear" w:color="auto" w:fill="FFFFFF"/>
          <w:lang w:val="es-CR"/>
        </w:rPr>
        <w:t xml:space="preserve">Perú, </w:t>
      </w:r>
      <w:r w:rsidRPr="003E0156">
        <w:rPr>
          <w:rStyle w:val="Strong"/>
          <w:rFonts w:ascii="Verdana" w:hAnsi="Verdana"/>
          <w:b w:val="0"/>
          <w:color w:val="000000"/>
          <w:sz w:val="24"/>
          <w:szCs w:val="24"/>
          <w:shd w:val="clear" w:color="auto" w:fill="FFFFFF"/>
          <w:lang w:val="es-CR"/>
        </w:rPr>
        <w:t>en el cual ya se dictó sentencia definitiva</w:t>
      </w:r>
      <w:r w:rsidRPr="003E0156">
        <w:rPr>
          <w:rStyle w:val="FootnoteReference"/>
          <w:rFonts w:ascii="Verdana" w:hAnsi="Verdana"/>
          <w:bCs/>
          <w:color w:val="000000"/>
          <w:sz w:val="24"/>
          <w:szCs w:val="24"/>
          <w:shd w:val="clear" w:color="auto" w:fill="FFFFFF"/>
        </w:rPr>
        <w:footnoteReference w:id="23"/>
      </w:r>
      <w:r w:rsidRPr="003E0156">
        <w:rPr>
          <w:rStyle w:val="Strong"/>
          <w:rFonts w:ascii="Verdana" w:hAnsi="Verdana"/>
          <w:b w:val="0"/>
          <w:color w:val="000000"/>
          <w:sz w:val="24"/>
          <w:szCs w:val="24"/>
          <w:shd w:val="clear" w:color="auto" w:fill="FFFFFF"/>
          <w:lang w:val="es-CR"/>
        </w:rPr>
        <w:t>, vale decir, no se solicitaron y no se dictaron dichas medidas en un caso que la Corte “</w:t>
      </w:r>
      <w:r w:rsidRPr="003E0156">
        <w:rPr>
          <w:rStyle w:val="Strong"/>
          <w:rFonts w:ascii="Verdana" w:hAnsi="Verdana"/>
          <w:b w:val="0"/>
          <w:i/>
          <w:color w:val="000000"/>
          <w:sz w:val="24"/>
          <w:szCs w:val="24"/>
          <w:shd w:val="clear" w:color="auto" w:fill="FFFFFF"/>
          <w:lang w:val="es-CR"/>
        </w:rPr>
        <w:t>esté conociendo</w:t>
      </w:r>
      <w:r w:rsidRPr="003E0156">
        <w:rPr>
          <w:rStyle w:val="Strong"/>
          <w:rFonts w:ascii="Verdana" w:hAnsi="Verdana"/>
          <w:b w:val="0"/>
          <w:color w:val="000000"/>
          <w:sz w:val="24"/>
          <w:szCs w:val="24"/>
          <w:shd w:val="clear" w:color="auto" w:fill="FFFFFF"/>
          <w:lang w:val="es-CR"/>
        </w:rPr>
        <w:t>”</w:t>
      </w:r>
      <w:r w:rsidRPr="003E0156">
        <w:rPr>
          <w:rStyle w:val="FootnoteReference"/>
          <w:rFonts w:ascii="Verdana" w:hAnsi="Verdana"/>
          <w:bCs/>
          <w:color w:val="000000"/>
          <w:sz w:val="24"/>
          <w:szCs w:val="24"/>
          <w:shd w:val="clear" w:color="auto" w:fill="FFFFFF"/>
        </w:rPr>
        <w:footnoteReference w:id="24"/>
      </w:r>
      <w:r w:rsidRPr="003E0156">
        <w:rPr>
          <w:rStyle w:val="Strong"/>
          <w:rFonts w:ascii="Verdana" w:hAnsi="Verdana"/>
          <w:b w:val="0"/>
          <w:color w:val="000000"/>
          <w:sz w:val="24"/>
          <w:szCs w:val="24"/>
          <w:shd w:val="clear" w:color="auto" w:fill="FFFFFF"/>
          <w:lang w:val="es-CR"/>
        </w:rPr>
        <w:t xml:space="preserve"> sino en un asunto que ha dejado de conocer.</w:t>
      </w:r>
      <w:r w:rsidRPr="003E0156">
        <w:rPr>
          <w:rFonts w:ascii="Verdana" w:hAnsi="Verdana"/>
          <w:sz w:val="24"/>
          <w:szCs w:val="24"/>
          <w:lang w:val="es-CR"/>
        </w:rPr>
        <w:t xml:space="preserve"> </w:t>
      </w:r>
    </w:p>
    <w:p w14:paraId="1D242CB9" w14:textId="77777777" w:rsidR="006929B9" w:rsidRPr="00F7745F" w:rsidRDefault="006929B9" w:rsidP="00F7745F">
      <w:pPr>
        <w:pStyle w:val="ListParagraph"/>
        <w:numPr>
          <w:ilvl w:val="0"/>
          <w:numId w:val="22"/>
        </w:numPr>
        <w:ind w:left="927"/>
        <w:rPr>
          <w:rFonts w:ascii="Verdana" w:hAnsi="Verdana"/>
          <w:b/>
          <w:sz w:val="24"/>
          <w:szCs w:val="24"/>
          <w:lang w:val="es-ES"/>
        </w:rPr>
      </w:pPr>
      <w:r w:rsidRPr="00F7745F">
        <w:rPr>
          <w:rFonts w:ascii="Verdana" w:hAnsi="Verdana"/>
          <w:b/>
          <w:sz w:val="24"/>
          <w:szCs w:val="24"/>
          <w:lang w:val="es-ES"/>
        </w:rPr>
        <w:t>Facultades de la Corte una vez dictada sentencia.</w:t>
      </w:r>
    </w:p>
    <w:p w14:paraId="0FD46F0E" w14:textId="67813BE0" w:rsidR="006929B9" w:rsidRPr="001E3C83" w:rsidRDefault="006929B9" w:rsidP="00F7745F">
      <w:pPr>
        <w:rPr>
          <w:rFonts w:ascii="Verdana" w:hAnsi="Verdana"/>
          <w:sz w:val="24"/>
          <w:szCs w:val="24"/>
          <w:lang w:val="es-CR"/>
        </w:rPr>
      </w:pPr>
      <w:r w:rsidRPr="00F7745F">
        <w:rPr>
          <w:rFonts w:ascii="Verdana" w:hAnsi="Verdana"/>
          <w:sz w:val="24"/>
          <w:szCs w:val="24"/>
          <w:lang w:val="es-ES"/>
        </w:rPr>
        <w:t xml:space="preserve">Determinado, entonces, que </w:t>
      </w:r>
      <w:r w:rsidRPr="001E3C83">
        <w:rPr>
          <w:rFonts w:ascii="Verdana" w:hAnsi="Verdana"/>
          <w:sz w:val="24"/>
          <w:szCs w:val="24"/>
          <w:lang w:val="es-CR"/>
        </w:rPr>
        <w:t>la Corte puede decretar de oficio medidas provisionales mientras esté ejerciendo su competencia contenciosa en relación al respectivo caso que le ha sido sometido</w:t>
      </w:r>
      <w:r w:rsidR="005C08DE" w:rsidRPr="001E3C83">
        <w:rPr>
          <w:rFonts w:ascii="Verdana" w:hAnsi="Verdana"/>
          <w:sz w:val="24"/>
          <w:szCs w:val="24"/>
          <w:lang w:val="es-CR"/>
        </w:rPr>
        <w:t xml:space="preserve">, procede </w:t>
      </w:r>
      <w:r w:rsidR="003E0156" w:rsidRPr="001E3C83">
        <w:rPr>
          <w:rFonts w:ascii="Verdana" w:hAnsi="Verdana"/>
          <w:sz w:val="24"/>
          <w:szCs w:val="24"/>
          <w:lang w:val="es-CR"/>
        </w:rPr>
        <w:t>record</w:t>
      </w:r>
      <w:r w:rsidR="003E0156">
        <w:rPr>
          <w:rFonts w:ascii="Verdana" w:hAnsi="Verdana"/>
          <w:sz w:val="24"/>
          <w:szCs w:val="24"/>
          <w:lang w:val="es-CR"/>
        </w:rPr>
        <w:t>a</w:t>
      </w:r>
      <w:r w:rsidR="003E0156" w:rsidRPr="001E3C83">
        <w:rPr>
          <w:rFonts w:ascii="Verdana" w:hAnsi="Verdana"/>
          <w:sz w:val="24"/>
          <w:szCs w:val="24"/>
          <w:lang w:val="es-CR"/>
        </w:rPr>
        <w:t xml:space="preserve">r </w:t>
      </w:r>
      <w:r w:rsidR="005C08DE" w:rsidRPr="001E3C83">
        <w:rPr>
          <w:rFonts w:ascii="Verdana" w:hAnsi="Verdana"/>
          <w:sz w:val="24"/>
          <w:szCs w:val="24"/>
          <w:lang w:val="es-CR"/>
        </w:rPr>
        <w:t xml:space="preserve">que éste finaliza, </w:t>
      </w:r>
      <w:r w:rsidRPr="001E3C83">
        <w:rPr>
          <w:rFonts w:ascii="Verdana" w:hAnsi="Verdana"/>
          <w:sz w:val="24"/>
          <w:szCs w:val="24"/>
          <w:lang w:val="es-CR"/>
        </w:rPr>
        <w:t>según lo dispuesto en la primera frase del artículo 67 de la Convención</w:t>
      </w:r>
      <w:r w:rsidRPr="00F7745F">
        <w:rPr>
          <w:rStyle w:val="FootnoteReference"/>
          <w:rFonts w:ascii="Verdana" w:hAnsi="Verdana"/>
          <w:sz w:val="24"/>
          <w:szCs w:val="24"/>
        </w:rPr>
        <w:footnoteReference w:id="25"/>
      </w:r>
      <w:r w:rsidRPr="001E3C83">
        <w:rPr>
          <w:rFonts w:ascii="Verdana" w:hAnsi="Verdana"/>
          <w:sz w:val="24"/>
          <w:szCs w:val="24"/>
          <w:lang w:val="es-CR"/>
        </w:rPr>
        <w:t xml:space="preserve">, con la sentencia correspondiente, la que, por lo tanto, genera el efecto de cosa juzgada, </w:t>
      </w:r>
      <w:r w:rsidR="005C08DE" w:rsidRPr="001E3C83">
        <w:rPr>
          <w:rFonts w:ascii="Verdana" w:hAnsi="Verdana"/>
          <w:sz w:val="24"/>
          <w:szCs w:val="24"/>
          <w:lang w:val="es-CR"/>
        </w:rPr>
        <w:t xml:space="preserve">no pudiendo, por lo tanto, </w:t>
      </w:r>
      <w:r w:rsidRPr="00F7745F">
        <w:rPr>
          <w:rFonts w:ascii="Verdana" w:hAnsi="Verdana"/>
          <w:sz w:val="24"/>
          <w:szCs w:val="24"/>
          <w:lang w:val="es-ES"/>
        </w:rPr>
        <w:t>ser modificada</w:t>
      </w:r>
      <w:r w:rsidR="005C08DE">
        <w:rPr>
          <w:rFonts w:ascii="Verdana" w:hAnsi="Verdana"/>
          <w:sz w:val="24"/>
          <w:szCs w:val="24"/>
          <w:lang w:val="es-ES"/>
        </w:rPr>
        <w:t xml:space="preserve"> ni aún por la propia Corte.</w:t>
      </w:r>
    </w:p>
    <w:p w14:paraId="63B52840" w14:textId="77777777" w:rsidR="006929B9" w:rsidRPr="00F7745F" w:rsidRDefault="006929B9" w:rsidP="00F7745F">
      <w:pPr>
        <w:rPr>
          <w:rFonts w:ascii="Verdana" w:hAnsi="Verdana"/>
          <w:sz w:val="24"/>
          <w:szCs w:val="24"/>
          <w:lang w:val="es-ES"/>
        </w:rPr>
      </w:pPr>
      <w:r w:rsidRPr="00F7745F">
        <w:rPr>
          <w:rFonts w:ascii="Verdana" w:hAnsi="Verdana"/>
          <w:sz w:val="24"/>
          <w:szCs w:val="24"/>
          <w:lang w:val="es-ES"/>
        </w:rPr>
        <w:t xml:space="preserve">Efectivamente, en mérito de la necesidad de </w:t>
      </w:r>
      <w:r w:rsidR="00096C1B">
        <w:rPr>
          <w:rFonts w:ascii="Verdana" w:hAnsi="Verdana"/>
          <w:sz w:val="24"/>
          <w:szCs w:val="24"/>
          <w:lang w:val="es-ES"/>
        </w:rPr>
        <w:t>certeza o de seguridad jurídica</w:t>
      </w:r>
      <w:r w:rsidR="005C08DE">
        <w:rPr>
          <w:rFonts w:ascii="Verdana" w:hAnsi="Verdana"/>
          <w:sz w:val="24"/>
          <w:szCs w:val="24"/>
          <w:lang w:val="es-ES"/>
        </w:rPr>
        <w:t xml:space="preserve"> </w:t>
      </w:r>
      <w:r w:rsidRPr="00F7745F">
        <w:rPr>
          <w:rFonts w:ascii="Verdana" w:hAnsi="Verdana"/>
          <w:sz w:val="24"/>
          <w:szCs w:val="24"/>
          <w:lang w:val="es-ES"/>
        </w:rPr>
        <w:t>y en consideración al principio de derecho público de que únicamente se puede hacer lo que la norma dispone, la Corte solo puede decretar respecto de su sentencia alguna de las resoluciones que inequívocamente se desprenden de las facultades que taxativamente le han sido conferidas.</w:t>
      </w:r>
    </w:p>
    <w:p w14:paraId="37D619FC" w14:textId="159FEAB1" w:rsidR="006929B9" w:rsidRPr="00F7745F" w:rsidRDefault="006929B9" w:rsidP="00F7745F">
      <w:pPr>
        <w:rPr>
          <w:rFonts w:ascii="Verdana" w:hAnsi="Verdana"/>
          <w:sz w:val="24"/>
          <w:szCs w:val="24"/>
          <w:lang w:val="es-ES"/>
        </w:rPr>
      </w:pPr>
      <w:r w:rsidRPr="00F7745F">
        <w:rPr>
          <w:rFonts w:ascii="Verdana" w:hAnsi="Verdana"/>
          <w:sz w:val="24"/>
          <w:szCs w:val="24"/>
          <w:lang w:val="es-ES"/>
        </w:rPr>
        <w:t xml:space="preserve">Y así, dictada la sentencia de fondo en un </w:t>
      </w:r>
      <w:r w:rsidR="00132316" w:rsidRPr="00F7745F">
        <w:rPr>
          <w:rFonts w:ascii="Verdana" w:hAnsi="Verdana"/>
          <w:sz w:val="24"/>
          <w:szCs w:val="24"/>
          <w:lang w:val="es-ES"/>
        </w:rPr>
        <w:t xml:space="preserve">caso, la Corte solo puede </w:t>
      </w:r>
      <w:r w:rsidRPr="00F7745F">
        <w:rPr>
          <w:rFonts w:ascii="Verdana" w:hAnsi="Verdana"/>
          <w:sz w:val="24"/>
          <w:szCs w:val="24"/>
          <w:lang w:val="es-ES"/>
        </w:rPr>
        <w:t>emitir, si no lo ha hecho, la sentencia de reparaciones y costas</w:t>
      </w:r>
      <w:r w:rsidRPr="00F7745F">
        <w:rPr>
          <w:rStyle w:val="FootnoteReference"/>
          <w:rFonts w:ascii="Verdana" w:hAnsi="Verdana"/>
          <w:sz w:val="24"/>
          <w:szCs w:val="24"/>
          <w:lang w:val="es-ES"/>
        </w:rPr>
        <w:footnoteReference w:id="26"/>
      </w:r>
      <w:r w:rsidRPr="00F7745F">
        <w:rPr>
          <w:rFonts w:ascii="Verdana" w:hAnsi="Verdana"/>
          <w:sz w:val="24"/>
          <w:szCs w:val="24"/>
          <w:lang w:val="es-ES"/>
        </w:rPr>
        <w:t>;</w:t>
      </w:r>
      <w:r w:rsidR="00132316" w:rsidRPr="00F7745F">
        <w:rPr>
          <w:rFonts w:ascii="Verdana" w:hAnsi="Verdana" w:cs="Arial"/>
          <w:sz w:val="24"/>
          <w:szCs w:val="24"/>
          <w:lang w:val="es-CR"/>
        </w:rPr>
        <w:t xml:space="preserve"> </w:t>
      </w:r>
      <w:r w:rsidRPr="001E3C83">
        <w:rPr>
          <w:rFonts w:ascii="Verdana" w:hAnsi="Verdana" w:cs="Arial"/>
          <w:sz w:val="24"/>
          <w:szCs w:val="24"/>
          <w:lang w:val="es-CR"/>
        </w:rPr>
        <w:t>interpretarla</w:t>
      </w:r>
      <w:r w:rsidRPr="00F7745F">
        <w:rPr>
          <w:rStyle w:val="FootnoteReference"/>
          <w:rFonts w:ascii="Verdana" w:hAnsi="Verdana" w:cs="Arial"/>
          <w:sz w:val="24"/>
          <w:szCs w:val="24"/>
        </w:rPr>
        <w:footnoteReference w:id="27"/>
      </w:r>
      <w:r w:rsidRPr="001E3C83">
        <w:rPr>
          <w:rFonts w:ascii="Verdana" w:hAnsi="Verdana" w:cs="Arial"/>
          <w:sz w:val="24"/>
          <w:szCs w:val="24"/>
          <w:lang w:val="es-CR"/>
        </w:rPr>
        <w:t>;</w:t>
      </w:r>
      <w:r w:rsidRPr="00F7745F">
        <w:rPr>
          <w:rFonts w:ascii="Verdana" w:hAnsi="Verdana"/>
          <w:sz w:val="24"/>
          <w:szCs w:val="24"/>
          <w:lang w:val="es-ES"/>
        </w:rPr>
        <w:t xml:space="preserve"> </w:t>
      </w:r>
      <w:r w:rsidRPr="001E3C83">
        <w:rPr>
          <w:rFonts w:ascii="Verdana" w:hAnsi="Verdana" w:cs="Arial"/>
          <w:sz w:val="24"/>
          <w:szCs w:val="24"/>
          <w:lang w:val="es-CR"/>
        </w:rPr>
        <w:t xml:space="preserve">enmendar </w:t>
      </w:r>
      <w:r w:rsidRPr="00F7745F">
        <w:rPr>
          <w:rFonts w:ascii="Verdana" w:hAnsi="Verdana" w:cs="Arial"/>
          <w:sz w:val="24"/>
          <w:szCs w:val="24"/>
          <w:lang w:val="es-ES"/>
        </w:rPr>
        <w:t xml:space="preserve">sus errores </w:t>
      </w:r>
      <w:r w:rsidRPr="00F7745F">
        <w:rPr>
          <w:rFonts w:ascii="Verdana" w:hAnsi="Verdana" w:cs="Arial"/>
          <w:sz w:val="24"/>
          <w:szCs w:val="24"/>
          <w:lang w:val="es-CR"/>
        </w:rPr>
        <w:t>notorios, de edición o de cálculo</w:t>
      </w:r>
      <w:r w:rsidRPr="00F7745F">
        <w:rPr>
          <w:rStyle w:val="FootnoteReference"/>
          <w:rFonts w:ascii="Verdana" w:hAnsi="Verdana" w:cs="Arial"/>
          <w:sz w:val="24"/>
          <w:szCs w:val="24"/>
          <w:lang w:val="es-CR"/>
        </w:rPr>
        <w:footnoteReference w:id="28"/>
      </w:r>
      <w:r w:rsidR="00132316" w:rsidRPr="00F7745F">
        <w:rPr>
          <w:rFonts w:ascii="Verdana" w:hAnsi="Verdana" w:cs="Arial"/>
          <w:sz w:val="24"/>
          <w:szCs w:val="24"/>
          <w:lang w:val="es-CR"/>
        </w:rPr>
        <w:t xml:space="preserve">; </w:t>
      </w:r>
      <w:r w:rsidRPr="00F7745F">
        <w:rPr>
          <w:rFonts w:ascii="Verdana" w:hAnsi="Verdana"/>
          <w:sz w:val="24"/>
          <w:szCs w:val="24"/>
          <w:lang w:val="es-ES"/>
        </w:rPr>
        <w:t>supervisar su cumplimiento</w:t>
      </w:r>
      <w:r w:rsidRPr="00F7745F">
        <w:rPr>
          <w:rStyle w:val="FootnoteReference"/>
          <w:rFonts w:ascii="Verdana" w:hAnsi="Verdana"/>
          <w:sz w:val="24"/>
          <w:szCs w:val="24"/>
          <w:lang w:val="es-ES"/>
        </w:rPr>
        <w:footnoteReference w:id="29"/>
      </w:r>
      <w:r w:rsidR="00132316" w:rsidRPr="00F7745F">
        <w:rPr>
          <w:rFonts w:ascii="Verdana" w:hAnsi="Verdana"/>
          <w:sz w:val="24"/>
          <w:szCs w:val="24"/>
          <w:lang w:val="es-ES"/>
        </w:rPr>
        <w:t xml:space="preserve"> </w:t>
      </w:r>
      <w:r w:rsidR="00132316" w:rsidRPr="00F7745F">
        <w:rPr>
          <w:rFonts w:ascii="Verdana" w:hAnsi="Verdana" w:cs="Arial"/>
          <w:sz w:val="24"/>
          <w:szCs w:val="24"/>
          <w:lang w:val="es-CR"/>
        </w:rPr>
        <w:t>y</w:t>
      </w:r>
      <w:r w:rsidRPr="00F7745F">
        <w:rPr>
          <w:rFonts w:ascii="Verdana" w:hAnsi="Verdana" w:cs="Arial"/>
          <w:sz w:val="24"/>
          <w:szCs w:val="24"/>
          <w:lang w:val="es-CR"/>
        </w:rPr>
        <w:t xml:space="preserve">, finalmente, incluir en el </w:t>
      </w:r>
      <w:r w:rsidRPr="00F7745F">
        <w:rPr>
          <w:rFonts w:ascii="Verdana" w:hAnsi="Verdana" w:cs="Arial"/>
          <w:sz w:val="24"/>
          <w:szCs w:val="24"/>
          <w:lang w:val="es-CR"/>
        </w:rPr>
        <w:lastRenderedPageBreak/>
        <w:t>Informe Anual que debe remitir a la Asamblea General de los Estados Americanos los casos cuyas sentencias no han sido cumplidas</w:t>
      </w:r>
      <w:r w:rsidRPr="00F7745F">
        <w:rPr>
          <w:rStyle w:val="FootnoteReference"/>
          <w:rFonts w:ascii="Verdana" w:hAnsi="Verdana" w:cs="Arial"/>
          <w:sz w:val="24"/>
          <w:szCs w:val="24"/>
          <w:lang w:val="es-CR"/>
        </w:rPr>
        <w:footnoteReference w:id="30"/>
      </w:r>
      <w:r w:rsidRPr="00F7745F">
        <w:rPr>
          <w:rFonts w:ascii="Verdana" w:hAnsi="Verdana" w:cs="Arial"/>
          <w:sz w:val="24"/>
          <w:szCs w:val="24"/>
          <w:lang w:val="es-CR"/>
        </w:rPr>
        <w:t xml:space="preserve">. </w:t>
      </w:r>
    </w:p>
    <w:p w14:paraId="2BAFA041" w14:textId="77777777" w:rsidR="006929B9" w:rsidRPr="00F7745F" w:rsidRDefault="006929B9" w:rsidP="00F7745F">
      <w:pPr>
        <w:rPr>
          <w:rFonts w:ascii="Verdana" w:hAnsi="Verdana" w:cs="Arial"/>
          <w:sz w:val="24"/>
          <w:szCs w:val="24"/>
          <w:lang w:val="es-ES"/>
        </w:rPr>
      </w:pPr>
      <w:r w:rsidRPr="00F7745F">
        <w:rPr>
          <w:rFonts w:ascii="Verdana" w:hAnsi="Verdana" w:cs="Arial"/>
          <w:sz w:val="24"/>
          <w:szCs w:val="24"/>
          <w:lang w:val="es-ES"/>
        </w:rPr>
        <w:t>Se reitera, entonces, que, como puede desprenderse de lo expuesto, las providencias que la Corte puede llevar a cabo o disponer con posterioridad al pronunciamiento de su respectiva sentencia definitiva e inapelable, son expresamente previstas en la normativa a</w:t>
      </w:r>
      <w:r w:rsidR="005C08DE">
        <w:rPr>
          <w:rFonts w:ascii="Verdana" w:hAnsi="Verdana" w:cs="Arial"/>
          <w:sz w:val="24"/>
          <w:szCs w:val="24"/>
          <w:lang w:val="es-ES"/>
        </w:rPr>
        <w:t xml:space="preserve">plicable, la que no comprende </w:t>
      </w:r>
      <w:r w:rsidRPr="00F7745F">
        <w:rPr>
          <w:rFonts w:ascii="Verdana" w:hAnsi="Verdana" w:cs="Arial"/>
          <w:sz w:val="24"/>
          <w:szCs w:val="24"/>
          <w:lang w:val="es-ES"/>
        </w:rPr>
        <w:t>la  posibilidad de decretar medidas provisionales en tal eventualidad.</w:t>
      </w:r>
    </w:p>
    <w:p w14:paraId="0BA3B0F0" w14:textId="77777777" w:rsidR="006929B9" w:rsidRPr="00F7745F" w:rsidRDefault="006929B9" w:rsidP="00F7745F">
      <w:pPr>
        <w:rPr>
          <w:rFonts w:ascii="Verdana" w:hAnsi="Verdana" w:cs="Arial"/>
          <w:sz w:val="24"/>
          <w:szCs w:val="24"/>
          <w:lang w:val="es-ES"/>
        </w:rPr>
      </w:pPr>
      <w:r w:rsidRPr="00F7745F">
        <w:rPr>
          <w:rFonts w:ascii="Verdana" w:hAnsi="Verdana" w:cs="Arial"/>
          <w:sz w:val="24"/>
          <w:szCs w:val="24"/>
          <w:lang w:val="es-ES"/>
        </w:rPr>
        <w:t>En otras palabras, visto que la posibilidad de dictar medidas provisionales con relación a un caso en donde ya se ha dictado sentencia definitiva e inapelable no se encuentra contemplada en norma alguna, se concluye que la Corte carece de facultad para proceder en tal sentido.</w:t>
      </w:r>
    </w:p>
    <w:p w14:paraId="21C79A11" w14:textId="77777777" w:rsidR="006929B9" w:rsidRPr="00F7745F" w:rsidRDefault="006929B9" w:rsidP="00F7745F">
      <w:pPr>
        <w:rPr>
          <w:rFonts w:ascii="Verdana" w:hAnsi="Verdana"/>
          <w:sz w:val="24"/>
          <w:szCs w:val="24"/>
          <w:lang w:val="es-ES"/>
        </w:rPr>
      </w:pPr>
      <w:r w:rsidRPr="00F7745F">
        <w:rPr>
          <w:rFonts w:ascii="Verdana" w:hAnsi="Verdana"/>
          <w:sz w:val="24"/>
          <w:szCs w:val="24"/>
          <w:lang w:val="es-ES"/>
        </w:rPr>
        <w:t>Lo indicado implica</w:t>
      </w:r>
      <w:r w:rsidR="005C08DE">
        <w:rPr>
          <w:rFonts w:ascii="Verdana" w:hAnsi="Verdana"/>
          <w:sz w:val="24"/>
          <w:szCs w:val="24"/>
          <w:lang w:val="es-ES"/>
        </w:rPr>
        <w:t>,</w:t>
      </w:r>
      <w:r w:rsidRPr="00F7745F">
        <w:rPr>
          <w:rFonts w:ascii="Verdana" w:hAnsi="Verdana"/>
          <w:sz w:val="24"/>
          <w:szCs w:val="24"/>
          <w:lang w:val="es-ES"/>
        </w:rPr>
        <w:t xml:space="preserve"> igualmente, que es en ejercicio de su competencia contenciosa que la Corte decreta tanto sentencias co</w:t>
      </w:r>
      <w:r w:rsidR="004A1F6E">
        <w:rPr>
          <w:rFonts w:ascii="Verdana" w:hAnsi="Verdana"/>
          <w:sz w:val="24"/>
          <w:szCs w:val="24"/>
          <w:lang w:val="es-ES"/>
        </w:rPr>
        <w:t>mo medidas provisionales y que e</w:t>
      </w:r>
      <w:r w:rsidRPr="00F7745F">
        <w:rPr>
          <w:rFonts w:ascii="Verdana" w:hAnsi="Verdana"/>
          <w:sz w:val="24"/>
          <w:szCs w:val="24"/>
          <w:lang w:val="es-ES"/>
        </w:rPr>
        <w:t xml:space="preserve">stas </w:t>
      </w:r>
      <w:r w:rsidR="004A1F6E">
        <w:rPr>
          <w:rFonts w:ascii="Verdana" w:hAnsi="Verdana"/>
          <w:sz w:val="24"/>
          <w:szCs w:val="24"/>
          <w:lang w:val="es-ES"/>
        </w:rPr>
        <w:t xml:space="preserve">últimas </w:t>
      </w:r>
      <w:r w:rsidRPr="00F7745F">
        <w:rPr>
          <w:rFonts w:ascii="Verdana" w:hAnsi="Verdana"/>
          <w:sz w:val="24"/>
          <w:szCs w:val="24"/>
          <w:lang w:val="es-ES"/>
        </w:rPr>
        <w:t xml:space="preserve">son concebidas, no solo como excepcionales, sino también como transitorias hasta que la Corte resuelva el correspondiente caso. </w:t>
      </w:r>
    </w:p>
    <w:p w14:paraId="016E3E78" w14:textId="77777777" w:rsidR="006929B9" w:rsidRDefault="006929B9" w:rsidP="00F7745F">
      <w:pPr>
        <w:rPr>
          <w:rStyle w:val="Strong"/>
          <w:rFonts w:ascii="Verdana" w:hAnsi="Verdana"/>
          <w:b w:val="0"/>
          <w:color w:val="000000"/>
          <w:sz w:val="24"/>
          <w:szCs w:val="24"/>
          <w:shd w:val="clear" w:color="auto" w:fill="FFFFFF"/>
          <w:lang w:val="es-CR"/>
        </w:rPr>
      </w:pPr>
      <w:r w:rsidRPr="00F7745F">
        <w:rPr>
          <w:rFonts w:ascii="Verdana" w:hAnsi="Verdana"/>
          <w:sz w:val="24"/>
          <w:szCs w:val="24"/>
          <w:lang w:val="es-ES"/>
        </w:rPr>
        <w:t xml:space="preserve">Pues bien, en mérito de que las medidas provisionales en cuestión fueron requeridas y concedidas en autos con relación al </w:t>
      </w:r>
      <w:r w:rsidRPr="001E3C83">
        <w:rPr>
          <w:rStyle w:val="Strong"/>
          <w:rFonts w:ascii="Verdana" w:hAnsi="Verdana"/>
          <w:b w:val="0"/>
          <w:i/>
          <w:color w:val="000000"/>
          <w:sz w:val="24"/>
          <w:szCs w:val="24"/>
          <w:shd w:val="clear" w:color="auto" w:fill="FFFFFF"/>
          <w:lang w:val="es-CR"/>
        </w:rPr>
        <w:t xml:space="preserve">Caso Durand y Ugarte Vs. </w:t>
      </w:r>
      <w:r w:rsidRPr="007F224B">
        <w:rPr>
          <w:rStyle w:val="Strong"/>
          <w:rFonts w:ascii="Verdana" w:hAnsi="Verdana"/>
          <w:b w:val="0"/>
          <w:i/>
          <w:color w:val="000000"/>
          <w:sz w:val="24"/>
          <w:szCs w:val="24"/>
          <w:shd w:val="clear" w:color="auto" w:fill="FFFFFF"/>
          <w:lang w:val="es-CR"/>
        </w:rPr>
        <w:t>Perú</w:t>
      </w:r>
      <w:r w:rsidRPr="007F224B">
        <w:rPr>
          <w:rStyle w:val="Strong"/>
          <w:rFonts w:ascii="Verdana" w:hAnsi="Verdana"/>
          <w:b w:val="0"/>
          <w:color w:val="000000"/>
          <w:sz w:val="24"/>
          <w:szCs w:val="24"/>
          <w:shd w:val="clear" w:color="auto" w:fill="FFFFFF"/>
          <w:lang w:val="es-CR"/>
        </w:rPr>
        <w:t xml:space="preserve"> en el que ya se había dictado sentencia definitiva</w:t>
      </w:r>
      <w:r w:rsidRPr="007F224B">
        <w:rPr>
          <w:rStyle w:val="FootnoteReference"/>
          <w:rFonts w:ascii="Verdana" w:hAnsi="Verdana"/>
          <w:bCs/>
          <w:color w:val="000000"/>
          <w:sz w:val="24"/>
          <w:szCs w:val="24"/>
          <w:shd w:val="clear" w:color="auto" w:fill="FFFFFF"/>
        </w:rPr>
        <w:footnoteReference w:id="31"/>
      </w:r>
      <w:r w:rsidRPr="007F224B">
        <w:rPr>
          <w:rStyle w:val="Strong"/>
          <w:rFonts w:ascii="Verdana" w:hAnsi="Verdana"/>
          <w:b w:val="0"/>
          <w:color w:val="000000"/>
          <w:sz w:val="24"/>
          <w:szCs w:val="24"/>
          <w:shd w:val="clear" w:color="auto" w:fill="FFFFFF"/>
          <w:lang w:val="es-CR"/>
        </w:rPr>
        <w:t>, resulta evidente que ellas no eran procedentes.</w:t>
      </w:r>
    </w:p>
    <w:p w14:paraId="3065BD11" w14:textId="77777777" w:rsidR="008941AA" w:rsidRPr="00F7745F" w:rsidRDefault="008941AA" w:rsidP="00F7745F">
      <w:pPr>
        <w:rPr>
          <w:rFonts w:ascii="Verdana" w:hAnsi="Verdana"/>
          <w:sz w:val="24"/>
          <w:szCs w:val="24"/>
          <w:lang w:val="es-ES"/>
        </w:rPr>
      </w:pPr>
    </w:p>
    <w:p w14:paraId="7D5F2F39" w14:textId="77777777" w:rsidR="006929B9" w:rsidRPr="00F7745F" w:rsidRDefault="006929B9" w:rsidP="00F7745F">
      <w:pPr>
        <w:pStyle w:val="ListParagraph"/>
        <w:numPr>
          <w:ilvl w:val="0"/>
          <w:numId w:val="22"/>
        </w:numPr>
        <w:spacing w:before="120"/>
        <w:rPr>
          <w:rFonts w:ascii="Verdana" w:hAnsi="Verdana" w:cs="Times New Roman"/>
          <w:b/>
          <w:sz w:val="24"/>
          <w:szCs w:val="24"/>
          <w:lang w:val="es-ES"/>
        </w:rPr>
      </w:pPr>
      <w:r w:rsidRPr="00F7745F">
        <w:rPr>
          <w:rFonts w:ascii="Verdana" w:hAnsi="Verdana"/>
          <w:b/>
          <w:sz w:val="24"/>
          <w:szCs w:val="24"/>
          <w:lang w:val="es-ES"/>
        </w:rPr>
        <w:lastRenderedPageBreak/>
        <w:t>Algunas consecuencias de la dictación de medidas provisionales con posterioridad a la sentencia.</w:t>
      </w:r>
    </w:p>
    <w:p w14:paraId="47A38F4D" w14:textId="77777777" w:rsidR="006929B9" w:rsidRPr="001E3C83" w:rsidRDefault="006929B9" w:rsidP="00F7745F">
      <w:pPr>
        <w:rPr>
          <w:rFonts w:ascii="Verdana" w:hAnsi="Verdana" w:cs="Arial"/>
          <w:sz w:val="24"/>
          <w:szCs w:val="24"/>
          <w:lang w:val="es-CR"/>
        </w:rPr>
      </w:pPr>
      <w:r w:rsidRPr="001E3C83">
        <w:rPr>
          <w:rFonts w:ascii="Verdana" w:hAnsi="Verdana" w:cs="Arial"/>
          <w:sz w:val="24"/>
          <w:szCs w:val="24"/>
          <w:lang w:val="es-CR"/>
        </w:rPr>
        <w:t>A mayor abundamiento y en términos generales, se podría sostener que,</w:t>
      </w:r>
      <w:r w:rsidR="004A1F6E" w:rsidRPr="001E3C83">
        <w:rPr>
          <w:rFonts w:ascii="Verdana" w:hAnsi="Verdana" w:cs="Arial"/>
          <w:sz w:val="24"/>
          <w:szCs w:val="24"/>
          <w:lang w:val="es-CR"/>
        </w:rPr>
        <w:t xml:space="preserve"> de aceptarse que la Corte tendría</w:t>
      </w:r>
      <w:r w:rsidRPr="001E3C83">
        <w:rPr>
          <w:rFonts w:ascii="Verdana" w:hAnsi="Verdana" w:cs="Arial"/>
          <w:sz w:val="24"/>
          <w:szCs w:val="24"/>
          <w:lang w:val="es-CR"/>
        </w:rPr>
        <w:t xml:space="preserve"> la facultad de disponer medidas provisionales una vez ya dictada la Sent</w:t>
      </w:r>
      <w:r w:rsidR="005C08DE" w:rsidRPr="001E3C83">
        <w:rPr>
          <w:rFonts w:ascii="Verdana" w:hAnsi="Verdana" w:cs="Arial"/>
          <w:sz w:val="24"/>
          <w:szCs w:val="24"/>
          <w:lang w:val="es-CR"/>
        </w:rPr>
        <w:t>encia</w:t>
      </w:r>
      <w:r w:rsidRPr="001E3C83">
        <w:rPr>
          <w:rFonts w:ascii="Verdana" w:hAnsi="Verdana" w:cs="Arial"/>
          <w:sz w:val="24"/>
          <w:szCs w:val="24"/>
          <w:lang w:val="es-CR"/>
        </w:rPr>
        <w:t>, como acontece en autos, ello podría acarrear consecuencias no deseadas o improcedentes, algunas de las cuales se detallan seguidamente.</w:t>
      </w:r>
    </w:p>
    <w:p w14:paraId="68BD4A12" w14:textId="77777777" w:rsidR="006929B9" w:rsidRPr="007F224B" w:rsidRDefault="006929B9" w:rsidP="00F7745F">
      <w:pPr>
        <w:rPr>
          <w:rFonts w:ascii="Verdana" w:hAnsi="Verdana" w:cs="Arial"/>
          <w:sz w:val="24"/>
          <w:szCs w:val="24"/>
          <w:lang w:val="es-CR"/>
        </w:rPr>
      </w:pPr>
      <w:r w:rsidRPr="001E3C83">
        <w:rPr>
          <w:rFonts w:ascii="Verdana" w:hAnsi="Verdana" w:cs="Arial"/>
          <w:sz w:val="24"/>
          <w:szCs w:val="24"/>
          <w:lang w:val="es-CR"/>
        </w:rPr>
        <w:t>Por de pronto, en tal eventualidad, las medida</w:t>
      </w:r>
      <w:r w:rsidR="004A1F6E" w:rsidRPr="001E3C83">
        <w:rPr>
          <w:rFonts w:ascii="Verdana" w:hAnsi="Verdana" w:cs="Arial"/>
          <w:sz w:val="24"/>
          <w:szCs w:val="24"/>
          <w:lang w:val="es-CR"/>
        </w:rPr>
        <w:t>s provisionales no serían tales, es decir, no estarían</w:t>
      </w:r>
      <w:r w:rsidR="000C2C40" w:rsidRPr="001E3C83">
        <w:rPr>
          <w:rFonts w:ascii="Verdana" w:hAnsi="Verdana" w:cs="Arial"/>
          <w:sz w:val="24"/>
          <w:szCs w:val="24"/>
          <w:lang w:val="es-CR"/>
        </w:rPr>
        <w:t xml:space="preserve"> l</w:t>
      </w:r>
      <w:r w:rsidR="004A1F6E" w:rsidRPr="001E3C83">
        <w:rPr>
          <w:rFonts w:ascii="Verdana" w:hAnsi="Verdana" w:cs="Arial"/>
          <w:sz w:val="24"/>
          <w:szCs w:val="24"/>
          <w:lang w:val="es-CR"/>
        </w:rPr>
        <w:t>imitadas en el tiempo, no serían</w:t>
      </w:r>
      <w:r w:rsidR="000C2C40" w:rsidRPr="001E3C83">
        <w:rPr>
          <w:rFonts w:ascii="Verdana" w:hAnsi="Verdana" w:cs="Arial"/>
          <w:sz w:val="24"/>
          <w:szCs w:val="24"/>
          <w:lang w:val="es-CR"/>
        </w:rPr>
        <w:t xml:space="preserve"> </w:t>
      </w:r>
      <w:r w:rsidRPr="001E3C83">
        <w:rPr>
          <w:rFonts w:ascii="Verdana" w:hAnsi="Verdana" w:cs="Arial"/>
          <w:sz w:val="24"/>
          <w:szCs w:val="24"/>
          <w:lang w:val="es-CR"/>
        </w:rPr>
        <w:t>transitorias, pasajeras, temporales (o) circunstanciales, que es lo que las caracteriza. En otras palabras</w:t>
      </w:r>
      <w:r w:rsidR="00110AA5" w:rsidRPr="001E3C83">
        <w:rPr>
          <w:rFonts w:ascii="Verdana" w:hAnsi="Verdana" w:cs="Arial"/>
          <w:sz w:val="24"/>
          <w:szCs w:val="24"/>
          <w:lang w:val="es-CR"/>
        </w:rPr>
        <w:t xml:space="preserve">, al dictarse a pesar de que el </w:t>
      </w:r>
      <w:r w:rsidR="00110AA5" w:rsidRPr="001E3C83">
        <w:rPr>
          <w:rStyle w:val="Strong"/>
          <w:rFonts w:ascii="Verdana" w:hAnsi="Verdana"/>
          <w:b w:val="0"/>
          <w:i/>
          <w:color w:val="000000"/>
          <w:sz w:val="24"/>
          <w:szCs w:val="24"/>
          <w:shd w:val="clear" w:color="auto" w:fill="FFFFFF"/>
          <w:lang w:val="es-CR"/>
        </w:rPr>
        <w:t xml:space="preserve">Caso Durand y Ugarte Vs. </w:t>
      </w:r>
      <w:r w:rsidR="00110AA5" w:rsidRPr="007F224B">
        <w:rPr>
          <w:rStyle w:val="Strong"/>
          <w:rFonts w:ascii="Verdana" w:hAnsi="Verdana"/>
          <w:b w:val="0"/>
          <w:i/>
          <w:color w:val="000000"/>
          <w:sz w:val="24"/>
          <w:szCs w:val="24"/>
          <w:shd w:val="clear" w:color="auto" w:fill="FFFFFF"/>
          <w:lang w:val="es-CR"/>
        </w:rPr>
        <w:t>Perú</w:t>
      </w:r>
      <w:r w:rsidR="00110AA5" w:rsidRPr="007F224B">
        <w:rPr>
          <w:rFonts w:ascii="Verdana" w:hAnsi="Verdana" w:cs="Arial"/>
          <w:sz w:val="24"/>
          <w:szCs w:val="24"/>
          <w:lang w:val="es-CR"/>
        </w:rPr>
        <w:t xml:space="preserve"> haya </w:t>
      </w:r>
      <w:r w:rsidRPr="007F224B">
        <w:rPr>
          <w:rFonts w:ascii="Verdana" w:hAnsi="Verdana" w:cs="Arial"/>
          <w:sz w:val="24"/>
          <w:szCs w:val="24"/>
          <w:lang w:val="es-CR"/>
        </w:rPr>
        <w:t>terminado por sentencia definitiva e in</w:t>
      </w:r>
      <w:r w:rsidR="00110AA5" w:rsidRPr="007F224B">
        <w:rPr>
          <w:rFonts w:ascii="Verdana" w:hAnsi="Verdana" w:cs="Arial"/>
          <w:sz w:val="24"/>
          <w:szCs w:val="24"/>
          <w:lang w:val="es-CR"/>
        </w:rPr>
        <w:t>apelable, no hay</w:t>
      </w:r>
      <w:r w:rsidRPr="007F224B">
        <w:rPr>
          <w:rFonts w:ascii="Verdana" w:hAnsi="Verdana" w:cs="Arial"/>
          <w:sz w:val="24"/>
          <w:szCs w:val="24"/>
          <w:lang w:val="es-CR"/>
        </w:rPr>
        <w:t xml:space="preserve"> pará</w:t>
      </w:r>
      <w:r w:rsidR="00110AA5" w:rsidRPr="007F224B">
        <w:rPr>
          <w:rFonts w:ascii="Verdana" w:hAnsi="Verdana" w:cs="Arial"/>
          <w:sz w:val="24"/>
          <w:szCs w:val="24"/>
          <w:lang w:val="es-CR"/>
        </w:rPr>
        <w:t xml:space="preserve">metro que permita determinar la </w:t>
      </w:r>
      <w:r w:rsidRPr="007F224B">
        <w:rPr>
          <w:rFonts w:ascii="Verdana" w:hAnsi="Verdana" w:cs="Arial"/>
          <w:sz w:val="24"/>
          <w:szCs w:val="24"/>
          <w:lang w:val="es-CR"/>
        </w:rPr>
        <w:t>provisionalidad</w:t>
      </w:r>
      <w:r w:rsidR="00110AA5" w:rsidRPr="007F224B">
        <w:rPr>
          <w:rFonts w:ascii="Verdana" w:hAnsi="Verdana" w:cs="Arial"/>
          <w:sz w:val="24"/>
          <w:szCs w:val="24"/>
          <w:lang w:val="es-CR"/>
        </w:rPr>
        <w:t xml:space="preserve"> de aquellas, lo que hace </w:t>
      </w:r>
      <w:r w:rsidRPr="007F224B">
        <w:rPr>
          <w:rFonts w:ascii="Verdana" w:hAnsi="Verdana" w:cs="Arial"/>
          <w:sz w:val="24"/>
          <w:szCs w:val="24"/>
          <w:lang w:val="es-CR"/>
        </w:rPr>
        <w:t>que se transformen, en realidad, en permanentes.</w:t>
      </w:r>
    </w:p>
    <w:p w14:paraId="40CF9138" w14:textId="77777777" w:rsidR="004A1F6E" w:rsidRPr="001E3C83" w:rsidRDefault="006929B9" w:rsidP="00F7745F">
      <w:pPr>
        <w:rPr>
          <w:rFonts w:ascii="Verdana" w:hAnsi="Verdana" w:cs="Tahoma"/>
          <w:i/>
          <w:sz w:val="24"/>
          <w:szCs w:val="24"/>
          <w:lang w:val="es-CR"/>
        </w:rPr>
      </w:pPr>
      <w:r w:rsidRPr="001E3C83">
        <w:rPr>
          <w:rFonts w:ascii="Verdana" w:hAnsi="Verdana" w:cs="Arial"/>
          <w:sz w:val="24"/>
          <w:szCs w:val="24"/>
          <w:lang w:val="es-CR"/>
        </w:rPr>
        <w:t xml:space="preserve">Por otra parte, </w:t>
      </w:r>
      <w:r w:rsidR="00110AA5" w:rsidRPr="001E3C83">
        <w:rPr>
          <w:rFonts w:ascii="Verdana" w:hAnsi="Verdana" w:cs="Arial"/>
          <w:sz w:val="24"/>
          <w:szCs w:val="24"/>
          <w:lang w:val="es-CR"/>
        </w:rPr>
        <w:t xml:space="preserve">con lo resuelto, </w:t>
      </w:r>
      <w:r w:rsidRPr="001E3C83">
        <w:rPr>
          <w:rFonts w:ascii="Verdana" w:hAnsi="Verdana" w:cs="Arial"/>
          <w:sz w:val="24"/>
          <w:szCs w:val="24"/>
          <w:lang w:val="es-CR"/>
        </w:rPr>
        <w:t xml:space="preserve">el juicio ya finalizado por sentencia definitiva e inapelable, </w:t>
      </w:r>
      <w:r w:rsidR="00110AA5" w:rsidRPr="001E3C83">
        <w:rPr>
          <w:rFonts w:ascii="Verdana" w:hAnsi="Verdana" w:cs="Arial"/>
          <w:sz w:val="24"/>
          <w:szCs w:val="24"/>
          <w:lang w:val="es-CR"/>
        </w:rPr>
        <w:t>en la práctica se prolonga</w:t>
      </w:r>
      <w:r w:rsidRPr="001E3C83">
        <w:rPr>
          <w:rFonts w:ascii="Verdana" w:hAnsi="Verdana" w:cs="Arial"/>
          <w:sz w:val="24"/>
          <w:szCs w:val="24"/>
          <w:lang w:val="es-CR"/>
        </w:rPr>
        <w:t xml:space="preserve"> despojando a esta última de su principal efecto, cual es, precisamente el de finalizar el correspondiente caso, otorgándole el efecto de cosa juzgada.</w:t>
      </w:r>
      <w:r w:rsidRPr="001E3C83">
        <w:rPr>
          <w:rFonts w:ascii="Verdana" w:hAnsi="Verdana" w:cs="Tahoma"/>
          <w:i/>
          <w:sz w:val="24"/>
          <w:szCs w:val="24"/>
          <w:lang w:val="es-CR"/>
        </w:rPr>
        <w:t xml:space="preserve"> </w:t>
      </w:r>
    </w:p>
    <w:p w14:paraId="7602F4C5" w14:textId="77777777" w:rsidR="006929B9" w:rsidRPr="007F224B" w:rsidRDefault="006929B9" w:rsidP="00F7745F">
      <w:pPr>
        <w:rPr>
          <w:rFonts w:ascii="Verdana" w:hAnsi="Verdana" w:cs="Tahoma"/>
          <w:sz w:val="24"/>
          <w:szCs w:val="24"/>
          <w:lang w:val="es-CR"/>
        </w:rPr>
      </w:pPr>
      <w:r w:rsidRPr="001E3C83">
        <w:rPr>
          <w:rFonts w:ascii="Verdana" w:hAnsi="Verdana" w:cs="Tahoma"/>
          <w:sz w:val="24"/>
          <w:szCs w:val="24"/>
          <w:lang w:val="es-CR"/>
        </w:rPr>
        <w:t>Es decir, la adopció</w:t>
      </w:r>
      <w:r w:rsidR="00110AA5" w:rsidRPr="001E3C83">
        <w:rPr>
          <w:rFonts w:ascii="Verdana" w:hAnsi="Verdana" w:cs="Tahoma"/>
          <w:sz w:val="24"/>
          <w:szCs w:val="24"/>
          <w:lang w:val="es-CR"/>
        </w:rPr>
        <w:t xml:space="preserve">n de medidas provisionales </w:t>
      </w:r>
      <w:r w:rsidR="004A1F6E" w:rsidRPr="001E3C83">
        <w:rPr>
          <w:rFonts w:ascii="Verdana" w:hAnsi="Verdana" w:cs="Tahoma"/>
          <w:sz w:val="24"/>
          <w:szCs w:val="24"/>
          <w:lang w:val="es-CR"/>
        </w:rPr>
        <w:t>con relación al</w:t>
      </w:r>
      <w:r w:rsidR="004A1F6E" w:rsidRPr="001E3C83">
        <w:rPr>
          <w:rStyle w:val="Strong"/>
          <w:rFonts w:ascii="Verdana" w:hAnsi="Verdana"/>
          <w:b w:val="0"/>
          <w:i/>
          <w:color w:val="000000"/>
          <w:sz w:val="24"/>
          <w:szCs w:val="24"/>
          <w:shd w:val="clear" w:color="auto" w:fill="FFFFFF"/>
          <w:lang w:val="es-CR"/>
        </w:rPr>
        <w:t xml:space="preserve"> Caso Durand y Ugarte Vs. </w:t>
      </w:r>
      <w:r w:rsidR="004A1F6E" w:rsidRPr="007F224B">
        <w:rPr>
          <w:rStyle w:val="Strong"/>
          <w:rFonts w:ascii="Verdana" w:hAnsi="Verdana"/>
          <w:b w:val="0"/>
          <w:i/>
          <w:color w:val="000000"/>
          <w:sz w:val="24"/>
          <w:szCs w:val="24"/>
          <w:shd w:val="clear" w:color="auto" w:fill="FFFFFF"/>
          <w:lang w:val="es-CR"/>
        </w:rPr>
        <w:t>Perú,</w:t>
      </w:r>
      <w:r w:rsidR="004A1F6E" w:rsidRPr="007F224B">
        <w:rPr>
          <w:rFonts w:ascii="Verdana" w:hAnsi="Verdana" w:cs="Tahoma"/>
          <w:sz w:val="24"/>
          <w:szCs w:val="24"/>
          <w:lang w:val="es-CR"/>
        </w:rPr>
        <w:t xml:space="preserve"> </w:t>
      </w:r>
      <w:r w:rsidR="00110AA5" w:rsidRPr="007F224B">
        <w:rPr>
          <w:rFonts w:ascii="Verdana" w:hAnsi="Verdana" w:cs="Tahoma"/>
          <w:sz w:val="24"/>
          <w:szCs w:val="24"/>
          <w:lang w:val="es-CR"/>
        </w:rPr>
        <w:t>es</w:t>
      </w:r>
      <w:r w:rsidRPr="007F224B">
        <w:rPr>
          <w:rFonts w:ascii="Verdana" w:hAnsi="Verdana" w:cs="Tahoma"/>
          <w:sz w:val="24"/>
          <w:szCs w:val="24"/>
          <w:lang w:val="es-CR"/>
        </w:rPr>
        <w:t xml:space="preserve"> una demostración indiscutible de que la dictación de la sentencia definitiva e inape</w:t>
      </w:r>
      <w:r w:rsidR="004A1F6E" w:rsidRPr="007F224B">
        <w:rPr>
          <w:rFonts w:ascii="Verdana" w:hAnsi="Verdana" w:cs="Tahoma"/>
          <w:sz w:val="24"/>
          <w:szCs w:val="24"/>
          <w:lang w:val="es-CR"/>
        </w:rPr>
        <w:t>lable en é</w:t>
      </w:r>
      <w:r w:rsidR="00110AA5" w:rsidRPr="007F224B">
        <w:rPr>
          <w:rFonts w:ascii="Verdana" w:hAnsi="Verdana" w:cs="Tahoma"/>
          <w:sz w:val="24"/>
          <w:szCs w:val="24"/>
          <w:lang w:val="es-CR"/>
        </w:rPr>
        <w:t>l</w:t>
      </w:r>
      <w:r w:rsidR="00110AA5" w:rsidRPr="007F224B">
        <w:rPr>
          <w:rStyle w:val="Strong"/>
          <w:rFonts w:ascii="Verdana" w:hAnsi="Verdana"/>
          <w:b w:val="0"/>
          <w:i/>
          <w:color w:val="000000"/>
          <w:sz w:val="24"/>
          <w:szCs w:val="24"/>
          <w:shd w:val="clear" w:color="auto" w:fill="FFFFFF"/>
          <w:lang w:val="es-CR"/>
        </w:rPr>
        <w:t>,</w:t>
      </w:r>
      <w:r w:rsidR="00110AA5" w:rsidRPr="007F224B">
        <w:rPr>
          <w:rStyle w:val="Strong"/>
          <w:rFonts w:ascii="Verdana" w:hAnsi="Verdana"/>
          <w:b w:val="0"/>
          <w:color w:val="000000"/>
          <w:sz w:val="24"/>
          <w:szCs w:val="24"/>
          <w:shd w:val="clear" w:color="auto" w:fill="FFFFFF"/>
          <w:lang w:val="es-CR"/>
        </w:rPr>
        <w:t xml:space="preserve"> </w:t>
      </w:r>
      <w:r w:rsidR="00110AA5" w:rsidRPr="007F224B">
        <w:rPr>
          <w:rFonts w:ascii="Verdana" w:hAnsi="Verdana" w:cs="Tahoma"/>
          <w:sz w:val="24"/>
          <w:szCs w:val="24"/>
          <w:lang w:val="es-CR"/>
        </w:rPr>
        <w:t>fue</w:t>
      </w:r>
      <w:r w:rsidRPr="007F224B">
        <w:rPr>
          <w:rFonts w:ascii="Verdana" w:hAnsi="Verdana" w:cs="Tahoma"/>
          <w:sz w:val="24"/>
          <w:szCs w:val="24"/>
          <w:lang w:val="es-CR"/>
        </w:rPr>
        <w:t xml:space="preserve"> insuficiente para lograr que </w:t>
      </w:r>
      <w:r w:rsidRPr="007F224B">
        <w:rPr>
          <w:rFonts w:ascii="Verdana" w:hAnsi="Verdana" w:cs="Arial"/>
          <w:sz w:val="24"/>
          <w:szCs w:val="24"/>
          <w:lang w:val="es-CR"/>
        </w:rPr>
        <w:t>“</w:t>
      </w:r>
      <w:r w:rsidRPr="007F224B">
        <w:rPr>
          <w:rFonts w:ascii="Verdana" w:hAnsi="Verdana" w:cs="Tahoma"/>
          <w:i/>
          <w:sz w:val="24"/>
          <w:szCs w:val="24"/>
          <w:lang w:val="es-CR"/>
        </w:rPr>
        <w:t>se garantice al lesionado en el goce de su derecho o libertad conculcado(s)”</w:t>
      </w:r>
      <w:r w:rsidR="00110AA5" w:rsidRPr="00F7745F">
        <w:rPr>
          <w:rStyle w:val="FootnoteReference"/>
          <w:rFonts w:ascii="Verdana" w:hAnsi="Verdana" w:cs="Tahoma"/>
          <w:i/>
          <w:sz w:val="24"/>
          <w:szCs w:val="24"/>
        </w:rPr>
        <w:footnoteReference w:id="32"/>
      </w:r>
      <w:r w:rsidRPr="007F224B">
        <w:rPr>
          <w:rFonts w:ascii="Verdana" w:hAnsi="Verdana" w:cs="Tahoma"/>
          <w:i/>
          <w:sz w:val="24"/>
          <w:szCs w:val="24"/>
          <w:lang w:val="es-CR"/>
        </w:rPr>
        <w:t>.</w:t>
      </w:r>
    </w:p>
    <w:p w14:paraId="6A752B31" w14:textId="77777777" w:rsidR="006929B9" w:rsidRPr="004B672E" w:rsidRDefault="006929B9" w:rsidP="00EA1D43">
      <w:pPr>
        <w:pStyle w:val="ListParagraph"/>
        <w:numPr>
          <w:ilvl w:val="0"/>
          <w:numId w:val="24"/>
        </w:numPr>
        <w:ind w:left="1003"/>
        <w:rPr>
          <w:rStyle w:val="Strong"/>
          <w:rFonts w:ascii="Verdana" w:hAnsi="Verdana"/>
          <w:color w:val="000000"/>
          <w:sz w:val="24"/>
          <w:szCs w:val="24"/>
          <w:shd w:val="clear" w:color="auto" w:fill="FFFFFF"/>
          <w:lang w:val="es-CR"/>
        </w:rPr>
      </w:pPr>
      <w:r w:rsidRPr="004B672E">
        <w:rPr>
          <w:rStyle w:val="Strong"/>
          <w:rFonts w:ascii="Verdana" w:hAnsi="Verdana"/>
          <w:color w:val="000000"/>
          <w:sz w:val="24"/>
          <w:szCs w:val="24"/>
          <w:shd w:val="clear" w:color="auto" w:fill="FFFFFF"/>
          <w:lang w:val="es-CR"/>
        </w:rPr>
        <w:t>Desvinculación de las medidas provisionales con el Caso Durand y Ugarte Vs. Perú.</w:t>
      </w:r>
    </w:p>
    <w:p w14:paraId="2C06D9EF" w14:textId="77777777" w:rsidR="00110AA5" w:rsidRPr="004B672E" w:rsidRDefault="004C0864" w:rsidP="00F7745F">
      <w:pPr>
        <w:rPr>
          <w:rFonts w:ascii="Verdana" w:hAnsi="Verdana" w:cs="Tahoma"/>
          <w:sz w:val="24"/>
          <w:szCs w:val="24"/>
          <w:lang w:val="es-CR"/>
        </w:rPr>
      </w:pPr>
      <w:r w:rsidRPr="004B672E">
        <w:rPr>
          <w:rStyle w:val="Strong"/>
          <w:rFonts w:ascii="Verdana" w:hAnsi="Verdana"/>
          <w:b w:val="0"/>
          <w:color w:val="000000"/>
          <w:sz w:val="24"/>
          <w:szCs w:val="24"/>
          <w:shd w:val="clear" w:color="auto" w:fill="FFFFFF"/>
          <w:lang w:val="es-CR"/>
        </w:rPr>
        <w:t>Por otra parte, se debe tener presente que las medidas provisionales</w:t>
      </w:r>
      <w:r w:rsidR="0072214D" w:rsidRPr="004B672E">
        <w:rPr>
          <w:rStyle w:val="Strong"/>
          <w:rFonts w:ascii="Verdana" w:hAnsi="Verdana"/>
          <w:b w:val="0"/>
          <w:color w:val="000000"/>
          <w:sz w:val="24"/>
          <w:szCs w:val="24"/>
          <w:shd w:val="clear" w:color="auto" w:fill="FFFFFF"/>
          <w:lang w:val="es-CR"/>
        </w:rPr>
        <w:t xml:space="preserve"> de autos</w:t>
      </w:r>
      <w:r w:rsidRPr="004B672E">
        <w:rPr>
          <w:rStyle w:val="Strong"/>
          <w:rFonts w:ascii="Verdana" w:hAnsi="Verdana"/>
          <w:b w:val="0"/>
          <w:color w:val="000000"/>
          <w:sz w:val="24"/>
          <w:szCs w:val="24"/>
          <w:shd w:val="clear" w:color="auto" w:fill="FFFFFF"/>
          <w:lang w:val="es-CR"/>
        </w:rPr>
        <w:t xml:space="preserve"> no tienen vinculación con el </w:t>
      </w:r>
      <w:r w:rsidRPr="004B672E">
        <w:rPr>
          <w:rStyle w:val="Strong"/>
          <w:rFonts w:ascii="Verdana" w:hAnsi="Verdana"/>
          <w:b w:val="0"/>
          <w:i/>
          <w:color w:val="000000"/>
          <w:sz w:val="24"/>
          <w:szCs w:val="24"/>
          <w:shd w:val="clear" w:color="auto" w:fill="FFFFFF"/>
          <w:lang w:val="es-CR"/>
        </w:rPr>
        <w:t>Caso Durand y Ugarte Vs. Perú.</w:t>
      </w:r>
      <w:r w:rsidRPr="004B672E">
        <w:rPr>
          <w:rStyle w:val="Strong"/>
          <w:rFonts w:ascii="Verdana" w:hAnsi="Verdana"/>
          <w:b w:val="0"/>
          <w:color w:val="000000"/>
          <w:sz w:val="24"/>
          <w:szCs w:val="24"/>
          <w:shd w:val="clear" w:color="auto" w:fill="FFFFFF"/>
          <w:lang w:val="es-CR"/>
        </w:rPr>
        <w:t xml:space="preserve"> Ello queda en evidencia al considerarse los beneficiarios de aquellas,</w:t>
      </w:r>
      <w:r w:rsidR="00AC2E82" w:rsidRPr="004B672E">
        <w:rPr>
          <w:rStyle w:val="Strong"/>
          <w:rFonts w:ascii="Verdana" w:hAnsi="Verdana"/>
          <w:b w:val="0"/>
          <w:color w:val="000000"/>
          <w:sz w:val="24"/>
          <w:szCs w:val="24"/>
          <w:shd w:val="clear" w:color="auto" w:fill="FFFFFF"/>
          <w:lang w:val="es-CR"/>
        </w:rPr>
        <w:t xml:space="preserve"> su objeto o finalidad y </w:t>
      </w:r>
      <w:r w:rsidR="000C2C40" w:rsidRPr="004B672E">
        <w:rPr>
          <w:rFonts w:ascii="Verdana" w:hAnsi="Verdana" w:cs="Tahoma"/>
          <w:sz w:val="24"/>
          <w:szCs w:val="24"/>
          <w:lang w:val="es-CR"/>
        </w:rPr>
        <w:t>el momento procesal en que se decretan.</w:t>
      </w:r>
    </w:p>
    <w:p w14:paraId="1DE36537" w14:textId="77777777" w:rsidR="000C2C40" w:rsidRPr="004B672E" w:rsidRDefault="00BD76E8" w:rsidP="00EA1D43">
      <w:pPr>
        <w:pStyle w:val="ListParagraph"/>
        <w:numPr>
          <w:ilvl w:val="0"/>
          <w:numId w:val="23"/>
        </w:numPr>
        <w:spacing w:before="120"/>
        <w:ind w:left="643"/>
        <w:rPr>
          <w:rStyle w:val="Strong"/>
          <w:rFonts w:ascii="Verdana" w:hAnsi="Verdana"/>
          <w:b w:val="0"/>
          <w:color w:val="000000"/>
          <w:sz w:val="24"/>
          <w:szCs w:val="24"/>
          <w:shd w:val="clear" w:color="auto" w:fill="FFFFFF"/>
          <w:lang w:val="es-CR"/>
        </w:rPr>
      </w:pPr>
      <w:r w:rsidRPr="004B672E">
        <w:rPr>
          <w:rStyle w:val="Strong"/>
          <w:rFonts w:ascii="Verdana" w:hAnsi="Verdana"/>
          <w:color w:val="000000"/>
          <w:sz w:val="24"/>
          <w:szCs w:val="24"/>
          <w:shd w:val="clear" w:color="auto" w:fill="FFFFFF"/>
          <w:lang w:val="es-CR"/>
        </w:rPr>
        <w:t>Beneficiarios.</w:t>
      </w:r>
    </w:p>
    <w:p w14:paraId="37AEBC15" w14:textId="6D1C9CD9" w:rsidR="004C0864" w:rsidRDefault="004C0864" w:rsidP="00F7745F">
      <w:pPr>
        <w:rPr>
          <w:rFonts w:ascii="Verdana" w:hAnsi="Verdana"/>
          <w:bCs/>
          <w:color w:val="000000"/>
          <w:sz w:val="24"/>
          <w:szCs w:val="24"/>
          <w:shd w:val="clear" w:color="auto" w:fill="FFFFFF"/>
          <w:lang w:val="es-CR"/>
        </w:rPr>
      </w:pPr>
      <w:r w:rsidRPr="004B672E">
        <w:rPr>
          <w:rFonts w:ascii="Verdana" w:hAnsi="Verdana" w:cs="Tahoma"/>
          <w:sz w:val="24"/>
          <w:szCs w:val="24"/>
          <w:lang w:val="es-CR"/>
        </w:rPr>
        <w:t>Como ya se afirmó, las medidas provis</w:t>
      </w:r>
      <w:r w:rsidR="000C2C40" w:rsidRPr="004B672E">
        <w:rPr>
          <w:rFonts w:ascii="Verdana" w:hAnsi="Verdana" w:cs="Tahoma"/>
          <w:sz w:val="24"/>
          <w:szCs w:val="24"/>
          <w:lang w:val="es-CR"/>
        </w:rPr>
        <w:t>ionales decretadas</w:t>
      </w:r>
      <w:r w:rsidRPr="004B672E">
        <w:rPr>
          <w:rFonts w:ascii="Verdana" w:hAnsi="Verdana" w:cs="Tahoma"/>
          <w:sz w:val="24"/>
          <w:szCs w:val="24"/>
          <w:lang w:val="es-CR"/>
        </w:rPr>
        <w:t xml:space="preserve"> en autos, </w:t>
      </w:r>
      <w:r w:rsidR="00BD76E8" w:rsidRPr="004B672E">
        <w:rPr>
          <w:rFonts w:ascii="Verdana" w:hAnsi="Verdana" w:cs="Tahoma"/>
          <w:sz w:val="24"/>
          <w:szCs w:val="24"/>
          <w:lang w:val="es-CR"/>
        </w:rPr>
        <w:t xml:space="preserve">formalmente </w:t>
      </w:r>
      <w:r w:rsidR="000C2C40" w:rsidRPr="004B672E">
        <w:rPr>
          <w:rFonts w:ascii="Verdana" w:hAnsi="Verdana" w:cs="Tahoma"/>
          <w:sz w:val="24"/>
          <w:szCs w:val="24"/>
          <w:lang w:val="es-CR"/>
        </w:rPr>
        <w:t>lo fueron en beneficio de</w:t>
      </w:r>
      <w:r w:rsidR="000C2C40" w:rsidRPr="004B672E">
        <w:rPr>
          <w:rFonts w:ascii="Verdana" w:hAnsi="Verdana"/>
          <w:bCs/>
          <w:color w:val="000000"/>
          <w:sz w:val="24"/>
          <w:szCs w:val="24"/>
          <w:shd w:val="clear" w:color="auto" w:fill="FFFFFF"/>
          <w:lang w:val="es-CR"/>
        </w:rPr>
        <w:t xml:space="preserve"> las víctimas</w:t>
      </w:r>
      <w:r w:rsidR="000C2C40" w:rsidRPr="004B672E">
        <w:rPr>
          <w:rFonts w:ascii="Verdana" w:hAnsi="Verdana" w:cs="Tahoma"/>
          <w:sz w:val="24"/>
          <w:szCs w:val="24"/>
          <w:lang w:val="es-CR"/>
        </w:rPr>
        <w:t xml:space="preserve"> del </w:t>
      </w:r>
      <w:r w:rsidR="000C2C40" w:rsidRPr="004B672E">
        <w:rPr>
          <w:rFonts w:ascii="Verdana" w:hAnsi="Verdana"/>
          <w:bCs/>
          <w:i/>
          <w:color w:val="000000"/>
          <w:sz w:val="24"/>
          <w:szCs w:val="24"/>
          <w:shd w:val="clear" w:color="auto" w:fill="FFFFFF"/>
          <w:lang w:val="es-CR"/>
        </w:rPr>
        <w:t>Caso Durand y Ugarte Vs. Perú</w:t>
      </w:r>
      <w:r w:rsidR="000C2C40" w:rsidRPr="004B672E">
        <w:rPr>
          <w:rStyle w:val="FootnoteReference"/>
          <w:rFonts w:ascii="Verdana" w:hAnsi="Verdana"/>
          <w:bCs/>
          <w:i/>
          <w:color w:val="000000"/>
          <w:sz w:val="24"/>
          <w:szCs w:val="24"/>
          <w:shd w:val="clear" w:color="auto" w:fill="FFFFFF"/>
          <w:lang w:val="es-CR"/>
        </w:rPr>
        <w:footnoteReference w:id="33"/>
      </w:r>
      <w:r w:rsidR="000C2C40" w:rsidRPr="004B672E">
        <w:rPr>
          <w:rFonts w:ascii="Verdana" w:hAnsi="Verdana"/>
          <w:bCs/>
          <w:color w:val="000000"/>
          <w:sz w:val="24"/>
          <w:szCs w:val="24"/>
          <w:shd w:val="clear" w:color="auto" w:fill="FFFFFF"/>
          <w:lang w:val="es-CR"/>
        </w:rPr>
        <w:t xml:space="preserve">, en circunstancia de que, </w:t>
      </w:r>
      <w:r w:rsidRPr="004B672E">
        <w:rPr>
          <w:rFonts w:ascii="Verdana" w:hAnsi="Verdana" w:cs="Tahoma"/>
          <w:sz w:val="24"/>
          <w:szCs w:val="24"/>
          <w:lang w:val="es-CR"/>
        </w:rPr>
        <w:t xml:space="preserve">en </w:t>
      </w:r>
      <w:r w:rsidR="00BD76E8" w:rsidRPr="004B672E">
        <w:rPr>
          <w:rFonts w:ascii="Verdana" w:hAnsi="Verdana" w:cs="Tahoma"/>
          <w:sz w:val="24"/>
          <w:szCs w:val="24"/>
          <w:lang w:val="es-CR"/>
        </w:rPr>
        <w:t>realidad</w:t>
      </w:r>
      <w:r w:rsidR="00724E4F" w:rsidRPr="004B672E">
        <w:rPr>
          <w:rFonts w:ascii="Verdana" w:hAnsi="Verdana" w:cs="Tahoma"/>
          <w:sz w:val="24"/>
          <w:szCs w:val="24"/>
          <w:lang w:val="es-CR"/>
        </w:rPr>
        <w:t xml:space="preserve">, los beneficiarios </w:t>
      </w:r>
      <w:r w:rsidR="00724E4F" w:rsidRPr="004B672E">
        <w:rPr>
          <w:rFonts w:ascii="Verdana" w:hAnsi="Verdana" w:cs="Tahoma"/>
          <w:sz w:val="24"/>
          <w:szCs w:val="24"/>
          <w:lang w:val="es-CR"/>
        </w:rPr>
        <w:lastRenderedPageBreak/>
        <w:t xml:space="preserve">son los </w:t>
      </w:r>
      <w:r w:rsidRPr="004B672E">
        <w:rPr>
          <w:rFonts w:ascii="Verdana" w:hAnsi="Verdana" w:cs="Tahoma"/>
          <w:sz w:val="24"/>
          <w:szCs w:val="24"/>
          <w:lang w:val="es-CR"/>
        </w:rPr>
        <w:t>cuatro magistrados del Tribunal Constitucional de</w:t>
      </w:r>
      <w:r w:rsidR="00205592" w:rsidRPr="004B672E">
        <w:rPr>
          <w:rFonts w:ascii="Verdana" w:hAnsi="Verdana" w:cs="Tahoma"/>
          <w:sz w:val="24"/>
          <w:szCs w:val="24"/>
          <w:lang w:val="es-CR"/>
        </w:rPr>
        <w:t>l</w:t>
      </w:r>
      <w:r w:rsidRPr="004B672E">
        <w:rPr>
          <w:rFonts w:ascii="Verdana" w:hAnsi="Verdana" w:cs="Tahoma"/>
          <w:sz w:val="24"/>
          <w:szCs w:val="24"/>
          <w:lang w:val="es-CR"/>
        </w:rPr>
        <w:t xml:space="preserve"> Perú</w:t>
      </w:r>
      <w:r w:rsidRPr="004B672E">
        <w:rPr>
          <w:rFonts w:ascii="Verdana" w:hAnsi="Verdana"/>
          <w:sz w:val="24"/>
          <w:szCs w:val="24"/>
          <w:vertAlign w:val="superscript"/>
          <w:lang w:val="es-CR"/>
        </w:rPr>
        <w:footnoteReference w:id="34"/>
      </w:r>
      <w:r w:rsidR="00EA1D43" w:rsidRPr="004B672E">
        <w:rPr>
          <w:rFonts w:ascii="Verdana" w:hAnsi="Verdana" w:cs="Tahoma"/>
          <w:sz w:val="24"/>
          <w:szCs w:val="24"/>
          <w:lang w:val="es-CR"/>
        </w:rPr>
        <w:t xml:space="preserve">, dado que </w:t>
      </w:r>
      <w:r w:rsidR="000C2C40" w:rsidRPr="004B672E">
        <w:rPr>
          <w:rFonts w:ascii="Verdana" w:hAnsi="Verdana" w:cs="Tahoma"/>
          <w:sz w:val="24"/>
          <w:szCs w:val="24"/>
          <w:lang w:val="es-CR"/>
        </w:rPr>
        <w:t>la medida decretada, es decir, el archivo de la acusación constitucional</w:t>
      </w:r>
      <w:r w:rsidR="000C2C40" w:rsidRPr="004B672E">
        <w:rPr>
          <w:rStyle w:val="FootnoteReference"/>
          <w:rFonts w:ascii="Verdana" w:hAnsi="Verdana" w:cs="Tahoma"/>
          <w:sz w:val="24"/>
          <w:szCs w:val="24"/>
          <w:lang w:val="es-CR"/>
        </w:rPr>
        <w:footnoteReference w:id="35"/>
      </w:r>
      <w:r w:rsidR="00724E4F" w:rsidRPr="004B672E">
        <w:rPr>
          <w:rFonts w:ascii="Verdana" w:hAnsi="Verdana" w:cs="Tahoma"/>
          <w:sz w:val="24"/>
          <w:szCs w:val="24"/>
          <w:lang w:val="es-CR"/>
        </w:rPr>
        <w:t xml:space="preserve">, </w:t>
      </w:r>
      <w:r w:rsidR="00EA1D43" w:rsidRPr="004B672E">
        <w:rPr>
          <w:rFonts w:ascii="Verdana" w:hAnsi="Verdana" w:cs="Tahoma"/>
          <w:sz w:val="24"/>
          <w:szCs w:val="24"/>
          <w:lang w:val="es-CR"/>
        </w:rPr>
        <w:t xml:space="preserve">les </w:t>
      </w:r>
      <w:r w:rsidR="00724E4F" w:rsidRPr="004B672E">
        <w:rPr>
          <w:rFonts w:ascii="Verdana" w:hAnsi="Verdana" w:cs="Tahoma"/>
          <w:sz w:val="24"/>
          <w:szCs w:val="24"/>
          <w:lang w:val="es-CR"/>
        </w:rPr>
        <w:t>aprovecha</w:t>
      </w:r>
      <w:r w:rsidR="000C2C40" w:rsidRPr="004B672E">
        <w:rPr>
          <w:rFonts w:ascii="Verdana" w:hAnsi="Verdana" w:cs="Tahoma"/>
          <w:sz w:val="24"/>
          <w:szCs w:val="24"/>
          <w:lang w:val="es-CR"/>
        </w:rPr>
        <w:t xml:space="preserve"> directamente a </w:t>
      </w:r>
      <w:r w:rsidR="00EA1D43" w:rsidRPr="004B672E">
        <w:rPr>
          <w:rFonts w:ascii="Verdana" w:hAnsi="Verdana" w:cs="Tahoma"/>
          <w:sz w:val="24"/>
          <w:szCs w:val="24"/>
          <w:lang w:val="es-CR"/>
        </w:rPr>
        <w:t xml:space="preserve">ellos </w:t>
      </w:r>
      <w:r w:rsidR="00BD76E8" w:rsidRPr="004B672E">
        <w:rPr>
          <w:rFonts w:ascii="Verdana" w:hAnsi="Verdana" w:cs="Tahoma"/>
          <w:sz w:val="24"/>
          <w:szCs w:val="24"/>
          <w:lang w:val="es-CR"/>
        </w:rPr>
        <w:t xml:space="preserve">al impedir </w:t>
      </w:r>
      <w:r w:rsidR="00EA1D43" w:rsidRPr="004B672E">
        <w:rPr>
          <w:rFonts w:ascii="Verdana" w:hAnsi="Verdana" w:cs="Tahoma"/>
          <w:sz w:val="24"/>
          <w:szCs w:val="24"/>
          <w:lang w:val="es-CR"/>
        </w:rPr>
        <w:t>de ese mod</w:t>
      </w:r>
      <w:r w:rsidR="005C08DE" w:rsidRPr="004B672E">
        <w:rPr>
          <w:rFonts w:ascii="Verdana" w:hAnsi="Verdana" w:cs="Tahoma"/>
          <w:sz w:val="24"/>
          <w:szCs w:val="24"/>
          <w:lang w:val="es-CR"/>
        </w:rPr>
        <w:t xml:space="preserve">o que sean sancionados. Es por tal motivo </w:t>
      </w:r>
      <w:r w:rsidR="00EA1D43" w:rsidRPr="004B672E">
        <w:rPr>
          <w:rFonts w:ascii="Verdana" w:hAnsi="Verdana" w:cs="Tahoma"/>
          <w:sz w:val="24"/>
          <w:szCs w:val="24"/>
          <w:lang w:val="es-CR"/>
        </w:rPr>
        <w:t xml:space="preserve">que se puede sostener que la </w:t>
      </w:r>
      <w:r w:rsidR="00BD76E8" w:rsidRPr="004B672E">
        <w:rPr>
          <w:rFonts w:ascii="Verdana" w:hAnsi="Verdana" w:cs="Tahoma"/>
          <w:sz w:val="24"/>
          <w:szCs w:val="24"/>
          <w:lang w:val="es-CR"/>
        </w:rPr>
        <w:t xml:space="preserve">Resolución incurre en error al señalar que la medida provisional </w:t>
      </w:r>
      <w:r w:rsidR="00063DC3" w:rsidRPr="004B672E">
        <w:rPr>
          <w:rFonts w:ascii="Verdana" w:hAnsi="Verdana" w:cs="Tahoma"/>
          <w:sz w:val="24"/>
          <w:szCs w:val="24"/>
          <w:lang w:val="es-CR"/>
        </w:rPr>
        <w:t xml:space="preserve">los </w:t>
      </w:r>
      <w:r w:rsidR="00BD76E8" w:rsidRPr="004B672E">
        <w:rPr>
          <w:rFonts w:ascii="Verdana" w:hAnsi="Verdana" w:cs="Tahoma"/>
          <w:sz w:val="24"/>
          <w:szCs w:val="24"/>
          <w:lang w:val="es-CR"/>
        </w:rPr>
        <w:t>beneficia “</w:t>
      </w:r>
      <w:r w:rsidR="00BD76E8" w:rsidRPr="004B672E">
        <w:rPr>
          <w:rFonts w:ascii="Verdana" w:hAnsi="Verdana" w:cs="Tahoma"/>
          <w:i/>
          <w:sz w:val="24"/>
          <w:szCs w:val="24"/>
          <w:lang w:val="es-CR"/>
        </w:rPr>
        <w:t>de manera  indirecta</w:t>
      </w:r>
      <w:r w:rsidR="00BD76E8" w:rsidRPr="004B672E">
        <w:rPr>
          <w:rFonts w:ascii="Verdana" w:hAnsi="Verdana" w:cs="Tahoma"/>
          <w:sz w:val="24"/>
          <w:szCs w:val="24"/>
          <w:lang w:val="es-CR"/>
        </w:rPr>
        <w:t>”, desconoci</w:t>
      </w:r>
      <w:r w:rsidR="00C60EEB" w:rsidRPr="004B672E">
        <w:rPr>
          <w:rFonts w:ascii="Verdana" w:hAnsi="Verdana" w:cs="Tahoma"/>
          <w:sz w:val="24"/>
          <w:szCs w:val="24"/>
          <w:lang w:val="es-CR"/>
        </w:rPr>
        <w:t xml:space="preserve">endo que, por el </w:t>
      </w:r>
      <w:r w:rsidR="00EA1D43" w:rsidRPr="004B672E">
        <w:rPr>
          <w:rFonts w:ascii="Verdana" w:hAnsi="Verdana" w:cs="Tahoma"/>
          <w:sz w:val="24"/>
          <w:szCs w:val="24"/>
          <w:lang w:val="es-CR"/>
        </w:rPr>
        <w:t xml:space="preserve">contrario, lo hace directamente </w:t>
      </w:r>
      <w:r w:rsidR="00C60EEB" w:rsidRPr="004B672E">
        <w:rPr>
          <w:rFonts w:ascii="Verdana" w:hAnsi="Verdana" w:cs="Tahoma"/>
          <w:sz w:val="24"/>
          <w:szCs w:val="24"/>
          <w:lang w:val="es-CR"/>
        </w:rPr>
        <w:t>y que</w:t>
      </w:r>
      <w:r w:rsidR="00063DC3" w:rsidRPr="004B672E">
        <w:rPr>
          <w:rFonts w:ascii="Verdana" w:hAnsi="Verdana" w:cs="Tahoma"/>
          <w:sz w:val="24"/>
          <w:szCs w:val="24"/>
          <w:lang w:val="es-CR"/>
        </w:rPr>
        <w:t xml:space="preserve"> </w:t>
      </w:r>
      <w:r w:rsidR="005C08DE" w:rsidRPr="004B672E">
        <w:rPr>
          <w:rFonts w:ascii="Verdana" w:hAnsi="Verdana" w:cs="Tahoma"/>
          <w:sz w:val="24"/>
          <w:szCs w:val="24"/>
          <w:lang w:val="es-CR"/>
        </w:rPr>
        <w:t xml:space="preserve">son </w:t>
      </w:r>
      <w:r w:rsidR="00C60EEB" w:rsidRPr="004B672E">
        <w:rPr>
          <w:rFonts w:ascii="Verdana" w:hAnsi="Verdana" w:cs="Tahoma"/>
          <w:sz w:val="24"/>
          <w:szCs w:val="24"/>
          <w:lang w:val="es-CR"/>
        </w:rPr>
        <w:t xml:space="preserve">las víctimas </w:t>
      </w:r>
      <w:r w:rsidR="00EA1D43" w:rsidRPr="004B672E">
        <w:rPr>
          <w:rFonts w:ascii="Verdana" w:hAnsi="Verdana" w:cs="Tahoma"/>
          <w:sz w:val="24"/>
          <w:szCs w:val="24"/>
          <w:lang w:val="es-CR"/>
        </w:rPr>
        <w:t>d</w:t>
      </w:r>
      <w:r w:rsidR="00BD76E8" w:rsidRPr="004B672E">
        <w:rPr>
          <w:rFonts w:ascii="Verdana" w:hAnsi="Verdana" w:cs="Tahoma"/>
          <w:sz w:val="24"/>
          <w:szCs w:val="24"/>
          <w:lang w:val="es-CR"/>
        </w:rPr>
        <w:t>el señalado caso las qu</w:t>
      </w:r>
      <w:r w:rsidR="00C60EEB" w:rsidRPr="004B672E">
        <w:rPr>
          <w:rFonts w:ascii="Verdana" w:hAnsi="Verdana" w:cs="Tahoma"/>
          <w:sz w:val="24"/>
          <w:szCs w:val="24"/>
          <w:lang w:val="es-CR"/>
        </w:rPr>
        <w:t xml:space="preserve">e </w:t>
      </w:r>
      <w:r w:rsidR="00BD76E8" w:rsidRPr="004B672E">
        <w:rPr>
          <w:rFonts w:ascii="Verdana" w:hAnsi="Verdana" w:cs="Tahoma"/>
          <w:sz w:val="24"/>
          <w:szCs w:val="24"/>
          <w:lang w:val="es-CR"/>
        </w:rPr>
        <w:t xml:space="preserve">podrían </w:t>
      </w:r>
      <w:r w:rsidR="00063DC3" w:rsidRPr="004B672E">
        <w:rPr>
          <w:rFonts w:ascii="Verdana" w:hAnsi="Verdana" w:cs="Tahoma"/>
          <w:sz w:val="24"/>
          <w:szCs w:val="24"/>
          <w:lang w:val="es-CR"/>
        </w:rPr>
        <w:t xml:space="preserve">indirectamente </w:t>
      </w:r>
      <w:r w:rsidR="00724E4F" w:rsidRPr="004B672E">
        <w:rPr>
          <w:rFonts w:ascii="Verdana" w:hAnsi="Verdana" w:cs="Tahoma"/>
          <w:sz w:val="24"/>
          <w:szCs w:val="24"/>
          <w:lang w:val="es-CR"/>
        </w:rPr>
        <w:t>obtener provecho</w:t>
      </w:r>
      <w:r w:rsidR="00BD76E8" w:rsidRPr="004B672E">
        <w:rPr>
          <w:rFonts w:ascii="Verdana" w:hAnsi="Verdana" w:cs="Tahoma"/>
          <w:sz w:val="24"/>
          <w:szCs w:val="24"/>
          <w:lang w:val="es-CR"/>
        </w:rPr>
        <w:t xml:space="preserve"> de las </w:t>
      </w:r>
      <w:r w:rsidR="005C08DE" w:rsidRPr="004B672E">
        <w:rPr>
          <w:rFonts w:ascii="Verdana" w:hAnsi="Verdana" w:cs="Tahoma"/>
          <w:sz w:val="24"/>
          <w:szCs w:val="24"/>
          <w:lang w:val="es-CR"/>
        </w:rPr>
        <w:t xml:space="preserve">eventuales </w:t>
      </w:r>
      <w:r w:rsidR="00BD76E8" w:rsidRPr="004B672E">
        <w:rPr>
          <w:rFonts w:ascii="Verdana" w:hAnsi="Verdana" w:cs="Tahoma"/>
          <w:sz w:val="24"/>
          <w:szCs w:val="24"/>
          <w:lang w:val="es-CR"/>
        </w:rPr>
        <w:t xml:space="preserve">consecuencias </w:t>
      </w:r>
      <w:r w:rsidRPr="004B672E">
        <w:rPr>
          <w:rFonts w:ascii="Verdana" w:hAnsi="Verdana"/>
          <w:bCs/>
          <w:color w:val="000000"/>
          <w:sz w:val="24"/>
          <w:szCs w:val="24"/>
          <w:shd w:val="clear" w:color="auto" w:fill="FFFFFF"/>
          <w:lang w:val="es-CR"/>
        </w:rPr>
        <w:t>de</w:t>
      </w:r>
      <w:r w:rsidR="00C60EEB" w:rsidRPr="004B672E">
        <w:rPr>
          <w:rFonts w:ascii="Verdana" w:hAnsi="Verdana"/>
          <w:bCs/>
          <w:color w:val="000000"/>
          <w:sz w:val="24"/>
          <w:szCs w:val="24"/>
          <w:shd w:val="clear" w:color="auto" w:fill="FFFFFF"/>
          <w:lang w:val="es-CR"/>
        </w:rPr>
        <w:t xml:space="preserve"> la misma</w:t>
      </w:r>
      <w:r w:rsidRPr="004B672E">
        <w:rPr>
          <w:rFonts w:ascii="Verdana" w:hAnsi="Verdana"/>
          <w:bCs/>
          <w:color w:val="000000"/>
          <w:sz w:val="24"/>
          <w:szCs w:val="24"/>
          <w:shd w:val="clear" w:color="auto" w:fill="FFFFFF"/>
          <w:lang w:val="es-CR"/>
        </w:rPr>
        <w:t>.</w:t>
      </w:r>
    </w:p>
    <w:p w14:paraId="457247F2" w14:textId="146C011C" w:rsidR="00EA0B9D" w:rsidRPr="004B672E" w:rsidRDefault="00EA0B9D" w:rsidP="00AC2E82">
      <w:pPr>
        <w:pStyle w:val="ListParagraph"/>
        <w:numPr>
          <w:ilvl w:val="0"/>
          <w:numId w:val="23"/>
        </w:numPr>
        <w:ind w:left="643"/>
        <w:rPr>
          <w:rFonts w:ascii="Verdana" w:hAnsi="Verdana" w:cs="Tahoma"/>
          <w:b/>
          <w:sz w:val="24"/>
          <w:szCs w:val="24"/>
          <w:lang w:val="es-CR"/>
        </w:rPr>
      </w:pPr>
      <w:r w:rsidRPr="004B672E">
        <w:rPr>
          <w:rFonts w:ascii="Verdana" w:hAnsi="Verdana"/>
          <w:b/>
          <w:bCs/>
          <w:color w:val="000000"/>
          <w:sz w:val="24"/>
          <w:szCs w:val="24"/>
          <w:shd w:val="clear" w:color="auto" w:fill="FFFFFF"/>
          <w:lang w:val="es-CR"/>
        </w:rPr>
        <w:t>Objeto o finalidad</w:t>
      </w:r>
      <w:r w:rsidR="004B672E" w:rsidRPr="004B672E">
        <w:rPr>
          <w:rFonts w:ascii="Verdana" w:hAnsi="Verdana"/>
          <w:b/>
          <w:bCs/>
          <w:color w:val="000000"/>
          <w:sz w:val="24"/>
          <w:szCs w:val="24"/>
          <w:shd w:val="clear" w:color="auto" w:fill="FFFFFF"/>
          <w:lang w:val="es-CR"/>
        </w:rPr>
        <w:t>.</w:t>
      </w:r>
    </w:p>
    <w:p w14:paraId="4C3EF258" w14:textId="28F8C889" w:rsidR="00AC2E82" w:rsidRPr="001E3C83" w:rsidRDefault="00EA0B9D" w:rsidP="00AC2E82">
      <w:pPr>
        <w:rPr>
          <w:rFonts w:ascii="Verdana" w:hAnsi="Verdana"/>
          <w:bCs/>
          <w:color w:val="000000"/>
          <w:sz w:val="24"/>
          <w:szCs w:val="24"/>
          <w:shd w:val="clear" w:color="auto" w:fill="FFFFFF"/>
          <w:lang w:val="es-CR"/>
        </w:rPr>
      </w:pPr>
      <w:r w:rsidRPr="001E3C83">
        <w:rPr>
          <w:rFonts w:ascii="Verdana" w:hAnsi="Verdana" w:cs="Tahoma"/>
          <w:sz w:val="24"/>
          <w:szCs w:val="24"/>
          <w:lang w:val="es-CR"/>
        </w:rPr>
        <w:t>El objeto o finalidad</w:t>
      </w:r>
      <w:r w:rsidR="004C0864" w:rsidRPr="001E3C83">
        <w:rPr>
          <w:rFonts w:ascii="Verdana" w:hAnsi="Verdana"/>
          <w:bCs/>
          <w:color w:val="000000"/>
          <w:sz w:val="24"/>
          <w:szCs w:val="24"/>
          <w:shd w:val="clear" w:color="auto" w:fill="FFFFFF"/>
          <w:lang w:val="es-CR"/>
        </w:rPr>
        <w:t xml:space="preserve"> </w:t>
      </w:r>
      <w:r w:rsidRPr="001E3C83">
        <w:rPr>
          <w:rFonts w:ascii="Verdana" w:hAnsi="Verdana"/>
          <w:bCs/>
          <w:color w:val="000000"/>
          <w:sz w:val="24"/>
          <w:szCs w:val="24"/>
          <w:shd w:val="clear" w:color="auto" w:fill="FFFFFF"/>
          <w:lang w:val="es-CR"/>
        </w:rPr>
        <w:t xml:space="preserve">de la medida provisional decretada tampoco se relaciona directamente con el </w:t>
      </w:r>
      <w:r w:rsidRPr="001E3C83">
        <w:rPr>
          <w:rFonts w:ascii="Verdana" w:hAnsi="Verdana"/>
          <w:bCs/>
          <w:i/>
          <w:color w:val="000000"/>
          <w:sz w:val="24"/>
          <w:szCs w:val="24"/>
          <w:shd w:val="clear" w:color="auto" w:fill="FFFFFF"/>
          <w:lang w:val="es-CR"/>
        </w:rPr>
        <w:t xml:space="preserve">Caso Durand y Ugarte Vs. </w:t>
      </w:r>
      <w:r w:rsidRPr="007D122B">
        <w:rPr>
          <w:rFonts w:ascii="Verdana" w:hAnsi="Verdana"/>
          <w:bCs/>
          <w:i/>
          <w:color w:val="000000"/>
          <w:sz w:val="24"/>
          <w:szCs w:val="24"/>
          <w:shd w:val="clear" w:color="auto" w:fill="FFFFFF"/>
          <w:lang w:val="es-CR"/>
        </w:rPr>
        <w:t xml:space="preserve">Perú. </w:t>
      </w:r>
      <w:r w:rsidR="00EA1D43" w:rsidRPr="001E3C83">
        <w:rPr>
          <w:rFonts w:ascii="Verdana" w:hAnsi="Verdana"/>
          <w:bCs/>
          <w:color w:val="000000"/>
          <w:sz w:val="24"/>
          <w:szCs w:val="24"/>
          <w:shd w:val="clear" w:color="auto" w:fill="FFFFFF"/>
          <w:lang w:val="es-CR"/>
        </w:rPr>
        <w:t xml:space="preserve">En efecto, de </w:t>
      </w:r>
      <w:r w:rsidRPr="001E3C83">
        <w:rPr>
          <w:rFonts w:ascii="Verdana" w:hAnsi="Verdana"/>
          <w:bCs/>
          <w:color w:val="000000"/>
          <w:sz w:val="24"/>
          <w:szCs w:val="24"/>
          <w:shd w:val="clear" w:color="auto" w:fill="FFFFFF"/>
          <w:lang w:val="es-CR"/>
        </w:rPr>
        <w:t xml:space="preserve">la medida provisional </w:t>
      </w:r>
      <w:r w:rsidR="007E39BC">
        <w:rPr>
          <w:rFonts w:ascii="Verdana" w:hAnsi="Verdana"/>
          <w:bCs/>
          <w:color w:val="000000"/>
          <w:sz w:val="24"/>
          <w:szCs w:val="24"/>
          <w:shd w:val="clear" w:color="auto" w:fill="FFFFFF"/>
          <w:lang w:val="es-CR"/>
        </w:rPr>
        <w:t xml:space="preserve">que ordena al Estado </w:t>
      </w:r>
      <w:r w:rsidR="007E39BC" w:rsidRPr="007E39BC">
        <w:rPr>
          <w:rFonts w:ascii="Verdana" w:hAnsi="Verdana"/>
          <w:bCs/>
          <w:color w:val="000000"/>
          <w:sz w:val="24"/>
          <w:szCs w:val="24"/>
          <w:shd w:val="clear" w:color="auto" w:fill="FFFFFF"/>
          <w:lang w:val="es-CR"/>
        </w:rPr>
        <w:t>que</w:t>
      </w:r>
      <w:r w:rsidR="00063DC3" w:rsidRPr="007E39BC">
        <w:rPr>
          <w:rFonts w:ascii="Verdana" w:hAnsi="Verdana"/>
          <w:bCs/>
          <w:color w:val="000000"/>
          <w:sz w:val="24"/>
          <w:szCs w:val="24"/>
          <w:shd w:val="clear" w:color="auto" w:fill="FFFFFF"/>
          <w:lang w:val="es-CR"/>
        </w:rPr>
        <w:t>“</w:t>
      </w:r>
      <w:r w:rsidR="00063DC3" w:rsidRPr="007E39BC">
        <w:rPr>
          <w:rFonts w:ascii="Verdana" w:hAnsi="Verdana"/>
          <w:bCs/>
          <w:i/>
          <w:color w:val="000000"/>
          <w:sz w:val="24"/>
          <w:szCs w:val="24"/>
          <w:shd w:val="clear" w:color="auto" w:fill="FFFFFF"/>
          <w:lang w:val="es-CR"/>
        </w:rPr>
        <w:t>archiv</w:t>
      </w:r>
      <w:r w:rsidR="007E39BC" w:rsidRPr="007E39BC">
        <w:rPr>
          <w:rFonts w:ascii="Verdana" w:hAnsi="Verdana"/>
          <w:bCs/>
          <w:i/>
          <w:color w:val="000000"/>
          <w:sz w:val="24"/>
          <w:szCs w:val="24"/>
          <w:shd w:val="clear" w:color="auto" w:fill="FFFFFF"/>
          <w:lang w:val="es-CR"/>
        </w:rPr>
        <w:t>e</w:t>
      </w:r>
      <w:r w:rsidR="00063DC3" w:rsidRPr="007E39BC">
        <w:rPr>
          <w:rFonts w:ascii="Verdana" w:hAnsi="Verdana"/>
          <w:bCs/>
          <w:i/>
          <w:color w:val="000000"/>
          <w:sz w:val="24"/>
          <w:szCs w:val="24"/>
          <w:shd w:val="clear" w:color="auto" w:fill="FFFFFF"/>
          <w:lang w:val="es-CR"/>
        </w:rPr>
        <w:t xml:space="preserve"> el procedimiento de acusación constitucional actualmente seguido ante el Congreso de la República</w:t>
      </w:r>
      <w:r w:rsidR="00EA1D43" w:rsidRPr="007E39BC">
        <w:rPr>
          <w:rFonts w:ascii="Verdana" w:hAnsi="Verdana"/>
          <w:i/>
          <w:sz w:val="24"/>
          <w:szCs w:val="24"/>
          <w:lang w:val="es-CR"/>
        </w:rPr>
        <w:t xml:space="preserve"> contra los </w:t>
      </w:r>
      <w:r w:rsidR="00EA1D43" w:rsidRPr="007E39BC">
        <w:rPr>
          <w:rFonts w:ascii="Verdana" w:hAnsi="Verdana"/>
          <w:sz w:val="24"/>
          <w:szCs w:val="24"/>
          <w:lang w:val="es-CR"/>
        </w:rPr>
        <w:t>(aludidos)</w:t>
      </w:r>
      <w:r w:rsidR="00EA1D43" w:rsidRPr="007E39BC">
        <w:rPr>
          <w:rFonts w:ascii="Verdana" w:hAnsi="Verdana"/>
          <w:i/>
          <w:sz w:val="24"/>
          <w:szCs w:val="24"/>
          <w:lang w:val="es-CR"/>
        </w:rPr>
        <w:t xml:space="preserve"> Magistrados</w:t>
      </w:r>
      <w:r w:rsidR="00063DC3" w:rsidRPr="007E39BC">
        <w:rPr>
          <w:rFonts w:ascii="Verdana" w:hAnsi="Verdana"/>
          <w:bCs/>
          <w:color w:val="000000"/>
          <w:sz w:val="24"/>
          <w:szCs w:val="24"/>
          <w:shd w:val="clear" w:color="auto" w:fill="FFFFFF"/>
          <w:lang w:val="es-CR"/>
        </w:rPr>
        <w:t>”</w:t>
      </w:r>
      <w:r w:rsidR="00EA1D43" w:rsidRPr="001E3C83">
        <w:rPr>
          <w:rFonts w:ascii="Verdana" w:hAnsi="Verdana"/>
          <w:bCs/>
          <w:color w:val="000000"/>
          <w:sz w:val="24"/>
          <w:szCs w:val="24"/>
          <w:shd w:val="clear" w:color="auto" w:fill="FFFFFF"/>
          <w:lang w:val="es-CR"/>
        </w:rPr>
        <w:t xml:space="preserve"> del Tribunal Constitucional, la Resolución </w:t>
      </w:r>
      <w:r w:rsidR="009943A7" w:rsidRPr="001E3C83">
        <w:rPr>
          <w:rFonts w:ascii="Verdana" w:hAnsi="Verdana"/>
          <w:bCs/>
          <w:color w:val="000000"/>
          <w:sz w:val="24"/>
          <w:szCs w:val="24"/>
          <w:shd w:val="clear" w:color="auto" w:fill="FFFFFF"/>
          <w:lang w:val="es-CR"/>
        </w:rPr>
        <w:t xml:space="preserve">infiere que </w:t>
      </w:r>
      <w:r w:rsidR="00EA1D43" w:rsidRPr="001E3C83">
        <w:rPr>
          <w:rFonts w:ascii="Verdana" w:hAnsi="Verdana"/>
          <w:bCs/>
          <w:color w:val="000000"/>
          <w:sz w:val="24"/>
          <w:szCs w:val="24"/>
          <w:shd w:val="clear" w:color="auto" w:fill="FFFFFF"/>
          <w:lang w:val="es-CR"/>
        </w:rPr>
        <w:t>la</w:t>
      </w:r>
      <w:r w:rsidR="00371246" w:rsidRPr="001E3C83">
        <w:rPr>
          <w:rFonts w:ascii="Verdana" w:hAnsi="Verdana"/>
          <w:bCs/>
          <w:color w:val="000000"/>
          <w:sz w:val="24"/>
          <w:szCs w:val="24"/>
          <w:shd w:val="clear" w:color="auto" w:fill="FFFFFF"/>
          <w:lang w:val="es-CR"/>
        </w:rPr>
        <w:t xml:space="preserve"> mera continuidad de dichos magistrados en sus cargos, garantizarí</w:t>
      </w:r>
      <w:r w:rsidR="00EA1D43" w:rsidRPr="001E3C83">
        <w:rPr>
          <w:rFonts w:ascii="Verdana" w:hAnsi="Verdana"/>
          <w:bCs/>
          <w:color w:val="000000"/>
          <w:sz w:val="24"/>
          <w:szCs w:val="24"/>
          <w:shd w:val="clear" w:color="auto" w:fill="FFFFFF"/>
          <w:lang w:val="es-CR"/>
        </w:rPr>
        <w:t xml:space="preserve">a que los hechos consignados en la </w:t>
      </w:r>
      <w:r w:rsidR="00371246" w:rsidRPr="001E3C83">
        <w:rPr>
          <w:rFonts w:ascii="Verdana" w:hAnsi="Verdana"/>
          <w:bCs/>
          <w:color w:val="000000"/>
          <w:sz w:val="24"/>
          <w:szCs w:val="24"/>
          <w:shd w:val="clear" w:color="auto" w:fill="FFFFFF"/>
          <w:lang w:val="es-CR"/>
        </w:rPr>
        <w:t>causa</w:t>
      </w:r>
      <w:r w:rsidR="00063DC3" w:rsidRPr="001E3C83">
        <w:rPr>
          <w:rFonts w:ascii="Verdana" w:hAnsi="Verdana"/>
          <w:bCs/>
          <w:color w:val="000000"/>
          <w:sz w:val="24"/>
          <w:szCs w:val="24"/>
          <w:shd w:val="clear" w:color="auto" w:fill="FFFFFF"/>
          <w:lang w:val="es-CR"/>
        </w:rPr>
        <w:t xml:space="preserve"> se</w:t>
      </w:r>
      <w:r w:rsidR="00EA1D43" w:rsidRPr="001E3C83">
        <w:rPr>
          <w:rFonts w:ascii="Verdana" w:hAnsi="Verdana"/>
          <w:bCs/>
          <w:color w:val="000000"/>
          <w:sz w:val="24"/>
          <w:szCs w:val="24"/>
          <w:shd w:val="clear" w:color="auto" w:fill="FFFFFF"/>
          <w:lang w:val="es-CR"/>
        </w:rPr>
        <w:t>rí</w:t>
      </w:r>
      <w:r w:rsidR="00371246" w:rsidRPr="001E3C83">
        <w:rPr>
          <w:rFonts w:ascii="Verdana" w:hAnsi="Verdana"/>
          <w:bCs/>
          <w:color w:val="000000"/>
          <w:sz w:val="24"/>
          <w:szCs w:val="24"/>
          <w:shd w:val="clear" w:color="auto" w:fill="FFFFFF"/>
          <w:lang w:val="es-CR"/>
        </w:rPr>
        <w:t xml:space="preserve">an estimados </w:t>
      </w:r>
      <w:r w:rsidR="00CA659B" w:rsidRPr="001E3C83">
        <w:rPr>
          <w:rFonts w:ascii="Verdana" w:hAnsi="Verdana"/>
          <w:bCs/>
          <w:color w:val="000000"/>
          <w:sz w:val="24"/>
          <w:szCs w:val="24"/>
          <w:shd w:val="clear" w:color="auto" w:fill="FFFFFF"/>
          <w:lang w:val="es-CR"/>
        </w:rPr>
        <w:t xml:space="preserve">como crímenes </w:t>
      </w:r>
      <w:r w:rsidR="00890A7C" w:rsidRPr="001E3C83">
        <w:rPr>
          <w:rFonts w:ascii="Verdana" w:hAnsi="Verdana"/>
          <w:bCs/>
          <w:color w:val="000000"/>
          <w:sz w:val="24"/>
          <w:szCs w:val="24"/>
          <w:shd w:val="clear" w:color="auto" w:fill="FFFFFF"/>
          <w:lang w:val="es-CR"/>
        </w:rPr>
        <w:t>de le</w:t>
      </w:r>
      <w:r w:rsidR="003C6023" w:rsidRPr="001E3C83">
        <w:rPr>
          <w:rFonts w:ascii="Verdana" w:hAnsi="Verdana"/>
          <w:bCs/>
          <w:color w:val="000000"/>
          <w:sz w:val="24"/>
          <w:szCs w:val="24"/>
          <w:shd w:val="clear" w:color="auto" w:fill="FFFFFF"/>
          <w:lang w:val="es-CR"/>
        </w:rPr>
        <w:t xml:space="preserve">sa </w:t>
      </w:r>
      <w:r w:rsidR="00EA1D43" w:rsidRPr="001E3C83">
        <w:rPr>
          <w:rFonts w:ascii="Verdana" w:hAnsi="Verdana"/>
          <w:bCs/>
          <w:color w:val="000000"/>
          <w:sz w:val="24"/>
          <w:szCs w:val="24"/>
          <w:shd w:val="clear" w:color="auto" w:fill="FFFFFF"/>
          <w:lang w:val="es-CR"/>
        </w:rPr>
        <w:t>humanida</w:t>
      </w:r>
      <w:r w:rsidR="005C08DE" w:rsidRPr="001E3C83">
        <w:rPr>
          <w:rFonts w:ascii="Verdana" w:hAnsi="Verdana"/>
          <w:bCs/>
          <w:color w:val="000000"/>
          <w:sz w:val="24"/>
          <w:szCs w:val="24"/>
          <w:shd w:val="clear" w:color="auto" w:fill="FFFFFF"/>
          <w:lang w:val="es-CR"/>
        </w:rPr>
        <w:t>d</w:t>
      </w:r>
      <w:r w:rsidR="003C6023" w:rsidRPr="00F7745F">
        <w:rPr>
          <w:rStyle w:val="FootnoteReference"/>
          <w:rFonts w:ascii="Verdana" w:hAnsi="Verdana"/>
          <w:bCs/>
          <w:color w:val="000000"/>
          <w:sz w:val="24"/>
          <w:szCs w:val="24"/>
          <w:shd w:val="clear" w:color="auto" w:fill="FFFFFF"/>
        </w:rPr>
        <w:footnoteReference w:id="36"/>
      </w:r>
      <w:r w:rsidR="009943A7" w:rsidRPr="001E3C83">
        <w:rPr>
          <w:rFonts w:ascii="Verdana" w:hAnsi="Verdana"/>
          <w:bCs/>
          <w:color w:val="000000"/>
          <w:sz w:val="24"/>
          <w:szCs w:val="24"/>
          <w:shd w:val="clear" w:color="auto" w:fill="FFFFFF"/>
          <w:lang w:val="es-CR"/>
        </w:rPr>
        <w:t>, favoreciendo así a las víctimas del citado caso. Sin embargo, e</w:t>
      </w:r>
      <w:r w:rsidR="003C6023" w:rsidRPr="001E3C83">
        <w:rPr>
          <w:rFonts w:ascii="Verdana" w:hAnsi="Verdana"/>
          <w:bCs/>
          <w:color w:val="000000"/>
          <w:sz w:val="24"/>
          <w:szCs w:val="24"/>
          <w:shd w:val="clear" w:color="auto" w:fill="FFFFFF"/>
          <w:lang w:val="es-CR"/>
        </w:rPr>
        <w:t xml:space="preserve">l único objeto cierto y seguro de la medida provisional dispuesta, es el archivo de la acusación constitucional en comento y, </w:t>
      </w:r>
      <w:r w:rsidR="00334A7C">
        <w:rPr>
          <w:rFonts w:ascii="Verdana" w:hAnsi="Verdana"/>
          <w:bCs/>
          <w:color w:val="000000"/>
          <w:sz w:val="24"/>
          <w:szCs w:val="24"/>
          <w:shd w:val="clear" w:color="auto" w:fill="FFFFFF"/>
          <w:lang w:val="es-CR"/>
        </w:rPr>
        <w:t>por tanto</w:t>
      </w:r>
      <w:r w:rsidR="003C6023" w:rsidRPr="001E3C83">
        <w:rPr>
          <w:rFonts w:ascii="Verdana" w:hAnsi="Verdana"/>
          <w:bCs/>
          <w:color w:val="000000"/>
          <w:sz w:val="24"/>
          <w:szCs w:val="24"/>
          <w:shd w:val="clear" w:color="auto" w:fill="FFFFFF"/>
          <w:lang w:val="es-CR"/>
        </w:rPr>
        <w:t xml:space="preserve">, la permanencia de los individualizados </w:t>
      </w:r>
      <w:r w:rsidR="00EA1D43" w:rsidRPr="001E3C83">
        <w:rPr>
          <w:rFonts w:ascii="Verdana" w:hAnsi="Verdana"/>
          <w:bCs/>
          <w:color w:val="000000"/>
          <w:sz w:val="24"/>
          <w:szCs w:val="24"/>
          <w:shd w:val="clear" w:color="auto" w:fill="FFFFFF"/>
          <w:lang w:val="es-CR"/>
        </w:rPr>
        <w:t xml:space="preserve">magistrados </w:t>
      </w:r>
      <w:r w:rsidR="009D072E">
        <w:rPr>
          <w:rFonts w:ascii="Verdana" w:hAnsi="Verdana"/>
          <w:bCs/>
          <w:color w:val="000000"/>
          <w:sz w:val="24"/>
          <w:szCs w:val="24"/>
          <w:shd w:val="clear" w:color="auto" w:fill="FFFFFF"/>
          <w:lang w:val="es-CR"/>
        </w:rPr>
        <w:t xml:space="preserve">en sus cargos sería </w:t>
      </w:r>
      <w:r w:rsidR="005C08DE" w:rsidRPr="001E3C83">
        <w:rPr>
          <w:rFonts w:ascii="Verdana" w:hAnsi="Verdana"/>
          <w:bCs/>
          <w:color w:val="000000"/>
          <w:sz w:val="24"/>
          <w:szCs w:val="24"/>
          <w:shd w:val="clear" w:color="auto" w:fill="FFFFFF"/>
          <w:lang w:val="es-CR"/>
        </w:rPr>
        <w:t>una de sus consecuencias</w:t>
      </w:r>
      <w:r w:rsidR="007D122B">
        <w:rPr>
          <w:rFonts w:ascii="Verdana" w:hAnsi="Verdana"/>
          <w:bCs/>
          <w:color w:val="000000"/>
          <w:sz w:val="24"/>
          <w:szCs w:val="24"/>
          <w:shd w:val="clear" w:color="auto" w:fill="FFFFFF"/>
          <w:lang w:val="es-CR"/>
        </w:rPr>
        <w:t>.</w:t>
      </w:r>
    </w:p>
    <w:p w14:paraId="25E3F53C" w14:textId="77777777" w:rsidR="004C0864" w:rsidRPr="001E3C83" w:rsidRDefault="00AC2E82" w:rsidP="00AC2E82">
      <w:pPr>
        <w:ind w:left="567"/>
        <w:rPr>
          <w:rFonts w:ascii="Verdana" w:hAnsi="Verdana" w:cs="Tahoma"/>
          <w:b/>
          <w:sz w:val="24"/>
          <w:szCs w:val="24"/>
          <w:lang w:val="es-CR"/>
        </w:rPr>
      </w:pPr>
      <w:r w:rsidRPr="001E3C83">
        <w:rPr>
          <w:rFonts w:ascii="Verdana" w:hAnsi="Verdana"/>
          <w:b/>
          <w:bCs/>
          <w:color w:val="000000"/>
          <w:sz w:val="24"/>
          <w:szCs w:val="24"/>
          <w:shd w:val="clear" w:color="auto" w:fill="FFFFFF"/>
          <w:lang w:val="es-CR"/>
        </w:rPr>
        <w:t>C.</w:t>
      </w:r>
      <w:r w:rsidRPr="001E3C83">
        <w:rPr>
          <w:rFonts w:ascii="Verdana" w:hAnsi="Verdana" w:cs="Tahoma"/>
          <w:b/>
          <w:sz w:val="24"/>
          <w:szCs w:val="24"/>
          <w:lang w:val="es-CR"/>
        </w:rPr>
        <w:t xml:space="preserve"> </w:t>
      </w:r>
      <w:r w:rsidR="004C0864" w:rsidRPr="001E3C83">
        <w:rPr>
          <w:rFonts w:ascii="Verdana" w:hAnsi="Verdana" w:cs="Tahoma"/>
          <w:b/>
          <w:sz w:val="24"/>
          <w:szCs w:val="24"/>
          <w:lang w:val="es-CR"/>
        </w:rPr>
        <w:t>Momento procesal oportuno.</w:t>
      </w:r>
    </w:p>
    <w:p w14:paraId="3543BB6A" w14:textId="77777777" w:rsidR="004C0864" w:rsidRPr="001E3C83" w:rsidRDefault="004C0864" w:rsidP="00F7745F">
      <w:pPr>
        <w:rPr>
          <w:rFonts w:ascii="Verdana" w:hAnsi="Verdana" w:cs="Tahoma"/>
          <w:sz w:val="24"/>
          <w:szCs w:val="24"/>
          <w:lang w:val="es-CR"/>
        </w:rPr>
      </w:pPr>
      <w:r w:rsidRPr="001E3C83">
        <w:rPr>
          <w:rFonts w:ascii="Verdana" w:hAnsi="Verdana" w:cs="Tahoma"/>
          <w:sz w:val="24"/>
          <w:szCs w:val="24"/>
          <w:lang w:val="es-CR"/>
        </w:rPr>
        <w:t xml:space="preserve">En tercer lugar, la petición de medidas provisionales ha sido planteada y </w:t>
      </w:r>
      <w:r w:rsidR="005C08DE" w:rsidRPr="001E3C83">
        <w:rPr>
          <w:rFonts w:ascii="Verdana" w:hAnsi="Verdana" w:cs="Tahoma"/>
          <w:sz w:val="24"/>
          <w:szCs w:val="24"/>
          <w:lang w:val="es-CR"/>
        </w:rPr>
        <w:t xml:space="preserve">éstas </w:t>
      </w:r>
      <w:r w:rsidRPr="001E3C83">
        <w:rPr>
          <w:rFonts w:ascii="Verdana" w:hAnsi="Verdana" w:cs="Tahoma"/>
          <w:sz w:val="24"/>
          <w:szCs w:val="24"/>
          <w:lang w:val="es-CR"/>
        </w:rPr>
        <w:t>han sido concedidas en momento procesal inoportuno. Efectivamente, lo han sido con respecto de una acusación constitucional actualmente en curso, esto es, de un juicio político</w:t>
      </w:r>
      <w:r w:rsidR="00EA1D43" w:rsidRPr="001E3C83">
        <w:rPr>
          <w:rFonts w:ascii="Verdana" w:hAnsi="Verdana" w:cs="Tahoma"/>
          <w:sz w:val="24"/>
          <w:szCs w:val="24"/>
          <w:lang w:val="es-CR"/>
        </w:rPr>
        <w:t xml:space="preserve"> </w:t>
      </w:r>
      <w:r w:rsidRPr="001E3C83">
        <w:rPr>
          <w:rFonts w:ascii="Verdana" w:hAnsi="Verdana" w:cs="Tahoma"/>
          <w:sz w:val="24"/>
          <w:szCs w:val="24"/>
          <w:lang w:val="es-CR"/>
        </w:rPr>
        <w:t>aún no finalizado</w:t>
      </w:r>
      <w:r w:rsidRPr="00F7745F">
        <w:rPr>
          <w:rFonts w:ascii="Verdana" w:hAnsi="Verdana" w:cs="Tahoma"/>
          <w:sz w:val="24"/>
          <w:szCs w:val="24"/>
          <w:vertAlign w:val="superscript"/>
        </w:rPr>
        <w:footnoteReference w:id="37"/>
      </w:r>
      <w:r w:rsidRPr="001E3C83">
        <w:rPr>
          <w:rFonts w:ascii="Verdana" w:hAnsi="Verdana" w:cs="Tahoma"/>
          <w:sz w:val="24"/>
          <w:szCs w:val="24"/>
          <w:lang w:val="es-CR"/>
        </w:rPr>
        <w:t>.</w:t>
      </w:r>
    </w:p>
    <w:p w14:paraId="0279A954" w14:textId="77777777" w:rsidR="004C0864" w:rsidRPr="001E3C83" w:rsidRDefault="00EA1D43" w:rsidP="00F7745F">
      <w:pPr>
        <w:rPr>
          <w:rFonts w:ascii="Verdana" w:hAnsi="Verdana" w:cs="Tahoma"/>
          <w:sz w:val="24"/>
          <w:szCs w:val="24"/>
          <w:lang w:val="es-CR"/>
        </w:rPr>
      </w:pPr>
      <w:r w:rsidRPr="001E3C83">
        <w:rPr>
          <w:rFonts w:ascii="Verdana" w:hAnsi="Verdana" w:cs="Tahoma"/>
          <w:sz w:val="24"/>
          <w:szCs w:val="24"/>
          <w:lang w:val="es-CR"/>
        </w:rPr>
        <w:lastRenderedPageBreak/>
        <w:t>En consecuencia</w:t>
      </w:r>
      <w:r w:rsidR="004C0864" w:rsidRPr="001E3C83">
        <w:rPr>
          <w:rFonts w:ascii="Verdana" w:hAnsi="Verdana" w:cs="Tahoma"/>
          <w:sz w:val="24"/>
          <w:szCs w:val="24"/>
          <w:lang w:val="es-CR"/>
        </w:rPr>
        <w:t xml:space="preserve">, ello podría significar un precedente en cuanto a la facultad que tendría la Corte de intervenir en </w:t>
      </w:r>
      <w:r w:rsidRPr="001E3C83">
        <w:rPr>
          <w:rFonts w:ascii="Verdana" w:hAnsi="Verdana" w:cs="Tahoma"/>
          <w:sz w:val="24"/>
          <w:szCs w:val="24"/>
          <w:lang w:val="es-CR"/>
        </w:rPr>
        <w:t xml:space="preserve">vigentes </w:t>
      </w:r>
      <w:r w:rsidR="004C0864" w:rsidRPr="001E3C83">
        <w:rPr>
          <w:rFonts w:ascii="Verdana" w:hAnsi="Verdana" w:cs="Tahoma"/>
          <w:sz w:val="24"/>
          <w:szCs w:val="24"/>
          <w:lang w:val="es-CR"/>
        </w:rPr>
        <w:t>juicios políticos y</w:t>
      </w:r>
      <w:r w:rsidR="0056233E" w:rsidRPr="001E3C83">
        <w:rPr>
          <w:rFonts w:ascii="Verdana" w:hAnsi="Verdana" w:cs="Tahoma"/>
          <w:sz w:val="24"/>
          <w:szCs w:val="24"/>
          <w:lang w:val="es-CR"/>
        </w:rPr>
        <w:t xml:space="preserve"> también </w:t>
      </w:r>
      <w:r w:rsidRPr="001E3C83">
        <w:rPr>
          <w:rFonts w:ascii="Verdana" w:hAnsi="Verdana" w:cs="Tahoma"/>
          <w:sz w:val="24"/>
          <w:szCs w:val="24"/>
          <w:lang w:val="es-CR"/>
        </w:rPr>
        <w:t xml:space="preserve">administrativos </w:t>
      </w:r>
      <w:r w:rsidR="004C0864" w:rsidRPr="001E3C83">
        <w:rPr>
          <w:rFonts w:ascii="Verdana" w:hAnsi="Verdana" w:cs="Tahoma"/>
          <w:sz w:val="24"/>
          <w:szCs w:val="24"/>
          <w:lang w:val="es-CR"/>
        </w:rPr>
        <w:t xml:space="preserve">y, lo que es </w:t>
      </w:r>
      <w:r w:rsidR="005C08DE" w:rsidRPr="001E3C83">
        <w:rPr>
          <w:rFonts w:ascii="Verdana" w:hAnsi="Verdana" w:cs="Tahoma"/>
          <w:sz w:val="24"/>
          <w:szCs w:val="24"/>
          <w:lang w:val="es-CR"/>
        </w:rPr>
        <w:t xml:space="preserve">más significativo todavía, </w:t>
      </w:r>
      <w:r w:rsidRPr="001E3C83">
        <w:rPr>
          <w:rFonts w:ascii="Verdana" w:hAnsi="Verdana" w:cs="Tahoma"/>
          <w:sz w:val="24"/>
          <w:szCs w:val="24"/>
          <w:lang w:val="es-CR"/>
        </w:rPr>
        <w:t xml:space="preserve">en </w:t>
      </w:r>
      <w:r w:rsidR="004C0864" w:rsidRPr="001E3C83">
        <w:rPr>
          <w:rFonts w:ascii="Verdana" w:hAnsi="Verdana" w:cs="Tahoma"/>
          <w:sz w:val="24"/>
          <w:szCs w:val="24"/>
          <w:lang w:val="es-CR"/>
        </w:rPr>
        <w:t xml:space="preserve"> propiamente judicial</w:t>
      </w:r>
      <w:r w:rsidRPr="001E3C83">
        <w:rPr>
          <w:rFonts w:ascii="Verdana" w:hAnsi="Verdana" w:cs="Tahoma"/>
          <w:sz w:val="24"/>
          <w:szCs w:val="24"/>
          <w:lang w:val="es-CR"/>
        </w:rPr>
        <w:t>es</w:t>
      </w:r>
      <w:r w:rsidR="004C0864" w:rsidRPr="001E3C83">
        <w:rPr>
          <w:rFonts w:ascii="Verdana" w:hAnsi="Verdana" w:cs="Tahoma"/>
          <w:sz w:val="24"/>
          <w:szCs w:val="24"/>
          <w:lang w:val="es-CR"/>
        </w:rPr>
        <w:t xml:space="preserve">. </w:t>
      </w:r>
    </w:p>
    <w:p w14:paraId="1061AA80" w14:textId="77777777" w:rsidR="004C0864" w:rsidRPr="001E3C83" w:rsidRDefault="005C08DE" w:rsidP="00F7745F">
      <w:pPr>
        <w:rPr>
          <w:rFonts w:ascii="Verdana" w:hAnsi="Verdana" w:cs="Tahoma"/>
          <w:sz w:val="24"/>
          <w:szCs w:val="24"/>
          <w:lang w:val="es-CR"/>
        </w:rPr>
      </w:pPr>
      <w:r w:rsidRPr="001E3C83">
        <w:rPr>
          <w:rFonts w:ascii="Verdana" w:hAnsi="Verdana" w:cs="Tahoma"/>
          <w:sz w:val="24"/>
          <w:szCs w:val="24"/>
          <w:lang w:val="es-CR"/>
        </w:rPr>
        <w:t>Asimismo, c</w:t>
      </w:r>
      <w:r w:rsidR="004C0864" w:rsidRPr="001E3C83">
        <w:rPr>
          <w:rFonts w:ascii="Verdana" w:hAnsi="Verdana" w:cs="Tahoma"/>
          <w:sz w:val="24"/>
          <w:szCs w:val="24"/>
          <w:lang w:val="es-CR"/>
        </w:rPr>
        <w:t>on ello se estaría afectando el carácter de “</w:t>
      </w:r>
      <w:r w:rsidR="004C0864" w:rsidRPr="001E3C83">
        <w:rPr>
          <w:rFonts w:ascii="Verdana" w:hAnsi="Verdana" w:cs="Tahoma"/>
          <w:i/>
          <w:sz w:val="24"/>
          <w:szCs w:val="24"/>
          <w:lang w:val="es-CR"/>
        </w:rPr>
        <w:t>coadyuvante o complementaria</w:t>
      </w:r>
      <w:r w:rsidR="004C0864" w:rsidRPr="001E3C83">
        <w:rPr>
          <w:rFonts w:ascii="Verdana" w:hAnsi="Verdana" w:cs="Tahoma"/>
          <w:sz w:val="24"/>
          <w:szCs w:val="24"/>
          <w:lang w:val="es-CR"/>
        </w:rPr>
        <w:t>” que tiene la jurisdicción interamericana</w:t>
      </w:r>
      <w:r w:rsidR="004C0864" w:rsidRPr="00F7745F">
        <w:rPr>
          <w:rFonts w:ascii="Verdana" w:hAnsi="Verdana" w:cs="Tahoma"/>
          <w:sz w:val="24"/>
          <w:szCs w:val="24"/>
          <w:vertAlign w:val="superscript"/>
        </w:rPr>
        <w:footnoteReference w:id="38"/>
      </w:r>
      <w:r w:rsidR="004C0864" w:rsidRPr="001E3C83">
        <w:rPr>
          <w:rFonts w:ascii="Verdana" w:hAnsi="Verdana" w:cs="Tahoma"/>
          <w:sz w:val="24"/>
          <w:szCs w:val="24"/>
          <w:lang w:val="es-CR"/>
        </w:rPr>
        <w:t xml:space="preserve"> y se haría innecesario el cumplimiento de</w:t>
      </w:r>
      <w:r w:rsidR="00334A7C">
        <w:rPr>
          <w:rFonts w:ascii="Verdana" w:hAnsi="Verdana" w:cs="Tahoma"/>
          <w:sz w:val="24"/>
          <w:szCs w:val="24"/>
          <w:lang w:val="es-CR"/>
        </w:rPr>
        <w:t>l</w:t>
      </w:r>
      <w:r w:rsidR="004C0864" w:rsidRPr="001E3C83">
        <w:rPr>
          <w:rFonts w:ascii="Verdana" w:hAnsi="Verdana" w:cs="Tahoma"/>
          <w:sz w:val="24"/>
          <w:szCs w:val="24"/>
          <w:lang w:val="es-CR"/>
        </w:rPr>
        <w:t xml:space="preserve"> requisito del previo agotamiento de los recursos internos en el evento de que se presente</w:t>
      </w:r>
      <w:r w:rsidRPr="001E3C83">
        <w:rPr>
          <w:rFonts w:ascii="Verdana" w:hAnsi="Verdana" w:cs="Tahoma"/>
          <w:sz w:val="24"/>
          <w:szCs w:val="24"/>
          <w:lang w:val="es-CR"/>
        </w:rPr>
        <w:t>, en cuanto a los hechos inv</w:t>
      </w:r>
      <w:r w:rsidR="009F7831">
        <w:rPr>
          <w:rFonts w:ascii="Verdana" w:hAnsi="Verdana" w:cs="Tahoma"/>
          <w:sz w:val="24"/>
          <w:szCs w:val="24"/>
          <w:lang w:val="es-CR"/>
        </w:rPr>
        <w:t>o</w:t>
      </w:r>
      <w:r w:rsidRPr="001E3C83">
        <w:rPr>
          <w:rFonts w:ascii="Verdana" w:hAnsi="Verdana" w:cs="Tahoma"/>
          <w:sz w:val="24"/>
          <w:szCs w:val="24"/>
          <w:lang w:val="es-CR"/>
        </w:rPr>
        <w:t>cados,</w:t>
      </w:r>
      <w:r w:rsidR="004C0864" w:rsidRPr="001E3C83">
        <w:rPr>
          <w:rFonts w:ascii="Verdana" w:hAnsi="Verdana" w:cs="Tahoma"/>
          <w:sz w:val="24"/>
          <w:szCs w:val="24"/>
          <w:lang w:val="es-CR"/>
        </w:rPr>
        <w:t xml:space="preserve"> una denuncia ante la Comisión</w:t>
      </w:r>
      <w:r w:rsidR="004C0864" w:rsidRPr="00F7745F">
        <w:rPr>
          <w:rFonts w:ascii="Verdana" w:hAnsi="Verdana" w:cs="Tahoma"/>
          <w:sz w:val="24"/>
          <w:szCs w:val="24"/>
          <w:vertAlign w:val="superscript"/>
        </w:rPr>
        <w:footnoteReference w:id="39"/>
      </w:r>
      <w:r w:rsidR="004C0864" w:rsidRPr="001E3C83">
        <w:rPr>
          <w:rFonts w:ascii="Verdana" w:hAnsi="Verdana" w:cs="Tahoma"/>
          <w:sz w:val="24"/>
          <w:szCs w:val="24"/>
          <w:lang w:val="es-CR"/>
        </w:rPr>
        <w:t xml:space="preserve"> que pueda derivar en la Corte.</w:t>
      </w:r>
    </w:p>
    <w:p w14:paraId="0DD69FB6" w14:textId="77777777" w:rsidR="004C0864" w:rsidRPr="001E3C83" w:rsidRDefault="004C0864" w:rsidP="00F7745F">
      <w:pPr>
        <w:rPr>
          <w:rFonts w:ascii="Verdana" w:hAnsi="Verdana" w:cs="Tahoma"/>
          <w:sz w:val="24"/>
          <w:szCs w:val="24"/>
          <w:lang w:val="es-CR"/>
        </w:rPr>
      </w:pPr>
      <w:r w:rsidRPr="001E3C83">
        <w:rPr>
          <w:rFonts w:ascii="Verdana" w:hAnsi="Verdana" w:cs="Tahoma"/>
          <w:sz w:val="24"/>
          <w:szCs w:val="24"/>
          <w:lang w:val="es-CR"/>
        </w:rPr>
        <w:t>En ese sentido, la Corte estaría interv</w:t>
      </w:r>
      <w:r w:rsidR="005C08DE" w:rsidRPr="001E3C83">
        <w:rPr>
          <w:rFonts w:ascii="Verdana" w:hAnsi="Verdana" w:cs="Tahoma"/>
          <w:sz w:val="24"/>
          <w:szCs w:val="24"/>
          <w:lang w:val="es-CR"/>
        </w:rPr>
        <w:t>iniendo, en el presente asunto,</w:t>
      </w:r>
      <w:r w:rsidRPr="001E3C83">
        <w:rPr>
          <w:rFonts w:ascii="Verdana" w:hAnsi="Verdana" w:cs="Tahoma"/>
          <w:sz w:val="24"/>
          <w:szCs w:val="24"/>
          <w:lang w:val="es-CR"/>
        </w:rPr>
        <w:t xml:space="preserve"> antes de que se tenga la certeza de que se ha incurrido o que se incurrirá en un ilícito internacional que, por ende, podría generar la responsabilidad internacional</w:t>
      </w:r>
      <w:r w:rsidR="005C08DE" w:rsidRPr="001E3C83">
        <w:rPr>
          <w:rFonts w:ascii="Verdana" w:hAnsi="Verdana" w:cs="Tahoma"/>
          <w:sz w:val="24"/>
          <w:szCs w:val="24"/>
          <w:lang w:val="es-CR"/>
        </w:rPr>
        <w:t xml:space="preserve"> del Estado. Es decir, se puede</w:t>
      </w:r>
      <w:r w:rsidRPr="001E3C83">
        <w:rPr>
          <w:rFonts w:ascii="Verdana" w:hAnsi="Verdana" w:cs="Tahoma"/>
          <w:sz w:val="24"/>
          <w:szCs w:val="24"/>
          <w:lang w:val="es-CR"/>
        </w:rPr>
        <w:t xml:space="preserve"> sostener que, en el asunto de aut</w:t>
      </w:r>
      <w:r w:rsidR="005C08DE" w:rsidRPr="001E3C83">
        <w:rPr>
          <w:rFonts w:ascii="Verdana" w:hAnsi="Verdana" w:cs="Tahoma"/>
          <w:sz w:val="24"/>
          <w:szCs w:val="24"/>
          <w:lang w:val="es-CR"/>
        </w:rPr>
        <w:t xml:space="preserve">os, todavía no se configura </w:t>
      </w:r>
      <w:r w:rsidRPr="001E3C83">
        <w:rPr>
          <w:rFonts w:ascii="Verdana" w:hAnsi="Verdana" w:cs="Tahoma"/>
          <w:sz w:val="24"/>
          <w:szCs w:val="24"/>
          <w:lang w:val="es-CR"/>
        </w:rPr>
        <w:t>el hecho ilícito internacional</w:t>
      </w:r>
      <w:r w:rsidR="005C08DE" w:rsidRPr="001E3C83">
        <w:rPr>
          <w:rFonts w:ascii="Verdana" w:hAnsi="Verdana" w:cs="Tahoma"/>
          <w:sz w:val="24"/>
          <w:szCs w:val="24"/>
          <w:lang w:val="es-CR"/>
        </w:rPr>
        <w:t xml:space="preserve"> ni hay certeza jurídica de</w:t>
      </w:r>
      <w:r w:rsidRPr="001E3C83">
        <w:rPr>
          <w:rFonts w:ascii="Verdana" w:hAnsi="Verdana" w:cs="Tahoma"/>
          <w:sz w:val="24"/>
          <w:szCs w:val="24"/>
          <w:lang w:val="es-CR"/>
        </w:rPr>
        <w:t xml:space="preserve"> que </w:t>
      </w:r>
      <w:r w:rsidR="005C08DE" w:rsidRPr="001E3C83">
        <w:rPr>
          <w:rFonts w:ascii="Verdana" w:hAnsi="Verdana" w:cs="Tahoma"/>
          <w:sz w:val="24"/>
          <w:szCs w:val="24"/>
          <w:lang w:val="es-CR"/>
        </w:rPr>
        <w:t xml:space="preserve">ocurra, que </w:t>
      </w:r>
      <w:r w:rsidRPr="001E3C83">
        <w:rPr>
          <w:rFonts w:ascii="Verdana" w:hAnsi="Verdana" w:cs="Tahoma"/>
          <w:sz w:val="24"/>
          <w:szCs w:val="24"/>
          <w:lang w:val="es-CR"/>
        </w:rPr>
        <w:t>podría dar lugar a la responsabilidad internacional del Estado y que justificaría la intervención “</w:t>
      </w:r>
      <w:r w:rsidRPr="001E3C83">
        <w:rPr>
          <w:rFonts w:ascii="Verdana" w:hAnsi="Verdana" w:cs="Tahoma"/>
          <w:i/>
          <w:sz w:val="24"/>
          <w:szCs w:val="24"/>
          <w:lang w:val="es-CR"/>
        </w:rPr>
        <w:t>coadyuvante o complementaria</w:t>
      </w:r>
      <w:r w:rsidRPr="001E3C83">
        <w:rPr>
          <w:rFonts w:ascii="Verdana" w:hAnsi="Verdana" w:cs="Tahoma"/>
          <w:sz w:val="24"/>
          <w:szCs w:val="24"/>
          <w:lang w:val="es-CR"/>
        </w:rPr>
        <w:t>” del sistema interamericano de derechos humanos.</w:t>
      </w:r>
    </w:p>
    <w:p w14:paraId="7DB9BDDD" w14:textId="65A8DDB2" w:rsidR="00B60448" w:rsidRPr="00F7745F" w:rsidRDefault="005C08DE" w:rsidP="00B60448">
      <w:pPr>
        <w:rPr>
          <w:rFonts w:ascii="Verdana" w:hAnsi="Verdana"/>
          <w:sz w:val="24"/>
          <w:szCs w:val="24"/>
          <w:lang w:val="es-ES"/>
        </w:rPr>
      </w:pPr>
      <w:r>
        <w:rPr>
          <w:rFonts w:ascii="Verdana" w:hAnsi="Verdana"/>
          <w:sz w:val="24"/>
          <w:szCs w:val="24"/>
          <w:lang w:val="es-ES"/>
        </w:rPr>
        <w:t>Adicionalmente, hay que subrayar que la medida</w:t>
      </w:r>
      <w:r w:rsidR="00B60448" w:rsidRPr="00F7745F">
        <w:rPr>
          <w:rFonts w:ascii="Verdana" w:hAnsi="Verdana"/>
          <w:sz w:val="24"/>
          <w:szCs w:val="24"/>
          <w:lang w:val="es-ES"/>
        </w:rPr>
        <w:t xml:space="preserve"> provisional de </w:t>
      </w:r>
      <w:r w:rsidR="00B60448" w:rsidRPr="009F7831">
        <w:rPr>
          <w:rFonts w:ascii="Verdana" w:hAnsi="Verdana"/>
          <w:sz w:val="24"/>
          <w:szCs w:val="24"/>
          <w:lang w:val="es-ES"/>
        </w:rPr>
        <w:t>“</w:t>
      </w:r>
      <w:r w:rsidR="00B60448" w:rsidRPr="009F7831">
        <w:rPr>
          <w:rFonts w:ascii="Verdana" w:hAnsi="Verdana"/>
          <w:i/>
          <w:sz w:val="24"/>
          <w:szCs w:val="24"/>
          <w:lang w:val="es-ES"/>
        </w:rPr>
        <w:t>archivar el procedimiento de acusación constitucional actualmente seguido ante el Congreso de la República</w:t>
      </w:r>
      <w:r w:rsidR="00B60448" w:rsidRPr="009F7831">
        <w:rPr>
          <w:rFonts w:ascii="Verdana" w:hAnsi="Verdana"/>
          <w:sz w:val="24"/>
          <w:szCs w:val="24"/>
          <w:lang w:val="es-ES"/>
        </w:rPr>
        <w:t>”</w:t>
      </w:r>
      <w:r w:rsidR="00B60448" w:rsidRPr="00F7745F">
        <w:rPr>
          <w:rFonts w:ascii="Verdana" w:hAnsi="Verdana"/>
          <w:sz w:val="24"/>
          <w:szCs w:val="24"/>
          <w:lang w:val="es-ES"/>
        </w:rPr>
        <w:t xml:space="preserve"> del Perú, “</w:t>
      </w:r>
      <w:r w:rsidR="00B60448" w:rsidRPr="00F7745F">
        <w:rPr>
          <w:rFonts w:ascii="Verdana" w:hAnsi="Verdana"/>
          <w:i/>
          <w:sz w:val="24"/>
          <w:szCs w:val="24"/>
          <w:lang w:val="es-ES"/>
        </w:rPr>
        <w:t>contra los magistrados</w:t>
      </w:r>
      <w:r w:rsidR="00B60448" w:rsidRPr="00F7745F">
        <w:rPr>
          <w:rFonts w:ascii="Verdana" w:hAnsi="Verdana"/>
          <w:sz w:val="24"/>
          <w:szCs w:val="24"/>
          <w:lang w:val="es-ES"/>
        </w:rPr>
        <w:t xml:space="preserve">” antes individualizados, no hace más que resolver, </w:t>
      </w:r>
      <w:r w:rsidR="00B60448" w:rsidRPr="00326A90">
        <w:rPr>
          <w:rFonts w:ascii="Verdana" w:hAnsi="Verdana"/>
          <w:sz w:val="24"/>
          <w:szCs w:val="24"/>
          <w:lang w:val="es-ES"/>
        </w:rPr>
        <w:t>por lo demás, sin forma de juicio</w:t>
      </w:r>
      <w:r w:rsidRPr="00326A90">
        <w:rPr>
          <w:rFonts w:ascii="Verdana" w:hAnsi="Verdana"/>
          <w:sz w:val="24"/>
          <w:szCs w:val="24"/>
          <w:lang w:val="es-ES"/>
        </w:rPr>
        <w:t xml:space="preserve">, la controversia que se </w:t>
      </w:r>
      <w:r w:rsidR="00FE0329" w:rsidRPr="00326A90">
        <w:rPr>
          <w:rFonts w:ascii="Verdana" w:hAnsi="Verdana"/>
          <w:sz w:val="24"/>
          <w:szCs w:val="24"/>
          <w:lang w:val="es-ES"/>
        </w:rPr>
        <w:t xml:space="preserve">origina por </w:t>
      </w:r>
      <w:r w:rsidRPr="00326A90">
        <w:rPr>
          <w:rFonts w:ascii="Verdana" w:hAnsi="Verdana"/>
          <w:sz w:val="24"/>
          <w:szCs w:val="24"/>
          <w:lang w:val="es-ES"/>
        </w:rPr>
        <w:t>la petición de aquella</w:t>
      </w:r>
      <w:r w:rsidR="00B60448" w:rsidRPr="00326A90">
        <w:rPr>
          <w:rFonts w:ascii="Verdana" w:hAnsi="Verdana"/>
          <w:sz w:val="24"/>
          <w:szCs w:val="24"/>
          <w:lang w:val="es-ES"/>
        </w:rPr>
        <w:t>.</w:t>
      </w:r>
      <w:r w:rsidR="00B60448" w:rsidRPr="00F7745F">
        <w:rPr>
          <w:rFonts w:ascii="Verdana" w:hAnsi="Verdana"/>
          <w:sz w:val="24"/>
          <w:szCs w:val="24"/>
          <w:lang w:val="es-ES"/>
        </w:rPr>
        <w:t xml:space="preserve"> Además, transforma </w:t>
      </w:r>
      <w:r>
        <w:rPr>
          <w:rFonts w:ascii="Verdana" w:hAnsi="Verdana"/>
          <w:sz w:val="24"/>
          <w:szCs w:val="24"/>
          <w:lang w:val="es-ES"/>
        </w:rPr>
        <w:t xml:space="preserve">a </w:t>
      </w:r>
      <w:r w:rsidR="00B60448" w:rsidRPr="00F7745F">
        <w:rPr>
          <w:rFonts w:ascii="Verdana" w:hAnsi="Verdana"/>
          <w:sz w:val="24"/>
          <w:szCs w:val="24"/>
          <w:lang w:val="es-ES"/>
        </w:rPr>
        <w:t>la medida provisional en permanente al dar, con el archivo del procedimiento de acusación constitucional, por finalizado este último. Así, entonces, la Corte sustituye al Cong</w:t>
      </w:r>
      <w:r w:rsidR="004B672E">
        <w:rPr>
          <w:rFonts w:ascii="Verdana" w:hAnsi="Verdana"/>
          <w:sz w:val="24"/>
          <w:szCs w:val="24"/>
          <w:lang w:val="es-ES"/>
        </w:rPr>
        <w:t>reso del Perú en esta materia.</w:t>
      </w:r>
    </w:p>
    <w:p w14:paraId="7F562DF2" w14:textId="77777777" w:rsidR="00326A90" w:rsidRDefault="00326A90" w:rsidP="00F7745F">
      <w:pPr>
        <w:rPr>
          <w:rFonts w:ascii="Verdana" w:hAnsi="Verdana" w:cs="Tahoma"/>
          <w:b/>
          <w:sz w:val="24"/>
          <w:szCs w:val="24"/>
          <w:lang w:val="es-CR"/>
        </w:rPr>
      </w:pPr>
    </w:p>
    <w:p w14:paraId="59B5C2B1" w14:textId="77777777" w:rsidR="004C0864" w:rsidRPr="001E3C83" w:rsidRDefault="004C0864" w:rsidP="00F7745F">
      <w:pPr>
        <w:rPr>
          <w:rFonts w:ascii="Verdana" w:hAnsi="Verdana" w:cs="Tahoma"/>
          <w:b/>
          <w:sz w:val="24"/>
          <w:szCs w:val="24"/>
          <w:lang w:val="es-CR"/>
        </w:rPr>
      </w:pPr>
      <w:r w:rsidRPr="001E3C83">
        <w:rPr>
          <w:rFonts w:ascii="Verdana" w:hAnsi="Verdana" w:cs="Tahoma"/>
          <w:b/>
          <w:sz w:val="24"/>
          <w:szCs w:val="24"/>
          <w:lang w:val="es-CR"/>
        </w:rPr>
        <w:lastRenderedPageBreak/>
        <w:t>CONCLUSIÓN.</w:t>
      </w:r>
    </w:p>
    <w:p w14:paraId="2CFAE06F" w14:textId="77777777" w:rsidR="004C0864" w:rsidRPr="001E3C83" w:rsidRDefault="00E14B40" w:rsidP="00F7745F">
      <w:pPr>
        <w:rPr>
          <w:rFonts w:ascii="Verdana" w:hAnsi="Verdana" w:cs="Tahoma"/>
          <w:sz w:val="24"/>
          <w:szCs w:val="24"/>
          <w:lang w:val="es-CR"/>
        </w:rPr>
      </w:pPr>
      <w:r w:rsidRPr="001E3C83">
        <w:rPr>
          <w:rFonts w:ascii="Verdana" w:hAnsi="Verdana" w:cs="Tahoma"/>
          <w:sz w:val="24"/>
          <w:szCs w:val="24"/>
          <w:lang w:val="es-CR"/>
        </w:rPr>
        <w:t xml:space="preserve">En definitiva, </w:t>
      </w:r>
      <w:r w:rsidR="00A1797C" w:rsidRPr="001E3C83">
        <w:rPr>
          <w:rFonts w:ascii="Verdana" w:hAnsi="Verdana" w:cs="Tahoma"/>
          <w:sz w:val="24"/>
          <w:szCs w:val="24"/>
          <w:lang w:val="es-CR"/>
        </w:rPr>
        <w:t xml:space="preserve">lo que </w:t>
      </w:r>
      <w:r w:rsidR="004C0864" w:rsidRPr="001E3C83">
        <w:rPr>
          <w:rFonts w:ascii="Verdana" w:hAnsi="Verdana" w:cs="Tahoma"/>
          <w:sz w:val="24"/>
          <w:szCs w:val="24"/>
          <w:lang w:val="es-CR"/>
        </w:rPr>
        <w:t xml:space="preserve">en el presente voto disidente se plantea </w:t>
      </w:r>
      <w:r w:rsidR="00A1797C" w:rsidRPr="001E3C83">
        <w:rPr>
          <w:rFonts w:ascii="Verdana" w:hAnsi="Verdana" w:cs="Tahoma"/>
          <w:sz w:val="24"/>
          <w:szCs w:val="24"/>
          <w:lang w:val="es-CR"/>
        </w:rPr>
        <w:t xml:space="preserve">es </w:t>
      </w:r>
      <w:r w:rsidR="004C0864" w:rsidRPr="001E3C83">
        <w:rPr>
          <w:rFonts w:ascii="Verdana" w:hAnsi="Verdana" w:cs="Tahoma"/>
          <w:sz w:val="24"/>
          <w:szCs w:val="24"/>
          <w:lang w:val="es-CR"/>
        </w:rPr>
        <w:t>que lo procedente era</w:t>
      </w:r>
      <w:r w:rsidRPr="001E3C83">
        <w:rPr>
          <w:rFonts w:ascii="Verdana" w:hAnsi="Verdana" w:cs="Tahoma"/>
          <w:sz w:val="24"/>
          <w:szCs w:val="24"/>
          <w:lang w:val="es-CR"/>
        </w:rPr>
        <w:t xml:space="preserve"> que, en el asunto de autos y </w:t>
      </w:r>
      <w:r w:rsidR="004C0864" w:rsidRPr="001E3C83">
        <w:rPr>
          <w:rFonts w:ascii="Verdana" w:hAnsi="Verdana" w:cs="Tahoma"/>
          <w:sz w:val="24"/>
          <w:szCs w:val="24"/>
          <w:lang w:val="es-CR"/>
        </w:rPr>
        <w:t>en virtud de lo previsto en el artículo 63.2 de la</w:t>
      </w:r>
      <w:r w:rsidRPr="001E3C83">
        <w:rPr>
          <w:rFonts w:ascii="Verdana" w:hAnsi="Verdana" w:cs="Tahoma"/>
          <w:sz w:val="24"/>
          <w:szCs w:val="24"/>
          <w:lang w:val="es-CR"/>
        </w:rPr>
        <w:t xml:space="preserve"> Convención</w:t>
      </w:r>
      <w:r w:rsidR="004C0864" w:rsidRPr="001E3C83">
        <w:rPr>
          <w:rFonts w:ascii="Verdana" w:hAnsi="Verdana" w:cs="Tahoma"/>
          <w:sz w:val="24"/>
          <w:szCs w:val="24"/>
          <w:lang w:val="es-CR"/>
        </w:rPr>
        <w:t xml:space="preserve">, la Comisión le </w:t>
      </w:r>
      <w:r w:rsidR="007B6FB5" w:rsidRPr="001E3C83">
        <w:rPr>
          <w:rFonts w:ascii="Verdana" w:hAnsi="Verdana" w:cs="Tahoma"/>
          <w:sz w:val="24"/>
          <w:szCs w:val="24"/>
          <w:lang w:val="es-CR"/>
        </w:rPr>
        <w:t>hubiese solicitado</w:t>
      </w:r>
      <w:r w:rsidRPr="001E3C83">
        <w:rPr>
          <w:rFonts w:ascii="Verdana" w:hAnsi="Verdana" w:cs="Tahoma"/>
          <w:sz w:val="24"/>
          <w:szCs w:val="24"/>
          <w:lang w:val="es-CR"/>
        </w:rPr>
        <w:t xml:space="preserve"> a la Corte</w:t>
      </w:r>
      <w:r w:rsidR="004C0864" w:rsidRPr="001E3C83">
        <w:rPr>
          <w:rFonts w:ascii="Verdana" w:hAnsi="Verdana" w:cs="Tahoma"/>
          <w:sz w:val="24"/>
          <w:szCs w:val="24"/>
          <w:lang w:val="es-CR"/>
        </w:rPr>
        <w:t xml:space="preserve"> la adopción de las medidas provisionales correspon</w:t>
      </w:r>
      <w:r w:rsidR="00EA1D43" w:rsidRPr="001E3C83">
        <w:rPr>
          <w:rFonts w:ascii="Verdana" w:hAnsi="Verdana" w:cs="Tahoma"/>
          <w:sz w:val="24"/>
          <w:szCs w:val="24"/>
          <w:lang w:val="es-CR"/>
        </w:rPr>
        <w:t>dientes, lo que no aconteció</w:t>
      </w:r>
      <w:r w:rsidR="004C0864" w:rsidRPr="001E3C83">
        <w:rPr>
          <w:rFonts w:ascii="Verdana" w:hAnsi="Verdana" w:cs="Tahoma"/>
          <w:sz w:val="24"/>
          <w:szCs w:val="24"/>
          <w:lang w:val="es-CR"/>
        </w:rPr>
        <w:t>. Por el contrario, en la audiencia pública llevada a cabo el viernes 2 de febrero de 201</w:t>
      </w:r>
      <w:r w:rsidR="004C0864" w:rsidRPr="00FA2F68">
        <w:rPr>
          <w:rFonts w:ascii="Verdana" w:hAnsi="Verdana" w:cs="Tahoma"/>
          <w:sz w:val="24"/>
          <w:szCs w:val="24"/>
          <w:lang w:val="es-CR"/>
        </w:rPr>
        <w:t>8, la Comisión expresamente no hizo suya la petición de medidas prov</w:t>
      </w:r>
      <w:r w:rsidR="007B6FB5" w:rsidRPr="00FA2F68">
        <w:rPr>
          <w:rFonts w:ascii="Verdana" w:hAnsi="Verdana" w:cs="Tahoma"/>
          <w:sz w:val="24"/>
          <w:szCs w:val="24"/>
          <w:lang w:val="es-CR"/>
        </w:rPr>
        <w:t>isionales formulada</w:t>
      </w:r>
      <w:r w:rsidR="00A1797C" w:rsidRPr="00FA2F68">
        <w:rPr>
          <w:rFonts w:ascii="Verdana" w:hAnsi="Verdana" w:cs="Tahoma"/>
          <w:sz w:val="24"/>
          <w:szCs w:val="24"/>
          <w:lang w:val="es-CR"/>
        </w:rPr>
        <w:t xml:space="preserve"> en autos y</w:t>
      </w:r>
      <w:r w:rsidR="004C0864" w:rsidRPr="00FA2F68">
        <w:rPr>
          <w:rFonts w:ascii="Verdana" w:hAnsi="Verdana" w:cs="Tahoma"/>
          <w:sz w:val="24"/>
          <w:szCs w:val="24"/>
          <w:lang w:val="es-CR"/>
        </w:rPr>
        <w:t xml:space="preserve"> agregó que tampoco se </w:t>
      </w:r>
      <w:r w:rsidR="007B6FB5" w:rsidRPr="00FA2F68">
        <w:rPr>
          <w:rFonts w:ascii="Verdana" w:hAnsi="Verdana" w:cs="Tahoma"/>
          <w:sz w:val="24"/>
          <w:szCs w:val="24"/>
          <w:lang w:val="es-CR"/>
        </w:rPr>
        <w:t>ha pronunciado sobre la solicitud</w:t>
      </w:r>
      <w:r w:rsidR="004C0864" w:rsidRPr="00FA2F68">
        <w:rPr>
          <w:rFonts w:ascii="Verdana" w:hAnsi="Verdana" w:cs="Tahoma"/>
          <w:sz w:val="24"/>
          <w:szCs w:val="24"/>
          <w:lang w:val="es-CR"/>
        </w:rPr>
        <w:t xml:space="preserve"> de medidas cautelares que</w:t>
      </w:r>
      <w:r w:rsidRPr="00FA2F68">
        <w:rPr>
          <w:rFonts w:ascii="Verdana" w:hAnsi="Verdana" w:cs="Tahoma"/>
          <w:sz w:val="24"/>
          <w:szCs w:val="24"/>
          <w:lang w:val="es-CR"/>
        </w:rPr>
        <w:t>,</w:t>
      </w:r>
      <w:r w:rsidR="00EA1D43" w:rsidRPr="00FA2F68">
        <w:rPr>
          <w:rFonts w:ascii="Verdana" w:hAnsi="Verdana" w:cs="Tahoma"/>
          <w:sz w:val="24"/>
          <w:szCs w:val="24"/>
          <w:lang w:val="es-CR"/>
        </w:rPr>
        <w:t xml:space="preserve"> en términos similares</w:t>
      </w:r>
      <w:r w:rsidRPr="00FA2F68">
        <w:rPr>
          <w:rFonts w:ascii="Verdana" w:hAnsi="Verdana" w:cs="Tahoma"/>
          <w:sz w:val="24"/>
          <w:szCs w:val="24"/>
          <w:lang w:val="es-CR"/>
        </w:rPr>
        <w:t>,</w:t>
      </w:r>
      <w:r w:rsidR="007B6FB5" w:rsidRPr="00FA2F68">
        <w:rPr>
          <w:rFonts w:ascii="Verdana" w:hAnsi="Verdana" w:cs="Tahoma"/>
          <w:sz w:val="24"/>
          <w:szCs w:val="24"/>
          <w:lang w:val="es-CR"/>
        </w:rPr>
        <w:t xml:space="preserve"> se le hizo llegar con fecha </w:t>
      </w:r>
      <w:r w:rsidR="00A1797C" w:rsidRPr="00FA2F68">
        <w:rPr>
          <w:rFonts w:ascii="Verdana" w:hAnsi="Verdana" w:cs="Tahoma"/>
          <w:sz w:val="24"/>
          <w:szCs w:val="24"/>
          <w:lang w:val="es-CR"/>
        </w:rPr>
        <w:t>12 de octubre de 2017</w:t>
      </w:r>
      <w:r w:rsidR="00A1797C" w:rsidRPr="00FA2F68">
        <w:rPr>
          <w:rStyle w:val="FootnoteReference"/>
          <w:rFonts w:ascii="Verdana" w:hAnsi="Verdana" w:cs="Tahoma"/>
          <w:sz w:val="24"/>
          <w:szCs w:val="24"/>
        </w:rPr>
        <w:footnoteReference w:id="40"/>
      </w:r>
      <w:r w:rsidR="00EA1D43" w:rsidRPr="00FA2F68">
        <w:rPr>
          <w:rFonts w:ascii="Verdana" w:hAnsi="Verdana" w:cs="Tahoma"/>
          <w:sz w:val="24"/>
          <w:szCs w:val="24"/>
          <w:lang w:val="es-CR"/>
        </w:rPr>
        <w:t>.</w:t>
      </w:r>
    </w:p>
    <w:p w14:paraId="2F80DDE3" w14:textId="11FBB1BC" w:rsidR="004C0864" w:rsidRPr="001E3C83" w:rsidRDefault="007B6FB5" w:rsidP="00F7745F">
      <w:pPr>
        <w:rPr>
          <w:rFonts w:ascii="Verdana" w:hAnsi="Verdana"/>
          <w:bCs/>
          <w:i/>
          <w:color w:val="000000"/>
          <w:sz w:val="24"/>
          <w:szCs w:val="24"/>
          <w:shd w:val="clear" w:color="auto" w:fill="FFFFFF"/>
          <w:lang w:val="es-CR"/>
        </w:rPr>
      </w:pPr>
      <w:r w:rsidRPr="001E3C83">
        <w:rPr>
          <w:rFonts w:ascii="Verdana" w:hAnsi="Verdana" w:cs="Tahoma"/>
          <w:sz w:val="24"/>
          <w:szCs w:val="24"/>
          <w:lang w:val="es-CR"/>
        </w:rPr>
        <w:t>Además, lo que también se puede desprender de lo expuesto en este escrito</w:t>
      </w:r>
      <w:r w:rsidR="004C0864" w:rsidRPr="001E3C83">
        <w:rPr>
          <w:rFonts w:ascii="Verdana" w:hAnsi="Verdana" w:cs="Tahoma"/>
          <w:sz w:val="24"/>
          <w:szCs w:val="24"/>
          <w:lang w:val="es-CR"/>
        </w:rPr>
        <w:t xml:space="preserve">, </w:t>
      </w:r>
      <w:r w:rsidRPr="001E3C83">
        <w:rPr>
          <w:rFonts w:ascii="Verdana" w:hAnsi="Verdana" w:cs="Tahoma"/>
          <w:sz w:val="24"/>
          <w:szCs w:val="24"/>
          <w:lang w:val="es-CR"/>
        </w:rPr>
        <w:t xml:space="preserve">es </w:t>
      </w:r>
      <w:r w:rsidR="004C0864" w:rsidRPr="001E3C83">
        <w:rPr>
          <w:rFonts w:ascii="Verdana" w:hAnsi="Verdana" w:cs="Tahoma"/>
          <w:sz w:val="24"/>
          <w:szCs w:val="24"/>
          <w:lang w:val="es-CR"/>
        </w:rPr>
        <w:t xml:space="preserve">que, para </w:t>
      </w:r>
      <w:r w:rsidR="00E000C8" w:rsidRPr="001E3C83">
        <w:rPr>
          <w:rFonts w:ascii="Verdana" w:hAnsi="Verdana" w:cs="Tahoma"/>
          <w:sz w:val="24"/>
          <w:szCs w:val="24"/>
          <w:lang w:val="es-CR"/>
        </w:rPr>
        <w:t>que la Corte hubiese podido</w:t>
      </w:r>
      <w:r w:rsidR="00E14B40" w:rsidRPr="001E3C83">
        <w:rPr>
          <w:rFonts w:ascii="Verdana" w:hAnsi="Verdana" w:cs="Tahoma"/>
          <w:sz w:val="24"/>
          <w:szCs w:val="24"/>
          <w:lang w:val="es-CR"/>
        </w:rPr>
        <w:t xml:space="preserve"> </w:t>
      </w:r>
      <w:r w:rsidR="004C0864" w:rsidRPr="001E3C83">
        <w:rPr>
          <w:rFonts w:ascii="Verdana" w:hAnsi="Verdana" w:cs="Tahoma"/>
          <w:sz w:val="24"/>
          <w:szCs w:val="24"/>
          <w:lang w:val="es-CR"/>
        </w:rPr>
        <w:t xml:space="preserve">adoptar medidas provisionales en </w:t>
      </w:r>
      <w:r w:rsidR="00A1797C" w:rsidRPr="001E3C83">
        <w:rPr>
          <w:rFonts w:ascii="Verdana" w:hAnsi="Verdana" w:cs="Tahoma"/>
          <w:sz w:val="24"/>
          <w:szCs w:val="24"/>
          <w:lang w:val="es-CR"/>
        </w:rPr>
        <w:t xml:space="preserve">relación </w:t>
      </w:r>
      <w:r w:rsidR="00E000C8" w:rsidRPr="001E3C83">
        <w:rPr>
          <w:rFonts w:ascii="Verdana" w:hAnsi="Verdana" w:cs="Tahoma"/>
          <w:sz w:val="24"/>
          <w:szCs w:val="24"/>
          <w:lang w:val="es-CR"/>
        </w:rPr>
        <w:t xml:space="preserve">al </w:t>
      </w:r>
      <w:r w:rsidR="00E000C8" w:rsidRPr="001E3C83">
        <w:rPr>
          <w:rFonts w:ascii="Verdana" w:hAnsi="Verdana"/>
          <w:bCs/>
          <w:i/>
          <w:color w:val="000000"/>
          <w:sz w:val="24"/>
          <w:szCs w:val="24"/>
          <w:shd w:val="clear" w:color="auto" w:fill="FFFFFF"/>
          <w:lang w:val="es-CR"/>
        </w:rPr>
        <w:t xml:space="preserve">Caso Durand y Ugarte Vs. </w:t>
      </w:r>
      <w:r w:rsidR="00E000C8" w:rsidRPr="009F7831">
        <w:rPr>
          <w:rFonts w:ascii="Verdana" w:hAnsi="Verdana"/>
          <w:bCs/>
          <w:i/>
          <w:color w:val="000000"/>
          <w:sz w:val="24"/>
          <w:szCs w:val="24"/>
          <w:shd w:val="clear" w:color="auto" w:fill="FFFFFF"/>
          <w:lang w:val="es-CR"/>
        </w:rPr>
        <w:t>Perú</w:t>
      </w:r>
      <w:r w:rsidR="004C0864" w:rsidRPr="009F7831">
        <w:rPr>
          <w:rFonts w:ascii="Verdana" w:hAnsi="Verdana" w:cs="Tahoma"/>
          <w:sz w:val="24"/>
          <w:szCs w:val="24"/>
          <w:lang w:val="es-CR"/>
        </w:rPr>
        <w:t xml:space="preserve">, </w:t>
      </w:r>
      <w:r w:rsidR="00A1797C" w:rsidRPr="009F7831">
        <w:rPr>
          <w:rFonts w:ascii="Verdana" w:hAnsi="Verdana" w:cs="Tahoma"/>
          <w:sz w:val="24"/>
          <w:szCs w:val="24"/>
          <w:lang w:val="es-CR"/>
        </w:rPr>
        <w:t>se debe</w:t>
      </w:r>
      <w:r w:rsidR="005C08DE" w:rsidRPr="009F7831">
        <w:rPr>
          <w:rFonts w:ascii="Verdana" w:hAnsi="Verdana" w:cs="Tahoma"/>
          <w:sz w:val="24"/>
          <w:szCs w:val="24"/>
          <w:lang w:val="es-CR"/>
        </w:rPr>
        <w:t>ría haber</w:t>
      </w:r>
      <w:r w:rsidRPr="009F7831">
        <w:rPr>
          <w:rFonts w:ascii="Verdana" w:hAnsi="Verdana" w:cs="Tahoma"/>
          <w:sz w:val="24"/>
          <w:szCs w:val="24"/>
          <w:lang w:val="es-CR"/>
        </w:rPr>
        <w:t xml:space="preserve"> </w:t>
      </w:r>
      <w:r w:rsidR="00E000C8" w:rsidRPr="009F7831">
        <w:rPr>
          <w:rFonts w:ascii="Verdana" w:hAnsi="Verdana" w:cs="Tahoma"/>
          <w:sz w:val="24"/>
          <w:szCs w:val="24"/>
          <w:lang w:val="es-CR"/>
        </w:rPr>
        <w:t>demo</w:t>
      </w:r>
      <w:r w:rsidRPr="009F7831">
        <w:rPr>
          <w:rFonts w:ascii="Verdana" w:hAnsi="Verdana" w:cs="Tahoma"/>
          <w:sz w:val="24"/>
          <w:szCs w:val="24"/>
          <w:lang w:val="es-CR"/>
        </w:rPr>
        <w:t xml:space="preserve">strado, más allá de toda duda, </w:t>
      </w:r>
      <w:r w:rsidR="00E000C8" w:rsidRPr="009F7831">
        <w:rPr>
          <w:rFonts w:ascii="Verdana" w:hAnsi="Verdana" w:cs="Tahoma"/>
          <w:sz w:val="24"/>
          <w:szCs w:val="24"/>
          <w:lang w:val="es-CR"/>
        </w:rPr>
        <w:t>la</w:t>
      </w:r>
      <w:r w:rsidRPr="009F7831">
        <w:rPr>
          <w:rFonts w:ascii="Verdana" w:hAnsi="Verdana" w:cs="Tahoma"/>
          <w:sz w:val="24"/>
          <w:szCs w:val="24"/>
          <w:lang w:val="es-CR"/>
        </w:rPr>
        <w:t xml:space="preserve"> vinculación</w:t>
      </w:r>
      <w:r w:rsidR="00E000C8" w:rsidRPr="009F7831">
        <w:rPr>
          <w:rFonts w:ascii="Verdana" w:hAnsi="Verdana" w:cs="Tahoma"/>
          <w:sz w:val="24"/>
          <w:szCs w:val="24"/>
          <w:lang w:val="es-CR"/>
        </w:rPr>
        <w:t xml:space="preserve"> de aquellas con éste</w:t>
      </w:r>
      <w:r w:rsidRPr="009F7831">
        <w:rPr>
          <w:rFonts w:ascii="Verdana" w:hAnsi="Verdana" w:cs="Tahoma"/>
          <w:sz w:val="24"/>
          <w:szCs w:val="24"/>
          <w:lang w:val="es-CR"/>
        </w:rPr>
        <w:t xml:space="preserve"> </w:t>
      </w:r>
      <w:r w:rsidRPr="009F7831">
        <w:rPr>
          <w:rFonts w:ascii="Verdana" w:hAnsi="Verdana"/>
          <w:bCs/>
          <w:color w:val="000000"/>
          <w:sz w:val="24"/>
          <w:szCs w:val="24"/>
          <w:shd w:val="clear" w:color="auto" w:fill="FFFFFF"/>
          <w:lang w:val="es-CR"/>
        </w:rPr>
        <w:t>o bien,</w:t>
      </w:r>
      <w:r w:rsidRPr="009F7831">
        <w:rPr>
          <w:rFonts w:ascii="Verdana" w:hAnsi="Verdana"/>
          <w:bCs/>
          <w:i/>
          <w:color w:val="000000"/>
          <w:sz w:val="24"/>
          <w:szCs w:val="24"/>
          <w:shd w:val="clear" w:color="auto" w:fill="FFFFFF"/>
          <w:lang w:val="es-CR"/>
        </w:rPr>
        <w:t xml:space="preserve"> </w:t>
      </w:r>
      <w:r w:rsidR="005C08DE" w:rsidRPr="009F7831">
        <w:rPr>
          <w:rFonts w:ascii="Verdana" w:hAnsi="Verdana" w:cs="Tahoma"/>
          <w:sz w:val="24"/>
          <w:szCs w:val="24"/>
          <w:lang w:val="es-CR"/>
        </w:rPr>
        <w:t>esperado</w:t>
      </w:r>
      <w:r w:rsidR="004C0864" w:rsidRPr="009F7831">
        <w:rPr>
          <w:rFonts w:ascii="Verdana" w:hAnsi="Verdana" w:cs="Tahoma"/>
          <w:sz w:val="24"/>
          <w:szCs w:val="24"/>
          <w:lang w:val="es-CR"/>
        </w:rPr>
        <w:t xml:space="preserve"> a que el juicio políti</w:t>
      </w:r>
      <w:r w:rsidR="005C08DE" w:rsidRPr="009F7831">
        <w:rPr>
          <w:rFonts w:ascii="Verdana" w:hAnsi="Verdana" w:cs="Tahoma"/>
          <w:sz w:val="24"/>
          <w:szCs w:val="24"/>
          <w:lang w:val="es-CR"/>
        </w:rPr>
        <w:t>co en actual desarrollo finalizara</w:t>
      </w:r>
      <w:r w:rsidRPr="009F7831">
        <w:rPr>
          <w:rFonts w:ascii="Verdana" w:hAnsi="Verdana" w:cs="Tahoma"/>
          <w:sz w:val="24"/>
          <w:szCs w:val="24"/>
          <w:lang w:val="es-CR"/>
        </w:rPr>
        <w:t>.</w:t>
      </w:r>
      <w:r w:rsidR="00E000C8" w:rsidRPr="009F7831">
        <w:rPr>
          <w:rFonts w:ascii="Verdana" w:hAnsi="Verdana" w:cs="Tahoma"/>
          <w:sz w:val="24"/>
          <w:szCs w:val="24"/>
          <w:lang w:val="es-CR"/>
        </w:rPr>
        <w:t xml:space="preserve"> </w:t>
      </w:r>
      <w:r w:rsidR="00E000C8" w:rsidRPr="001E3C83">
        <w:rPr>
          <w:rFonts w:ascii="Verdana" w:hAnsi="Verdana" w:cs="Tahoma"/>
          <w:sz w:val="24"/>
          <w:szCs w:val="24"/>
          <w:lang w:val="es-CR"/>
        </w:rPr>
        <w:t>Y e</w:t>
      </w:r>
      <w:r w:rsidRPr="001E3C83">
        <w:rPr>
          <w:rFonts w:ascii="Verdana" w:hAnsi="Verdana" w:cs="Tahoma"/>
          <w:sz w:val="24"/>
          <w:szCs w:val="24"/>
          <w:lang w:val="es-CR"/>
        </w:rPr>
        <w:t>n esta segunda hipótesis</w:t>
      </w:r>
      <w:r w:rsidR="00E000C8" w:rsidRPr="001E3C83">
        <w:rPr>
          <w:rFonts w:ascii="Verdana" w:hAnsi="Verdana" w:cs="Tahoma"/>
          <w:sz w:val="24"/>
          <w:szCs w:val="24"/>
          <w:lang w:val="es-CR"/>
        </w:rPr>
        <w:t xml:space="preserve">, las medidas que podrían haberse recabado, deberían haber tenido </w:t>
      </w:r>
      <w:r w:rsidRPr="001E3C83">
        <w:rPr>
          <w:rFonts w:ascii="Verdana" w:hAnsi="Verdana" w:cs="Tahoma"/>
          <w:sz w:val="24"/>
          <w:szCs w:val="24"/>
          <w:lang w:val="es-CR"/>
        </w:rPr>
        <w:t>estrecha</w:t>
      </w:r>
      <w:r w:rsidR="00FA2F68">
        <w:rPr>
          <w:rFonts w:ascii="Verdana" w:hAnsi="Verdana" w:cs="Tahoma"/>
          <w:sz w:val="24"/>
          <w:szCs w:val="24"/>
          <w:lang w:val="es-CR"/>
        </w:rPr>
        <w:t xml:space="preserve"> y</w:t>
      </w:r>
      <w:r w:rsidRPr="001E3C83">
        <w:rPr>
          <w:rFonts w:ascii="Verdana" w:hAnsi="Verdana" w:cs="Tahoma"/>
          <w:sz w:val="24"/>
          <w:szCs w:val="24"/>
          <w:lang w:val="es-CR"/>
        </w:rPr>
        <w:t xml:space="preserve"> directa </w:t>
      </w:r>
      <w:r w:rsidR="00FA2F68">
        <w:rPr>
          <w:rFonts w:ascii="Verdana" w:hAnsi="Verdana" w:cs="Tahoma"/>
          <w:sz w:val="24"/>
          <w:szCs w:val="24"/>
          <w:lang w:val="es-CR"/>
        </w:rPr>
        <w:t xml:space="preserve">relación </w:t>
      </w:r>
      <w:r w:rsidRPr="001E3C83">
        <w:rPr>
          <w:rFonts w:ascii="Verdana" w:hAnsi="Verdana" w:cs="Tahoma"/>
          <w:sz w:val="24"/>
          <w:szCs w:val="24"/>
          <w:lang w:val="es-CR"/>
        </w:rPr>
        <w:t>única</w:t>
      </w:r>
      <w:r w:rsidR="00E000C8" w:rsidRPr="001E3C83">
        <w:rPr>
          <w:rFonts w:ascii="Verdana" w:hAnsi="Verdana" w:cs="Tahoma"/>
          <w:sz w:val="24"/>
          <w:szCs w:val="24"/>
          <w:lang w:val="es-CR"/>
        </w:rPr>
        <w:t>mente con el</w:t>
      </w:r>
      <w:r w:rsidRPr="001E3C83">
        <w:rPr>
          <w:rFonts w:ascii="Verdana" w:hAnsi="Verdana" w:cs="Tahoma"/>
          <w:sz w:val="24"/>
          <w:szCs w:val="24"/>
          <w:lang w:val="es-CR"/>
        </w:rPr>
        <w:t xml:space="preserve"> resultado</w:t>
      </w:r>
      <w:r w:rsidR="00E000C8" w:rsidRPr="001E3C83">
        <w:rPr>
          <w:rFonts w:ascii="Verdana" w:hAnsi="Verdana" w:cs="Tahoma"/>
          <w:sz w:val="24"/>
          <w:szCs w:val="24"/>
          <w:lang w:val="es-CR"/>
        </w:rPr>
        <w:t xml:space="preserve"> del mismo</w:t>
      </w:r>
      <w:r w:rsidR="00C93B6D" w:rsidRPr="001E3C83">
        <w:rPr>
          <w:rFonts w:ascii="Verdana" w:hAnsi="Verdana" w:cs="Tahoma"/>
          <w:sz w:val="24"/>
          <w:szCs w:val="24"/>
          <w:lang w:val="es-CR"/>
        </w:rPr>
        <w:t xml:space="preserve">. </w:t>
      </w:r>
    </w:p>
    <w:p w14:paraId="7DCD25F4" w14:textId="77777777" w:rsidR="00C53468" w:rsidRPr="001E3C83" w:rsidRDefault="00C53468" w:rsidP="00F7745F">
      <w:pPr>
        <w:rPr>
          <w:rFonts w:ascii="Verdana" w:hAnsi="Verdana" w:cs="Tahoma"/>
          <w:sz w:val="24"/>
          <w:szCs w:val="24"/>
          <w:lang w:val="es-CR"/>
        </w:rPr>
      </w:pPr>
    </w:p>
    <w:p w14:paraId="7363FCB9" w14:textId="77777777" w:rsidR="00326A90" w:rsidRPr="008941AA" w:rsidRDefault="00326A90" w:rsidP="00C53468">
      <w:pPr>
        <w:spacing w:after="0"/>
        <w:jc w:val="right"/>
        <w:rPr>
          <w:rFonts w:ascii="Verdana" w:hAnsi="Verdana" w:cs="Tahoma"/>
          <w:sz w:val="24"/>
          <w:szCs w:val="24"/>
          <w:lang w:val="es-CR"/>
        </w:rPr>
      </w:pPr>
    </w:p>
    <w:p w14:paraId="5DE32A95" w14:textId="77777777" w:rsidR="00326A90" w:rsidRPr="008941AA" w:rsidRDefault="00326A90" w:rsidP="00C53468">
      <w:pPr>
        <w:spacing w:after="0"/>
        <w:jc w:val="right"/>
        <w:rPr>
          <w:rFonts w:ascii="Verdana" w:hAnsi="Verdana" w:cs="Tahoma"/>
          <w:sz w:val="24"/>
          <w:szCs w:val="24"/>
          <w:lang w:val="es-CR"/>
        </w:rPr>
      </w:pPr>
    </w:p>
    <w:p w14:paraId="4235EF56" w14:textId="77777777" w:rsidR="00C53468" w:rsidRPr="00AA7D68" w:rsidRDefault="00C53468" w:rsidP="00C53468">
      <w:pPr>
        <w:spacing w:after="0"/>
        <w:jc w:val="right"/>
        <w:rPr>
          <w:rFonts w:ascii="Verdana" w:hAnsi="Verdana" w:cs="Tahoma"/>
          <w:sz w:val="24"/>
          <w:szCs w:val="24"/>
          <w:lang w:val="es-CR"/>
        </w:rPr>
      </w:pPr>
      <w:r w:rsidRPr="00AA7D68">
        <w:rPr>
          <w:rFonts w:ascii="Verdana" w:hAnsi="Verdana" w:cs="Tahoma"/>
          <w:sz w:val="24"/>
          <w:szCs w:val="24"/>
          <w:lang w:val="es-CR"/>
        </w:rPr>
        <w:t>Eduardo Vio Grossi</w:t>
      </w:r>
    </w:p>
    <w:p w14:paraId="2A2B8D16" w14:textId="6EE58D30" w:rsidR="00B60448" w:rsidRPr="00AA7D68" w:rsidRDefault="00C53468" w:rsidP="00C53468">
      <w:pPr>
        <w:spacing w:after="0"/>
        <w:jc w:val="right"/>
        <w:rPr>
          <w:rFonts w:ascii="Verdana" w:hAnsi="Verdana" w:cs="Tahoma"/>
          <w:sz w:val="24"/>
          <w:szCs w:val="24"/>
          <w:lang w:val="es-CR"/>
        </w:rPr>
      </w:pPr>
      <w:r w:rsidRPr="00AA7D68">
        <w:rPr>
          <w:rFonts w:ascii="Verdana" w:hAnsi="Verdana" w:cs="Tahoma"/>
          <w:sz w:val="24"/>
          <w:szCs w:val="24"/>
          <w:lang w:val="es-CR"/>
        </w:rPr>
        <w:t>Juez</w:t>
      </w:r>
    </w:p>
    <w:p w14:paraId="70089182" w14:textId="77777777" w:rsidR="008941AA" w:rsidRPr="00AA7D68" w:rsidRDefault="008941AA" w:rsidP="008941AA">
      <w:pPr>
        <w:spacing w:after="0"/>
        <w:rPr>
          <w:rFonts w:ascii="Verdana" w:hAnsi="Verdana" w:cs="Tahoma"/>
          <w:sz w:val="24"/>
          <w:szCs w:val="24"/>
          <w:lang w:val="es-CR"/>
        </w:rPr>
      </w:pPr>
    </w:p>
    <w:p w14:paraId="13C32D61" w14:textId="77777777" w:rsidR="008941AA" w:rsidRPr="00AA7D68" w:rsidRDefault="008941AA" w:rsidP="008941AA">
      <w:pPr>
        <w:spacing w:after="0"/>
        <w:rPr>
          <w:rFonts w:ascii="Verdana" w:hAnsi="Verdana" w:cs="Tahoma"/>
          <w:sz w:val="24"/>
          <w:szCs w:val="24"/>
          <w:lang w:val="es-CR"/>
        </w:rPr>
      </w:pPr>
    </w:p>
    <w:p w14:paraId="41B08D2C" w14:textId="57A6E7D4" w:rsidR="008941AA" w:rsidRPr="00AA7D68" w:rsidRDefault="008941AA" w:rsidP="008941AA">
      <w:pPr>
        <w:spacing w:after="0"/>
        <w:rPr>
          <w:rFonts w:ascii="Verdana" w:hAnsi="Verdana" w:cs="Tahoma"/>
          <w:sz w:val="24"/>
          <w:szCs w:val="24"/>
          <w:lang w:val="es-CR"/>
        </w:rPr>
      </w:pPr>
      <w:r w:rsidRPr="00AA7D68">
        <w:rPr>
          <w:rFonts w:ascii="Verdana" w:hAnsi="Verdana" w:cs="Tahoma"/>
          <w:sz w:val="24"/>
          <w:szCs w:val="24"/>
          <w:lang w:val="es-CR"/>
        </w:rPr>
        <w:t>Pablo Saavedra Alessandri</w:t>
      </w:r>
    </w:p>
    <w:p w14:paraId="147B4230" w14:textId="3918994A" w:rsidR="008941AA" w:rsidRPr="00F7745F" w:rsidRDefault="008941AA" w:rsidP="008941AA">
      <w:pPr>
        <w:spacing w:after="0"/>
        <w:rPr>
          <w:rFonts w:ascii="Verdana" w:hAnsi="Verdana"/>
          <w:sz w:val="24"/>
          <w:szCs w:val="24"/>
          <w:lang w:val="es-ES"/>
        </w:rPr>
      </w:pPr>
      <w:r>
        <w:rPr>
          <w:rFonts w:ascii="Verdana" w:hAnsi="Verdana" w:cs="Tahoma"/>
          <w:sz w:val="24"/>
          <w:szCs w:val="24"/>
        </w:rPr>
        <w:t>Secretario</w:t>
      </w:r>
    </w:p>
    <w:sectPr w:rsidR="008941AA" w:rsidRPr="00F7745F" w:rsidSect="000C268E">
      <w:footerReference w:type="default" r:id="rId9"/>
      <w:pgSz w:w="12240" w:h="15840" w:code="1"/>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12A2BC" w15:done="0"/>
  <w15:commentEx w15:paraId="1719FF5A" w15:done="0"/>
  <w15:commentEx w15:paraId="58CB5043" w15:done="0"/>
  <w15:commentEx w15:paraId="0AD303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95BAD" w14:textId="77777777" w:rsidR="005D41BA" w:rsidRDefault="005D41BA" w:rsidP="006929B9">
      <w:pPr>
        <w:spacing w:after="0"/>
      </w:pPr>
      <w:r>
        <w:separator/>
      </w:r>
    </w:p>
  </w:endnote>
  <w:endnote w:type="continuationSeparator" w:id="0">
    <w:p w14:paraId="74A40189" w14:textId="77777777" w:rsidR="005D41BA" w:rsidRDefault="005D41BA" w:rsidP="006929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97610"/>
      <w:docPartObj>
        <w:docPartGallery w:val="Page Numbers (Bottom of Page)"/>
        <w:docPartUnique/>
      </w:docPartObj>
    </w:sdtPr>
    <w:sdtEndPr/>
    <w:sdtContent>
      <w:p w14:paraId="485FFDD0" w14:textId="77777777" w:rsidR="00132316" w:rsidRDefault="00132316">
        <w:pPr>
          <w:pStyle w:val="Footer"/>
          <w:jc w:val="right"/>
        </w:pPr>
        <w:r>
          <w:fldChar w:fldCharType="begin"/>
        </w:r>
        <w:r>
          <w:instrText>PAGE   \* MERGEFORMAT</w:instrText>
        </w:r>
        <w:r>
          <w:fldChar w:fldCharType="separate"/>
        </w:r>
        <w:r w:rsidR="00C46EAC" w:rsidRPr="00C46EAC">
          <w:rPr>
            <w:noProof/>
            <w:lang w:val="es-ES"/>
          </w:rPr>
          <w:t>1</w:t>
        </w:r>
        <w:r>
          <w:fldChar w:fldCharType="end"/>
        </w:r>
      </w:p>
    </w:sdtContent>
  </w:sdt>
  <w:p w14:paraId="2598EE41" w14:textId="77777777" w:rsidR="00132316" w:rsidRDefault="00132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1239F" w14:textId="77777777" w:rsidR="005D41BA" w:rsidRDefault="005D41BA" w:rsidP="006929B9">
      <w:pPr>
        <w:spacing w:after="0"/>
      </w:pPr>
      <w:r>
        <w:separator/>
      </w:r>
    </w:p>
  </w:footnote>
  <w:footnote w:type="continuationSeparator" w:id="0">
    <w:p w14:paraId="2A085273" w14:textId="77777777" w:rsidR="005D41BA" w:rsidRDefault="005D41BA" w:rsidP="006929B9">
      <w:pPr>
        <w:spacing w:after="0"/>
      </w:pPr>
      <w:r>
        <w:continuationSeparator/>
      </w:r>
    </w:p>
  </w:footnote>
  <w:footnote w:id="1">
    <w:p w14:paraId="58B6BB48" w14:textId="77777777" w:rsidR="00500C26" w:rsidRPr="001E3C83" w:rsidRDefault="00500C26" w:rsidP="00F7745F">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En adelante, la Resolución</w:t>
      </w:r>
      <w:r w:rsidR="00E80CD6">
        <w:rPr>
          <w:rFonts w:ascii="Verdana" w:hAnsi="Verdana"/>
          <w:sz w:val="16"/>
          <w:szCs w:val="16"/>
          <w:lang w:val="es-CR"/>
        </w:rPr>
        <w:t>.</w:t>
      </w:r>
    </w:p>
  </w:footnote>
  <w:footnote w:id="2">
    <w:p w14:paraId="753B92EB" w14:textId="77777777" w:rsidR="00500C26" w:rsidRPr="001E3C83" w:rsidRDefault="00500C26" w:rsidP="00F7745F">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En adelante, la Corte.</w:t>
      </w:r>
    </w:p>
  </w:footnote>
  <w:footnote w:id="3">
    <w:p w14:paraId="09803271" w14:textId="77777777" w:rsidR="00C935A8" w:rsidRPr="001E3C83" w:rsidRDefault="00C935A8" w:rsidP="00F7745F">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C53468">
        <w:rPr>
          <w:rFonts w:ascii="Verdana" w:hAnsi="Verdana"/>
          <w:i/>
          <w:sz w:val="16"/>
          <w:szCs w:val="16"/>
          <w:lang w:val="es-ES_tradnl"/>
        </w:rPr>
        <w:t>Caso Durand y Ugarte Vs. Perú. Fondo</w:t>
      </w:r>
      <w:r w:rsidRPr="00C53468">
        <w:rPr>
          <w:rFonts w:ascii="Verdana" w:hAnsi="Verdana"/>
          <w:sz w:val="16"/>
          <w:szCs w:val="16"/>
          <w:lang w:val="es-ES_tradnl"/>
        </w:rPr>
        <w:t>. Sentencia de 16 de agosto de 2000. Serie C No. 6</w:t>
      </w:r>
      <w:r w:rsidR="00E80CD6">
        <w:rPr>
          <w:rFonts w:ascii="Verdana" w:hAnsi="Verdana"/>
          <w:sz w:val="16"/>
          <w:szCs w:val="16"/>
          <w:lang w:val="es-ES_tradnl"/>
        </w:rPr>
        <w:t>.</w:t>
      </w:r>
    </w:p>
  </w:footnote>
  <w:footnote w:id="4">
    <w:p w14:paraId="161BD047" w14:textId="77777777" w:rsidR="00063DC3" w:rsidRPr="001E3C83" w:rsidRDefault="00063DC3" w:rsidP="00F7745F">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En adelante, el Estado.</w:t>
      </w:r>
    </w:p>
  </w:footnote>
  <w:footnote w:id="5">
    <w:p w14:paraId="4411E240" w14:textId="4FDD7265" w:rsidR="00063DC3" w:rsidRPr="001E3C83" w:rsidRDefault="00063DC3" w:rsidP="00F7745F">
      <w:pPr>
        <w:pStyle w:val="FootnoteText"/>
        <w:rPr>
          <w:rFonts w:ascii="Verdana" w:hAnsi="Verdana"/>
          <w:sz w:val="16"/>
          <w:szCs w:val="16"/>
          <w:lang w:val="es-CR"/>
        </w:rPr>
      </w:pPr>
      <w:r w:rsidRPr="007E39BC">
        <w:rPr>
          <w:rStyle w:val="FootnoteReference"/>
          <w:rFonts w:ascii="Verdana" w:hAnsi="Verdana"/>
          <w:sz w:val="16"/>
          <w:szCs w:val="16"/>
        </w:rPr>
        <w:footnoteRef/>
      </w:r>
      <w:r w:rsidR="00C53468" w:rsidRPr="007E39BC">
        <w:rPr>
          <w:rFonts w:ascii="Verdana" w:hAnsi="Verdana"/>
          <w:sz w:val="16"/>
          <w:szCs w:val="16"/>
          <w:lang w:val="es-CR"/>
        </w:rPr>
        <w:t xml:space="preserve"> Párrs. 3° de Visto </w:t>
      </w:r>
      <w:r w:rsidRPr="007E39BC">
        <w:rPr>
          <w:rFonts w:ascii="Verdana" w:hAnsi="Verdana"/>
          <w:sz w:val="16"/>
          <w:szCs w:val="16"/>
          <w:lang w:val="es-CR"/>
        </w:rPr>
        <w:t>y Considerandos 2, 7</w:t>
      </w:r>
      <w:r w:rsidR="007E39BC">
        <w:rPr>
          <w:rFonts w:ascii="Verdana" w:hAnsi="Verdana"/>
          <w:sz w:val="16"/>
          <w:szCs w:val="16"/>
          <w:lang w:val="es-CR"/>
        </w:rPr>
        <w:t xml:space="preserve"> y</w:t>
      </w:r>
      <w:r w:rsidR="007E39BC" w:rsidRPr="007E39BC">
        <w:rPr>
          <w:rFonts w:ascii="Verdana" w:hAnsi="Verdana"/>
          <w:sz w:val="16"/>
          <w:szCs w:val="16"/>
          <w:lang w:val="es-CR"/>
        </w:rPr>
        <w:t xml:space="preserve"> </w:t>
      </w:r>
      <w:r w:rsidR="007E39BC">
        <w:rPr>
          <w:rFonts w:ascii="Verdana" w:hAnsi="Verdana"/>
          <w:sz w:val="16"/>
          <w:szCs w:val="16"/>
          <w:lang w:val="es-CR"/>
        </w:rPr>
        <w:t>12</w:t>
      </w:r>
      <w:r w:rsidRPr="007E39BC">
        <w:rPr>
          <w:rFonts w:ascii="Verdana" w:hAnsi="Verdana"/>
          <w:sz w:val="16"/>
          <w:szCs w:val="16"/>
          <w:lang w:val="es-CR"/>
        </w:rPr>
        <w:t xml:space="preserve"> todos de la Resolución</w:t>
      </w:r>
      <w:r w:rsidRPr="001E3C83">
        <w:rPr>
          <w:rFonts w:ascii="Verdana" w:hAnsi="Verdana"/>
          <w:sz w:val="16"/>
          <w:szCs w:val="16"/>
          <w:lang w:val="es-CR"/>
        </w:rPr>
        <w:t>. En adelante, cada vez que se indique “párr.”, lo será al párrafo pertinente de la Resolución.</w:t>
      </w:r>
    </w:p>
  </w:footnote>
  <w:footnote w:id="6">
    <w:p w14:paraId="7D217C66" w14:textId="77777777" w:rsidR="00EE589D" w:rsidRPr="00C53468" w:rsidRDefault="00EE589D" w:rsidP="00F7745F">
      <w:pPr>
        <w:spacing w:after="0"/>
        <w:rPr>
          <w:rFonts w:ascii="Verdana" w:hAnsi="Verdana"/>
          <w:i/>
          <w:sz w:val="16"/>
          <w:szCs w:val="16"/>
          <w:lang w:val="es-ES"/>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C53468">
        <w:rPr>
          <w:rFonts w:ascii="Verdana" w:hAnsi="Verdana"/>
          <w:i/>
          <w:sz w:val="16"/>
          <w:szCs w:val="16"/>
          <w:lang w:val="es-ES"/>
        </w:rPr>
        <w:t>Garantías Judiciales.1.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08AE5C61"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2. Toda persona inculpada de delito tiene derecho a que se presuma su inocencia mientras no se establezca legalmente su culpabilidad.  Durante el proceso, toda persona tiene derecho, en plena igualdad, a las siguientes garantías mínimas:</w:t>
      </w:r>
    </w:p>
    <w:p w14:paraId="241AAA84"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a) derecho del inculpado de ser asistido gratuitamente por el traductor o intérprete, si no comprende o no habla el idioma del juzgado o tribunal;</w:t>
      </w:r>
    </w:p>
    <w:p w14:paraId="2E0C430D"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b) comunicación previa y detallada al inculpado de la acusación formulada;</w:t>
      </w:r>
    </w:p>
    <w:p w14:paraId="27750CEF"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c) concesión al inculpado del tiempo y de los medios adecuados para la preparación de su defensa;</w:t>
      </w:r>
    </w:p>
    <w:p w14:paraId="507E040A"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d) derecho del inculpado de defenderse personalmente o de ser asistido por un defensor de su elección y de comunicarse libre y privadamente con su defensor;</w:t>
      </w:r>
    </w:p>
    <w:p w14:paraId="0D6DDDF6"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e) derecho irrenunciable de ser asistido por un defensor proporcionado por el Estado, remunerado o no según la legislación interna, si el inculpado no se defendiere por sí mismo ni nombrare defensor dentro del plazo establecido por la ley;</w:t>
      </w:r>
    </w:p>
    <w:p w14:paraId="4AE8D02D"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f) derecho de la defensa de interrogar a los testigos presentes en el tribunal y de obtener la comparecencia, como testigos o peritos, de otras personas que puedan arrojar luz sobre los hechos;</w:t>
      </w:r>
    </w:p>
    <w:p w14:paraId="608735D2"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g) derecho a no ser obligado a declarar contra sí mismo ni a declararse culpable, y</w:t>
      </w:r>
    </w:p>
    <w:p w14:paraId="3E28B393"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h) derecho de recurrir del fallo ante juez o tribunal superior.</w:t>
      </w:r>
    </w:p>
    <w:p w14:paraId="3A7DD2AA"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3. La confesión del inculpado solamente es válida si es hecha sin coacción de ninguna naturaleza.</w:t>
      </w:r>
    </w:p>
    <w:p w14:paraId="08078972"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4. El inculpado absuelto por una sentencia firme no podrá ser sometido a nuevo juicio por los mismos hechos.</w:t>
      </w:r>
    </w:p>
    <w:p w14:paraId="24308B0B"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5. El proceso penal debe ser público, salvo en lo que sea necesario para preservar los intereses de la justicia.”</w:t>
      </w:r>
    </w:p>
  </w:footnote>
  <w:footnote w:id="7">
    <w:p w14:paraId="7552FA69" w14:textId="77777777" w:rsidR="00EE589D" w:rsidRPr="00C53468" w:rsidRDefault="00EE589D" w:rsidP="00F7745F">
      <w:pPr>
        <w:spacing w:after="0"/>
        <w:rPr>
          <w:rFonts w:ascii="Verdana" w:hAnsi="Verdana"/>
          <w:i/>
          <w:sz w:val="16"/>
          <w:szCs w:val="16"/>
          <w:lang w:val="es-ES"/>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00C53468" w:rsidRPr="001E3C83">
        <w:rPr>
          <w:rFonts w:ascii="Verdana" w:hAnsi="Verdana"/>
          <w:sz w:val="16"/>
          <w:szCs w:val="16"/>
          <w:lang w:val="es-CR"/>
        </w:rPr>
        <w:t>“</w:t>
      </w:r>
      <w:r w:rsidRPr="00C53468">
        <w:rPr>
          <w:rFonts w:ascii="Verdana" w:hAnsi="Verdana"/>
          <w:i/>
          <w:sz w:val="16"/>
          <w:szCs w:val="16"/>
          <w:lang w:val="es-ES"/>
        </w:rPr>
        <w:t>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00C53468">
        <w:rPr>
          <w:rFonts w:ascii="Verdana" w:hAnsi="Verdana"/>
          <w:i/>
          <w:sz w:val="16"/>
          <w:szCs w:val="16"/>
          <w:lang w:val="es-ES"/>
        </w:rPr>
        <w:t>”</w:t>
      </w:r>
    </w:p>
    <w:p w14:paraId="0B5D910C"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 xml:space="preserve">2. </w:t>
      </w:r>
      <w:r w:rsidR="00C53468">
        <w:rPr>
          <w:rFonts w:ascii="Verdana" w:hAnsi="Verdana"/>
          <w:i/>
          <w:sz w:val="16"/>
          <w:szCs w:val="16"/>
          <w:lang w:val="es-ES"/>
        </w:rPr>
        <w:t>“</w:t>
      </w:r>
      <w:r w:rsidRPr="00C53468">
        <w:rPr>
          <w:rFonts w:ascii="Verdana" w:hAnsi="Verdana"/>
          <w:i/>
          <w:sz w:val="16"/>
          <w:szCs w:val="16"/>
          <w:lang w:val="es-ES"/>
        </w:rPr>
        <w:t>Los Estados Partes se comprometen:</w:t>
      </w:r>
    </w:p>
    <w:p w14:paraId="1F92396D"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 xml:space="preserve"> a) a garantizar que la autoridad competente prevista por el sistema legal del Estado decidirá sobre los derechos de toda persona que interponga tal recurso;</w:t>
      </w:r>
    </w:p>
    <w:p w14:paraId="47B1C9B0" w14:textId="77777777" w:rsidR="00EE589D" w:rsidRPr="00C53468" w:rsidRDefault="00EE589D" w:rsidP="00F7745F">
      <w:pPr>
        <w:spacing w:after="0"/>
        <w:rPr>
          <w:rFonts w:ascii="Verdana" w:hAnsi="Verdana"/>
          <w:i/>
          <w:sz w:val="16"/>
          <w:szCs w:val="16"/>
          <w:lang w:val="es-ES"/>
        </w:rPr>
      </w:pPr>
      <w:r w:rsidRPr="00C53468">
        <w:rPr>
          <w:rFonts w:ascii="Verdana" w:hAnsi="Verdana"/>
          <w:i/>
          <w:sz w:val="16"/>
          <w:szCs w:val="16"/>
          <w:lang w:val="es-ES"/>
        </w:rPr>
        <w:t xml:space="preserve"> b) a desarrollar las posibilidades de recurso judicial, y</w:t>
      </w:r>
    </w:p>
    <w:p w14:paraId="0A933C88" w14:textId="77777777" w:rsidR="00EE589D" w:rsidRPr="00C53468" w:rsidRDefault="00EE589D" w:rsidP="00C53468">
      <w:pPr>
        <w:spacing w:after="0"/>
        <w:rPr>
          <w:rFonts w:ascii="Verdana" w:hAnsi="Verdana"/>
          <w:i/>
          <w:sz w:val="16"/>
          <w:szCs w:val="16"/>
          <w:lang w:val="es-ES"/>
        </w:rPr>
      </w:pPr>
      <w:r w:rsidRPr="00C53468">
        <w:rPr>
          <w:rFonts w:ascii="Verdana" w:hAnsi="Verdana"/>
          <w:i/>
          <w:sz w:val="16"/>
          <w:szCs w:val="16"/>
          <w:lang w:val="es-ES"/>
        </w:rPr>
        <w:t xml:space="preserve"> c) a garantizar el cumplimiento, por las autoridades competentes, de toda decisión en que se haya estimado procedente el recurso.”</w:t>
      </w:r>
    </w:p>
  </w:footnote>
  <w:footnote w:id="8">
    <w:p w14:paraId="2D7EC000" w14:textId="7747BA4A" w:rsidR="00015C8E" w:rsidRPr="00015C8E" w:rsidRDefault="00015C8E">
      <w:pPr>
        <w:pStyle w:val="FootnoteText"/>
        <w:rPr>
          <w:rFonts w:ascii="Verdana" w:hAnsi="Verdana"/>
          <w:sz w:val="16"/>
          <w:szCs w:val="16"/>
          <w:lang w:val="es-CR"/>
        </w:rPr>
      </w:pPr>
      <w:r w:rsidRPr="00015C8E">
        <w:rPr>
          <w:rStyle w:val="FootnoteReference"/>
          <w:rFonts w:ascii="Verdana" w:hAnsi="Verdana"/>
          <w:sz w:val="16"/>
          <w:szCs w:val="16"/>
        </w:rPr>
        <w:footnoteRef/>
      </w:r>
      <w:r w:rsidRPr="00015C8E">
        <w:rPr>
          <w:rFonts w:ascii="Verdana" w:hAnsi="Verdana"/>
          <w:sz w:val="16"/>
          <w:szCs w:val="16"/>
          <w:lang w:val="es-CR"/>
        </w:rPr>
        <w:t xml:space="preserve"> Esta Corte ha establecido que “cualquier órgano del Estado que ejerza funciones de carácter materialmente jurisdiccional, tiene la obligación de adoptar resoluciones apegadas a las garantías del debido proceso legal en los términos del artículo 8 de la Convención Americana”. </w:t>
      </w:r>
      <w:r w:rsidRPr="00015C8E">
        <w:rPr>
          <w:rFonts w:ascii="Verdana" w:hAnsi="Verdana"/>
          <w:i/>
          <w:sz w:val="16"/>
          <w:szCs w:val="16"/>
          <w:lang w:val="es-CR"/>
        </w:rPr>
        <w:t>Cfr. Caso del Tribunal Constitucional Vs. Perú. Fondo, Reparaciones y Costas.</w:t>
      </w:r>
      <w:r w:rsidRPr="00015C8E">
        <w:rPr>
          <w:rFonts w:ascii="Verdana" w:hAnsi="Verdana"/>
          <w:sz w:val="16"/>
          <w:szCs w:val="16"/>
          <w:lang w:val="es-CR"/>
        </w:rPr>
        <w:t xml:space="preserve"> Sentencia de 31 de enero de 2001. Serie C No. 71, párr. 77, y </w:t>
      </w:r>
      <w:r w:rsidRPr="00015C8E">
        <w:rPr>
          <w:rFonts w:ascii="Verdana" w:hAnsi="Verdana"/>
          <w:bCs/>
          <w:i/>
          <w:sz w:val="16"/>
          <w:szCs w:val="16"/>
          <w:shd w:val="clear" w:color="auto" w:fill="FFFFFF"/>
          <w:lang w:val="es-CR"/>
        </w:rPr>
        <w:t xml:space="preserve">Caso del Tribunal Constitucional (Camba Campos y otros) Vs. Ecuador. Excepciones Preliminares, Fondo, Reparaciones y Costas. </w:t>
      </w:r>
      <w:r w:rsidRPr="00015C8E">
        <w:rPr>
          <w:rFonts w:ascii="Verdana" w:hAnsi="Verdana"/>
          <w:bCs/>
          <w:sz w:val="16"/>
          <w:szCs w:val="16"/>
          <w:shd w:val="clear" w:color="auto" w:fill="FFFFFF"/>
          <w:lang w:val="es-CR"/>
        </w:rPr>
        <w:t xml:space="preserve">Sentencia de 28 de agosto de 2013. </w:t>
      </w:r>
      <w:r w:rsidRPr="008941AA">
        <w:rPr>
          <w:rFonts w:ascii="Verdana" w:hAnsi="Verdana"/>
          <w:bCs/>
          <w:sz w:val="16"/>
          <w:szCs w:val="16"/>
          <w:shd w:val="clear" w:color="auto" w:fill="FFFFFF"/>
          <w:lang w:val="es-CR"/>
        </w:rPr>
        <w:t>Serie C No. 268, párr. 166.</w:t>
      </w:r>
    </w:p>
  </w:footnote>
  <w:footnote w:id="9">
    <w:p w14:paraId="4D85EDD8" w14:textId="77777777" w:rsidR="004365AA" w:rsidRPr="001E3C83" w:rsidRDefault="004365AA" w:rsidP="004365AA">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En adelante, la Convención.</w:t>
      </w:r>
    </w:p>
  </w:footnote>
  <w:footnote w:id="10">
    <w:p w14:paraId="26025967" w14:textId="77777777" w:rsidR="004365AA" w:rsidRPr="001E3C83" w:rsidRDefault="004365AA" w:rsidP="004365AA">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Párr. 3° del Preámbulo</w:t>
      </w:r>
      <w:r w:rsidR="00C53468" w:rsidRPr="001E3C83">
        <w:rPr>
          <w:rFonts w:ascii="Verdana" w:hAnsi="Verdana"/>
          <w:sz w:val="16"/>
          <w:szCs w:val="16"/>
          <w:lang w:val="es-CR"/>
        </w:rPr>
        <w:t xml:space="preserve"> de la Convención</w:t>
      </w:r>
      <w:r w:rsidRPr="001E3C83">
        <w:rPr>
          <w:rFonts w:ascii="Verdana" w:hAnsi="Verdana"/>
          <w:sz w:val="16"/>
          <w:szCs w:val="16"/>
          <w:lang w:val="es-CR"/>
        </w:rPr>
        <w:t>.</w:t>
      </w:r>
    </w:p>
  </w:footnote>
  <w:footnote w:id="11">
    <w:p w14:paraId="432C8767" w14:textId="15C293A9" w:rsidR="004365AA" w:rsidRPr="00C53468" w:rsidRDefault="004365AA" w:rsidP="004365AA">
      <w:pPr>
        <w:spacing w:after="0"/>
        <w:rPr>
          <w:rFonts w:ascii="Verdana" w:hAnsi="Verdana"/>
          <w:i/>
          <w:sz w:val="16"/>
          <w:szCs w:val="16"/>
          <w:lang w:val="es-ES"/>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C53468">
        <w:rPr>
          <w:rFonts w:ascii="Verdana" w:hAnsi="Verdana"/>
          <w:i/>
          <w:sz w:val="16"/>
          <w:szCs w:val="16"/>
          <w:lang w:val="es-ES"/>
        </w:rPr>
        <w:t>Voto Parcialmente disidente del juez Eduardo Vio Grossi, Corte Interamericana de Derechos Humanos, Caso Lagos del Campo Vs.</w:t>
      </w:r>
      <w:r w:rsidR="00015C8E">
        <w:rPr>
          <w:rFonts w:ascii="Verdana" w:hAnsi="Verdana"/>
          <w:i/>
          <w:sz w:val="16"/>
          <w:szCs w:val="16"/>
          <w:lang w:val="es-ES"/>
        </w:rPr>
        <w:t xml:space="preserve"> </w:t>
      </w:r>
      <w:r w:rsidRPr="00C53468">
        <w:rPr>
          <w:rFonts w:ascii="Verdana" w:hAnsi="Verdana"/>
          <w:i/>
          <w:sz w:val="16"/>
          <w:szCs w:val="16"/>
          <w:lang w:val="es-ES"/>
        </w:rPr>
        <w:t>Perú,</w:t>
      </w:r>
      <w:r w:rsidRPr="00C53468">
        <w:rPr>
          <w:rFonts w:ascii="Verdana" w:hAnsi="Verdana"/>
          <w:b/>
          <w:sz w:val="16"/>
          <w:szCs w:val="16"/>
          <w:lang w:val="es-ES"/>
        </w:rPr>
        <w:t xml:space="preserve"> </w:t>
      </w:r>
      <w:r w:rsidRPr="00C53468">
        <w:rPr>
          <w:rFonts w:ascii="Verdana" w:hAnsi="Verdana"/>
          <w:i/>
          <w:sz w:val="16"/>
          <w:szCs w:val="16"/>
          <w:lang w:val="es-ES"/>
        </w:rPr>
        <w:t>Sentencia de 31 de diciembre de 2017, (Excepciones Preliminares, Fondo, Reparaciones y Costas).</w:t>
      </w:r>
    </w:p>
  </w:footnote>
  <w:footnote w:id="12">
    <w:p w14:paraId="1E536318" w14:textId="77777777" w:rsidR="004365AA" w:rsidRPr="001E3C83" w:rsidRDefault="004365AA" w:rsidP="004365AA">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Párrs. 3° y 6° del Preámbulo de la Convención.</w:t>
      </w:r>
    </w:p>
  </w:footnote>
  <w:footnote w:id="13">
    <w:p w14:paraId="000D600C" w14:textId="77777777" w:rsidR="004365AA" w:rsidRPr="001E3C83" w:rsidRDefault="004365AA" w:rsidP="004365AA">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Arts.8 y 25.</w:t>
      </w:r>
    </w:p>
  </w:footnote>
  <w:footnote w:id="14">
    <w:p w14:paraId="1C2A550C" w14:textId="77777777" w:rsidR="004365AA" w:rsidRPr="001E3C83" w:rsidRDefault="004365AA" w:rsidP="004365AA">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Arts.8 y 62.</w:t>
      </w:r>
    </w:p>
  </w:footnote>
  <w:footnote w:id="15">
    <w:p w14:paraId="1F0D790A" w14:textId="57727575" w:rsidR="00B60448" w:rsidRPr="001E3C83" w:rsidRDefault="00B60448" w:rsidP="00B60448">
      <w:pPr>
        <w:pStyle w:val="FootnoteText"/>
        <w:spacing w:line="240" w:lineRule="auto"/>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C53468">
        <w:rPr>
          <w:rFonts w:ascii="Verdana" w:hAnsi="Verdana"/>
          <w:sz w:val="16"/>
          <w:szCs w:val="16"/>
          <w:lang w:val="es-ES"/>
        </w:rPr>
        <w:t>Dicha función es diferente a la asignada al otro órgano competente “</w:t>
      </w:r>
      <w:r w:rsidRPr="00C53468">
        <w:rPr>
          <w:rFonts w:ascii="Verdana" w:hAnsi="Verdana"/>
          <w:i/>
          <w:sz w:val="16"/>
          <w:szCs w:val="16"/>
          <w:lang w:val="es-ES"/>
        </w:rPr>
        <w:t>para conocer de los asuntos relacionados con el cumplimiento de los compromisos contraídos por los Estados Partes”</w:t>
      </w:r>
      <w:r w:rsidRPr="00C53468">
        <w:rPr>
          <w:rFonts w:ascii="Verdana" w:hAnsi="Verdana"/>
          <w:sz w:val="16"/>
          <w:szCs w:val="16"/>
          <w:lang w:val="es-ES"/>
        </w:rPr>
        <w:t xml:space="preserve"> de la  Convención, es decir, la Comisión Interamericana de Derechos Humanos, la que “</w:t>
      </w:r>
      <w:r w:rsidRPr="00C53468">
        <w:rPr>
          <w:rFonts w:ascii="Verdana" w:hAnsi="Verdana"/>
          <w:i/>
          <w:sz w:val="16"/>
          <w:szCs w:val="16"/>
          <w:lang w:val="es-ES"/>
        </w:rPr>
        <w:t>tiene la función principal de promover la observancia y la defensa de los derechos humanos”</w:t>
      </w:r>
      <w:r w:rsidRPr="00C53468">
        <w:rPr>
          <w:rFonts w:ascii="Verdana" w:hAnsi="Verdana"/>
          <w:sz w:val="16"/>
          <w:szCs w:val="16"/>
          <w:lang w:val="es-ES"/>
        </w:rPr>
        <w:t>.</w:t>
      </w:r>
    </w:p>
  </w:footnote>
  <w:footnote w:id="16">
    <w:p w14:paraId="62E94747" w14:textId="77777777" w:rsidR="00063DC3" w:rsidRPr="00C53468" w:rsidRDefault="00063DC3" w:rsidP="00F7745F">
      <w:pPr>
        <w:spacing w:after="0"/>
        <w:rPr>
          <w:rFonts w:ascii="Verdana" w:hAnsi="Verdana"/>
          <w:sz w:val="16"/>
          <w:szCs w:val="16"/>
          <w:lang w:val="es-MX"/>
        </w:rPr>
      </w:pPr>
      <w:r w:rsidRPr="00C53468">
        <w:rPr>
          <w:rStyle w:val="FootnoteReference"/>
          <w:rFonts w:ascii="Verdana" w:hAnsi="Verdana"/>
          <w:sz w:val="16"/>
          <w:szCs w:val="16"/>
        </w:rPr>
        <w:footnoteRef/>
      </w:r>
      <w:r w:rsidRPr="001E3C83">
        <w:rPr>
          <w:rFonts w:ascii="Verdana" w:hAnsi="Verdana"/>
          <w:sz w:val="16"/>
          <w:szCs w:val="16"/>
          <w:lang w:val="es-CR"/>
        </w:rPr>
        <w:t xml:space="preserve"> Las </w:t>
      </w:r>
      <w:r w:rsidRPr="00C53468">
        <w:rPr>
          <w:rFonts w:ascii="Verdana" w:hAnsi="Verdana"/>
          <w:sz w:val="16"/>
          <w:szCs w:val="16"/>
          <w:lang w:val="es-ES"/>
        </w:rPr>
        <w:t>razones en que se sustenta el presente voto disidente han sido expuestas también, en términos similares, en otros votos emitidos por el infrascrito, a saber</w:t>
      </w:r>
      <w:r w:rsidRPr="00C53468">
        <w:rPr>
          <w:rFonts w:ascii="Verdana" w:hAnsi="Verdana"/>
          <w:sz w:val="16"/>
          <w:szCs w:val="16"/>
          <w:lang w:val="es-MX"/>
        </w:rPr>
        <w:t xml:space="preserve">: </w:t>
      </w:r>
      <w:r w:rsidRPr="00C53468">
        <w:rPr>
          <w:rFonts w:ascii="Verdana" w:hAnsi="Verdana"/>
          <w:i/>
          <w:iCs/>
          <w:sz w:val="16"/>
          <w:szCs w:val="16"/>
          <w:lang w:val="es-MX"/>
        </w:rPr>
        <w:t xml:space="preserve">Caso Gutiérrez Soler. </w:t>
      </w:r>
      <w:r w:rsidRPr="00C53468">
        <w:rPr>
          <w:rFonts w:ascii="Verdana" w:hAnsi="Verdana"/>
          <w:sz w:val="16"/>
          <w:szCs w:val="16"/>
          <w:lang w:val="es-MX"/>
        </w:rPr>
        <w:t xml:space="preserve">Medidas Provisionales respecto de Colombia. Resolución de la Corte de 30 de junio de 2011; </w:t>
      </w:r>
      <w:r w:rsidRPr="00C53468">
        <w:rPr>
          <w:rFonts w:ascii="Verdana" w:hAnsi="Verdana"/>
          <w:i/>
          <w:iCs/>
          <w:sz w:val="16"/>
          <w:szCs w:val="16"/>
          <w:lang w:val="es-MX"/>
        </w:rPr>
        <w:t xml:space="preserve">Caso Rosendo Cantú y otra. </w:t>
      </w:r>
      <w:r w:rsidRPr="00C53468">
        <w:rPr>
          <w:rFonts w:ascii="Verdana" w:hAnsi="Verdana"/>
          <w:sz w:val="16"/>
          <w:szCs w:val="16"/>
          <w:lang w:val="es-MX"/>
        </w:rPr>
        <w:t xml:space="preserve">Medidas Provisionales respecto de México. Resolución de la Corte de 1 de julio de 2011; </w:t>
      </w:r>
      <w:r w:rsidRPr="00C53468">
        <w:rPr>
          <w:rFonts w:ascii="Verdana" w:hAnsi="Verdana"/>
          <w:i/>
          <w:iCs/>
          <w:sz w:val="16"/>
          <w:szCs w:val="16"/>
          <w:lang w:val="es-MX"/>
        </w:rPr>
        <w:t xml:space="preserve">Caso Kawas Fernández. </w:t>
      </w:r>
      <w:r w:rsidRPr="00C53468">
        <w:rPr>
          <w:rFonts w:ascii="Verdana" w:hAnsi="Verdana"/>
          <w:sz w:val="16"/>
          <w:szCs w:val="16"/>
          <w:lang w:val="es-MX"/>
        </w:rPr>
        <w:t>Medidas Provisionales respecto de Honduras. Resolución de la Corte de 5 de julio de 2011</w:t>
      </w:r>
      <w:r w:rsidRPr="00C53468">
        <w:rPr>
          <w:rFonts w:ascii="Verdana" w:hAnsi="Verdana"/>
          <w:sz w:val="16"/>
          <w:szCs w:val="16"/>
          <w:lang w:val="es-ES"/>
        </w:rPr>
        <w:t>;</w:t>
      </w:r>
      <w:r w:rsidRPr="00C53468">
        <w:rPr>
          <w:rFonts w:ascii="Verdana" w:hAnsi="Verdana"/>
          <w:bCs/>
          <w:sz w:val="16"/>
          <w:szCs w:val="16"/>
          <w:lang w:val="es-ES"/>
        </w:rPr>
        <w:t xml:space="preserve"> </w:t>
      </w:r>
      <w:r w:rsidRPr="001E3C83">
        <w:rPr>
          <w:rStyle w:val="Strong"/>
          <w:rFonts w:ascii="Verdana" w:hAnsi="Verdana"/>
          <w:b w:val="0"/>
          <w:i/>
          <w:iCs/>
          <w:sz w:val="16"/>
          <w:szCs w:val="16"/>
          <w:shd w:val="clear" w:color="auto" w:fill="FFFFFF"/>
          <w:lang w:val="es-CR"/>
        </w:rPr>
        <w:t>Caso Pacheco Teruel y otros.</w:t>
      </w:r>
      <w:r w:rsidRPr="001E3C83">
        <w:rPr>
          <w:rStyle w:val="Strong"/>
          <w:rFonts w:ascii="Verdana" w:hAnsi="Verdana"/>
          <w:b w:val="0"/>
          <w:sz w:val="16"/>
          <w:szCs w:val="16"/>
          <w:shd w:val="clear" w:color="auto" w:fill="FFFFFF"/>
          <w:lang w:val="es-CR"/>
        </w:rPr>
        <w:t xml:space="preserve"> Medidas Provisionales respecto de Honduras. Resolución de la Corte de 13 de febrero de 2013; </w:t>
      </w:r>
      <w:r w:rsidRPr="001E3C83">
        <w:rPr>
          <w:rStyle w:val="Strong"/>
          <w:rFonts w:ascii="Verdana" w:hAnsi="Verdana"/>
          <w:b w:val="0"/>
          <w:i/>
          <w:iCs/>
          <w:sz w:val="16"/>
          <w:szCs w:val="16"/>
          <w:shd w:val="clear" w:color="auto" w:fill="FFFFFF"/>
          <w:lang w:val="es-CR"/>
        </w:rPr>
        <w:t xml:space="preserve">Caso Familia Barrios. </w:t>
      </w:r>
      <w:r w:rsidRPr="001E3C83">
        <w:rPr>
          <w:rStyle w:val="Strong"/>
          <w:rFonts w:ascii="Verdana" w:hAnsi="Verdana"/>
          <w:b w:val="0"/>
          <w:sz w:val="16"/>
          <w:szCs w:val="16"/>
          <w:shd w:val="clear" w:color="auto" w:fill="FFFFFF"/>
          <w:lang w:val="es-CR"/>
        </w:rPr>
        <w:t xml:space="preserve">Medidas Provisionales respecto de Venezuela. Resolución de la Corte de 13 de febrero de 2013; </w:t>
      </w:r>
      <w:r w:rsidRPr="001E3C83">
        <w:rPr>
          <w:rStyle w:val="Strong"/>
          <w:rFonts w:ascii="Verdana" w:hAnsi="Verdana"/>
          <w:b w:val="0"/>
          <w:i/>
          <w:iCs/>
          <w:sz w:val="16"/>
          <w:szCs w:val="16"/>
          <w:shd w:val="clear" w:color="auto" w:fill="FFFFFF"/>
          <w:lang w:val="es-CR"/>
        </w:rPr>
        <w:t>Asunto</w:t>
      </w:r>
      <w:r w:rsidRPr="001E3C83">
        <w:rPr>
          <w:rStyle w:val="Strong"/>
          <w:rFonts w:ascii="Verdana" w:hAnsi="Verdana"/>
          <w:b w:val="0"/>
          <w:sz w:val="16"/>
          <w:szCs w:val="16"/>
          <w:shd w:val="clear" w:color="auto" w:fill="FFFFFF"/>
          <w:lang w:val="es-CR"/>
        </w:rPr>
        <w:t xml:space="preserve"> </w:t>
      </w:r>
      <w:r w:rsidRPr="001E3C83">
        <w:rPr>
          <w:rStyle w:val="Strong"/>
          <w:rFonts w:ascii="Verdana" w:hAnsi="Verdana"/>
          <w:b w:val="0"/>
          <w:i/>
          <w:iCs/>
          <w:sz w:val="16"/>
          <w:szCs w:val="16"/>
          <w:shd w:val="clear" w:color="auto" w:fill="FFFFFF"/>
          <w:lang w:val="es-CR"/>
        </w:rPr>
        <w:t xml:space="preserve">Millacura Llaipén y otros. </w:t>
      </w:r>
      <w:r w:rsidRPr="001E3C83">
        <w:rPr>
          <w:rStyle w:val="Strong"/>
          <w:rFonts w:ascii="Verdana" w:hAnsi="Verdana"/>
          <w:b w:val="0"/>
          <w:sz w:val="16"/>
          <w:szCs w:val="16"/>
          <w:shd w:val="clear" w:color="auto" w:fill="FFFFFF"/>
          <w:lang w:val="es-CR"/>
        </w:rPr>
        <w:t xml:space="preserve">Medidas Provisionales respecto de Argentina. Resolución de la Corte de 13 de febrero de 2013; </w:t>
      </w:r>
      <w:r w:rsidRPr="001E3C83">
        <w:rPr>
          <w:rStyle w:val="Strong"/>
          <w:rFonts w:ascii="Verdana" w:hAnsi="Verdana"/>
          <w:b w:val="0"/>
          <w:i/>
          <w:iCs/>
          <w:sz w:val="16"/>
          <w:szCs w:val="16"/>
          <w:shd w:val="clear" w:color="auto" w:fill="FFFFFF"/>
          <w:lang w:val="es-CR"/>
        </w:rPr>
        <w:t xml:space="preserve">Caso Familia Barrios. </w:t>
      </w:r>
      <w:r w:rsidRPr="001E3C83">
        <w:rPr>
          <w:rStyle w:val="Strong"/>
          <w:rFonts w:ascii="Verdana" w:hAnsi="Verdana"/>
          <w:b w:val="0"/>
          <w:sz w:val="16"/>
          <w:szCs w:val="16"/>
          <w:shd w:val="clear" w:color="auto" w:fill="FFFFFF"/>
          <w:lang w:val="es-CR"/>
        </w:rPr>
        <w:t>Medidas Provisionales respecto de Venezuela. Resolución</w:t>
      </w:r>
      <w:r w:rsidRPr="001E3C83">
        <w:rPr>
          <w:rStyle w:val="Strong"/>
          <w:rFonts w:ascii="Verdana" w:hAnsi="Verdana"/>
          <w:b w:val="0"/>
          <w:i/>
          <w:iCs/>
          <w:sz w:val="16"/>
          <w:szCs w:val="16"/>
          <w:shd w:val="clear" w:color="auto" w:fill="FFFFFF"/>
          <w:lang w:val="es-CR"/>
        </w:rPr>
        <w:t xml:space="preserve"> </w:t>
      </w:r>
      <w:r w:rsidRPr="001E3C83">
        <w:rPr>
          <w:rStyle w:val="Strong"/>
          <w:rFonts w:ascii="Verdana" w:hAnsi="Verdana"/>
          <w:b w:val="0"/>
          <w:sz w:val="16"/>
          <w:szCs w:val="16"/>
          <w:shd w:val="clear" w:color="auto" w:fill="FFFFFF"/>
          <w:lang w:val="es-CR"/>
        </w:rPr>
        <w:t xml:space="preserve">de la Corte de 30 de mayo de 2013; </w:t>
      </w:r>
      <w:r w:rsidRPr="001E3C83">
        <w:rPr>
          <w:rStyle w:val="Strong"/>
          <w:rFonts w:ascii="Verdana" w:hAnsi="Verdana"/>
          <w:b w:val="0"/>
          <w:i/>
          <w:iCs/>
          <w:sz w:val="16"/>
          <w:szCs w:val="16"/>
          <w:shd w:val="clear" w:color="auto" w:fill="FFFFFF"/>
          <w:lang w:val="es-CR"/>
        </w:rPr>
        <w:t xml:space="preserve">Caso Artavia Murillo y otros (“Fecundación in vitro”). </w:t>
      </w:r>
      <w:r w:rsidRPr="001E3C83">
        <w:rPr>
          <w:rStyle w:val="Strong"/>
          <w:rFonts w:ascii="Verdana" w:hAnsi="Verdana"/>
          <w:b w:val="0"/>
          <w:sz w:val="16"/>
          <w:szCs w:val="16"/>
          <w:shd w:val="clear" w:color="auto" w:fill="FFFFFF"/>
          <w:lang w:val="es-CR"/>
        </w:rPr>
        <w:t>Solicitud de Medidas Provisionales respecto de Costa Rica. Resolución de la Corte de 31 de marzo de 2014;</w:t>
      </w:r>
      <w:r w:rsidRPr="001E3C83">
        <w:rPr>
          <w:rFonts w:ascii="Verdana" w:hAnsi="Verdana"/>
          <w:sz w:val="16"/>
          <w:szCs w:val="16"/>
          <w:lang w:val="es-CR"/>
        </w:rPr>
        <w:t xml:space="preserve"> </w:t>
      </w:r>
      <w:r w:rsidRPr="00C53468">
        <w:rPr>
          <w:rFonts w:ascii="Verdana" w:hAnsi="Verdana"/>
          <w:i/>
          <w:iCs/>
          <w:sz w:val="16"/>
          <w:szCs w:val="16"/>
          <w:lang w:val="es-MX"/>
        </w:rPr>
        <w:t xml:space="preserve">Caso García Prieto y otros. </w:t>
      </w:r>
      <w:r w:rsidRPr="00C53468">
        <w:rPr>
          <w:rFonts w:ascii="Verdana" w:hAnsi="Verdana"/>
          <w:sz w:val="16"/>
          <w:szCs w:val="16"/>
          <w:lang w:val="es-MX"/>
        </w:rPr>
        <w:t xml:space="preserve">Medidas Provisionales respecto de El Salvador. Resolución de la Corte de 26 enero de 2015; </w:t>
      </w:r>
      <w:r w:rsidRPr="00C53468">
        <w:rPr>
          <w:rFonts w:ascii="Verdana" w:hAnsi="Verdana"/>
          <w:i/>
          <w:iCs/>
          <w:sz w:val="16"/>
          <w:szCs w:val="16"/>
          <w:lang w:val="es-MX"/>
        </w:rPr>
        <w:t xml:space="preserve">Caso Mack Chang y otros. </w:t>
      </w:r>
      <w:r w:rsidRPr="00C53468">
        <w:rPr>
          <w:rFonts w:ascii="Verdana" w:hAnsi="Verdana"/>
          <w:sz w:val="16"/>
          <w:szCs w:val="16"/>
          <w:lang w:val="es-MX"/>
        </w:rPr>
        <w:t>Medidas Provisionales respecto de Guatemala. Resolución de la Corte de 26 de enero de 2015, y del mismo tenor que el presente voto y en el escrito</w:t>
      </w:r>
      <w:r w:rsidRPr="00C53468">
        <w:rPr>
          <w:rFonts w:ascii="Verdana" w:hAnsi="Verdana"/>
          <w:b/>
          <w:bCs/>
          <w:sz w:val="16"/>
          <w:szCs w:val="16"/>
          <w:lang w:val="es-MX"/>
        </w:rPr>
        <w:t xml:space="preserve"> </w:t>
      </w:r>
      <w:r w:rsidRPr="00C53468">
        <w:rPr>
          <w:rFonts w:ascii="Verdana" w:hAnsi="Verdana"/>
          <w:sz w:val="16"/>
          <w:szCs w:val="16"/>
          <w:lang w:val="es-MX"/>
        </w:rPr>
        <w:t xml:space="preserve">de </w:t>
      </w:r>
      <w:r w:rsidRPr="00C53468">
        <w:rPr>
          <w:rFonts w:ascii="Verdana" w:hAnsi="Verdana"/>
          <w:i/>
          <w:iCs/>
          <w:sz w:val="16"/>
          <w:szCs w:val="16"/>
          <w:lang w:val="es-MX"/>
        </w:rPr>
        <w:t>Constancia de Queja</w:t>
      </w:r>
      <w:r w:rsidRPr="00C53468">
        <w:rPr>
          <w:rFonts w:ascii="Verdana" w:hAnsi="Verdana"/>
          <w:sz w:val="16"/>
          <w:szCs w:val="16"/>
          <w:lang w:val="es-MX"/>
        </w:rPr>
        <w:t xml:space="preserve"> que, relacionado con las primeras Resoluciones mencionadas, presentó ante la Corte el 17 de agosto de 2011.</w:t>
      </w:r>
    </w:p>
  </w:footnote>
  <w:footnote w:id="17">
    <w:p w14:paraId="2A60560C" w14:textId="77777777" w:rsidR="00063DC3" w:rsidRPr="00C53468" w:rsidRDefault="00063DC3" w:rsidP="00F7745F">
      <w:pPr>
        <w:spacing w:after="0"/>
        <w:rPr>
          <w:rFonts w:ascii="Verdana" w:hAnsi="Verdana"/>
          <w:sz w:val="16"/>
          <w:szCs w:val="16"/>
          <w:lang w:val="es-ES"/>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1E3C83">
        <w:rPr>
          <w:rFonts w:ascii="Verdana" w:hAnsi="Verdana"/>
          <w:i/>
          <w:sz w:val="16"/>
          <w:szCs w:val="16"/>
          <w:lang w:val="es-CR"/>
        </w:rPr>
        <w:t>“</w:t>
      </w:r>
      <w:r w:rsidRPr="00C53468">
        <w:rPr>
          <w:rFonts w:ascii="Verdana" w:hAnsi="Verdana"/>
          <w:i/>
          <w:sz w:val="16"/>
          <w:szCs w:val="16"/>
          <w:lang w:val="es-ES"/>
        </w:rPr>
        <w:t>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footnote>
  <w:footnote w:id="18">
    <w:p w14:paraId="4CD1C960" w14:textId="77777777" w:rsidR="00063DC3" w:rsidRPr="00C53468" w:rsidRDefault="00063DC3" w:rsidP="00F7745F">
      <w:pPr>
        <w:pStyle w:val="FootnoteText"/>
        <w:rPr>
          <w:rFonts w:ascii="Verdana" w:hAnsi="Verdana" w:cs="Arial"/>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1E3C83">
        <w:rPr>
          <w:rFonts w:ascii="Verdana" w:hAnsi="Verdana"/>
          <w:i/>
          <w:sz w:val="16"/>
          <w:szCs w:val="16"/>
          <w:lang w:val="es-CR"/>
        </w:rPr>
        <w:t>Caso</w:t>
      </w:r>
      <w:r w:rsidRPr="001E3C83">
        <w:rPr>
          <w:rFonts w:ascii="Verdana" w:hAnsi="Verdana"/>
          <w:sz w:val="16"/>
          <w:szCs w:val="16"/>
          <w:lang w:val="es-CR"/>
        </w:rPr>
        <w:t xml:space="preserve">” y </w:t>
      </w:r>
      <w:r w:rsidRPr="001E3C83">
        <w:rPr>
          <w:rFonts w:ascii="Verdana" w:hAnsi="Verdana"/>
          <w:i/>
          <w:sz w:val="16"/>
          <w:szCs w:val="16"/>
          <w:lang w:val="es-CR"/>
        </w:rPr>
        <w:t>“asunto”</w:t>
      </w:r>
      <w:r w:rsidRPr="001E3C83">
        <w:rPr>
          <w:rFonts w:ascii="Verdana" w:hAnsi="Verdana"/>
          <w:sz w:val="16"/>
          <w:szCs w:val="16"/>
          <w:lang w:val="es-CR"/>
        </w:rPr>
        <w:t xml:space="preserve"> son, a estos efectos, sinónimos de acuerdo a la Convención</w:t>
      </w:r>
      <w:r w:rsidRPr="00C53468">
        <w:rPr>
          <w:rFonts w:ascii="Verdana" w:hAnsi="Verdana"/>
          <w:sz w:val="16"/>
          <w:szCs w:val="16"/>
          <w:lang w:val="es-ES"/>
        </w:rPr>
        <w:t xml:space="preserve">, </w:t>
      </w:r>
      <w:r w:rsidRPr="001E3C83">
        <w:rPr>
          <w:rFonts w:ascii="Verdana" w:hAnsi="Verdana"/>
          <w:sz w:val="16"/>
          <w:szCs w:val="16"/>
          <w:lang w:val="es-CR"/>
        </w:rPr>
        <w:t>la que</w:t>
      </w:r>
      <w:r w:rsidRPr="001E3C83">
        <w:rPr>
          <w:rFonts w:ascii="Verdana" w:hAnsi="Verdana" w:cs="Arial"/>
          <w:sz w:val="16"/>
          <w:szCs w:val="16"/>
          <w:lang w:val="es-CR"/>
        </w:rPr>
        <w:t xml:space="preserve"> alude a “</w:t>
      </w:r>
      <w:r w:rsidRPr="001E3C83">
        <w:rPr>
          <w:rFonts w:ascii="Verdana" w:hAnsi="Verdana" w:cs="Arial"/>
          <w:i/>
          <w:sz w:val="16"/>
          <w:szCs w:val="16"/>
          <w:lang w:val="es-CR"/>
        </w:rPr>
        <w:t xml:space="preserve">asuntos” </w:t>
      </w:r>
      <w:r w:rsidRPr="001E3C83">
        <w:rPr>
          <w:rFonts w:ascii="Verdana" w:hAnsi="Verdana" w:cs="Arial"/>
          <w:sz w:val="16"/>
          <w:szCs w:val="16"/>
          <w:lang w:val="es-CR"/>
        </w:rPr>
        <w:t>únicamente</w:t>
      </w:r>
      <w:r w:rsidRPr="001E3C83">
        <w:rPr>
          <w:rFonts w:ascii="Verdana" w:hAnsi="Verdana" w:cs="Arial"/>
          <w:i/>
          <w:sz w:val="16"/>
          <w:szCs w:val="16"/>
          <w:lang w:val="es-CR"/>
        </w:rPr>
        <w:t xml:space="preserve"> </w:t>
      </w:r>
      <w:r w:rsidRPr="001E3C83">
        <w:rPr>
          <w:rFonts w:ascii="Verdana" w:hAnsi="Verdana" w:cs="Arial"/>
          <w:sz w:val="16"/>
          <w:szCs w:val="16"/>
          <w:lang w:val="es-CR"/>
        </w:rPr>
        <w:t>en su transcrito artículo 63.2,</w:t>
      </w:r>
      <w:r w:rsidRPr="001E3C83">
        <w:rPr>
          <w:rFonts w:ascii="Verdana" w:hAnsi="Verdana"/>
          <w:sz w:val="16"/>
          <w:szCs w:val="16"/>
          <w:lang w:val="es-CR"/>
        </w:rPr>
        <w:t xml:space="preserve"> mientras que en otras</w:t>
      </w:r>
      <w:r w:rsidRPr="001E3C83">
        <w:rPr>
          <w:rFonts w:ascii="Verdana" w:hAnsi="Verdana" w:cs="Arial"/>
          <w:sz w:val="16"/>
          <w:szCs w:val="16"/>
          <w:lang w:val="es-CR"/>
        </w:rPr>
        <w:t xml:space="preserve"> cinco de sus disposiciones se refiere a “casos” (art</w:t>
      </w:r>
      <w:r w:rsidRPr="00C53468">
        <w:rPr>
          <w:rFonts w:ascii="Verdana" w:hAnsi="Verdana" w:cs="Arial"/>
          <w:sz w:val="16"/>
          <w:szCs w:val="16"/>
          <w:lang w:val="es-CR"/>
        </w:rPr>
        <w:t xml:space="preserve">ículo </w:t>
      </w:r>
      <w:r w:rsidRPr="001E3C83">
        <w:rPr>
          <w:rFonts w:ascii="Verdana" w:hAnsi="Verdana" w:cs="Arial"/>
          <w:sz w:val="16"/>
          <w:szCs w:val="16"/>
          <w:lang w:val="es-CR"/>
        </w:rPr>
        <w:t xml:space="preserve">57: </w:t>
      </w:r>
      <w:r w:rsidRPr="00C53468">
        <w:rPr>
          <w:rFonts w:ascii="Verdana" w:hAnsi="Verdana" w:cs="Arial"/>
          <w:sz w:val="16"/>
          <w:szCs w:val="16"/>
          <w:lang w:val="es-CR"/>
        </w:rPr>
        <w:t xml:space="preserve">a la </w:t>
      </w:r>
      <w:r w:rsidRPr="001E3C83">
        <w:rPr>
          <w:rFonts w:ascii="Verdana" w:hAnsi="Verdana" w:cs="Arial"/>
          <w:sz w:val="16"/>
          <w:szCs w:val="16"/>
          <w:lang w:val="es-CR"/>
        </w:rPr>
        <w:t xml:space="preserve">facultad de </w:t>
      </w:r>
      <w:r w:rsidRPr="00C53468">
        <w:rPr>
          <w:rFonts w:ascii="Verdana" w:hAnsi="Verdana" w:cs="Arial"/>
          <w:sz w:val="16"/>
          <w:szCs w:val="16"/>
          <w:lang w:val="es-CR"/>
        </w:rPr>
        <w:t xml:space="preserve">la Comisión de </w:t>
      </w:r>
      <w:r w:rsidRPr="001E3C83">
        <w:rPr>
          <w:rFonts w:ascii="Verdana" w:hAnsi="Verdana" w:cs="Arial"/>
          <w:sz w:val="16"/>
          <w:szCs w:val="16"/>
          <w:lang w:val="es-CR"/>
        </w:rPr>
        <w:t>recurrir ante ella</w:t>
      </w:r>
      <w:r w:rsidRPr="00C53468">
        <w:rPr>
          <w:rFonts w:ascii="Verdana" w:hAnsi="Verdana" w:cs="Arial"/>
          <w:sz w:val="16"/>
          <w:szCs w:val="16"/>
          <w:lang w:val="es-CR"/>
        </w:rPr>
        <w:t>;</w:t>
      </w:r>
      <w:r w:rsidRPr="001E3C83">
        <w:rPr>
          <w:rFonts w:ascii="Verdana" w:hAnsi="Verdana" w:cs="Arial"/>
          <w:sz w:val="16"/>
          <w:szCs w:val="16"/>
          <w:lang w:val="es-CR"/>
        </w:rPr>
        <w:t xml:space="preserve"> art</w:t>
      </w:r>
      <w:r w:rsidRPr="00C53468">
        <w:rPr>
          <w:rFonts w:ascii="Verdana" w:hAnsi="Verdana" w:cs="Arial"/>
          <w:sz w:val="16"/>
          <w:szCs w:val="16"/>
          <w:lang w:val="es-CR"/>
        </w:rPr>
        <w:t xml:space="preserve">ículo </w:t>
      </w:r>
      <w:r w:rsidRPr="001E3C83">
        <w:rPr>
          <w:rFonts w:ascii="Verdana" w:hAnsi="Verdana" w:cs="Arial"/>
          <w:sz w:val="16"/>
          <w:szCs w:val="16"/>
          <w:lang w:val="es-CR"/>
        </w:rPr>
        <w:t>61</w:t>
      </w:r>
      <w:r w:rsidRPr="00C53468">
        <w:rPr>
          <w:rFonts w:ascii="Verdana" w:hAnsi="Verdana" w:cs="Arial"/>
          <w:sz w:val="16"/>
          <w:szCs w:val="16"/>
          <w:lang w:val="es-CR"/>
        </w:rPr>
        <w:t>:</w:t>
      </w:r>
      <w:r w:rsidRPr="001E3C83">
        <w:rPr>
          <w:rFonts w:ascii="Verdana" w:hAnsi="Verdana" w:cs="Arial"/>
          <w:sz w:val="16"/>
          <w:szCs w:val="16"/>
          <w:lang w:val="es-CR"/>
        </w:rPr>
        <w:t xml:space="preserve"> a </w:t>
      </w:r>
      <w:r w:rsidRPr="00C53468">
        <w:rPr>
          <w:rFonts w:ascii="Verdana" w:hAnsi="Verdana" w:cs="Arial"/>
          <w:sz w:val="16"/>
          <w:szCs w:val="16"/>
          <w:lang w:val="es-CR"/>
        </w:rPr>
        <w:t xml:space="preserve">la </w:t>
      </w:r>
      <w:r w:rsidRPr="001E3C83">
        <w:rPr>
          <w:rFonts w:ascii="Verdana" w:hAnsi="Verdana" w:cs="Arial"/>
          <w:sz w:val="16"/>
          <w:szCs w:val="16"/>
          <w:lang w:val="es-CR"/>
        </w:rPr>
        <w:t>competencia</w:t>
      </w:r>
      <w:r w:rsidRPr="00C53468">
        <w:rPr>
          <w:rFonts w:ascii="Verdana" w:hAnsi="Verdana" w:cs="Arial"/>
          <w:sz w:val="16"/>
          <w:szCs w:val="16"/>
          <w:lang w:val="es-CR"/>
        </w:rPr>
        <w:t xml:space="preserve"> de la Corte; </w:t>
      </w:r>
      <w:r w:rsidRPr="001E3C83">
        <w:rPr>
          <w:rFonts w:ascii="Verdana" w:hAnsi="Verdana" w:cs="Arial"/>
          <w:sz w:val="16"/>
          <w:szCs w:val="16"/>
          <w:lang w:val="es-CR"/>
        </w:rPr>
        <w:t>art</w:t>
      </w:r>
      <w:r w:rsidRPr="00C53468">
        <w:rPr>
          <w:rFonts w:ascii="Verdana" w:hAnsi="Verdana" w:cs="Arial"/>
          <w:sz w:val="16"/>
          <w:szCs w:val="16"/>
          <w:lang w:val="es-CR"/>
        </w:rPr>
        <w:t xml:space="preserve">ículo </w:t>
      </w:r>
      <w:r w:rsidRPr="001E3C83">
        <w:rPr>
          <w:rFonts w:ascii="Verdana" w:hAnsi="Verdana" w:cs="Arial"/>
          <w:sz w:val="16"/>
          <w:szCs w:val="16"/>
          <w:lang w:val="es-CR"/>
        </w:rPr>
        <w:t xml:space="preserve">65: a la obligación de informar anualmente de </w:t>
      </w:r>
      <w:r w:rsidRPr="00C53468">
        <w:rPr>
          <w:rFonts w:ascii="Verdana" w:hAnsi="Verdana" w:cs="Arial"/>
          <w:sz w:val="16"/>
          <w:szCs w:val="16"/>
          <w:lang w:val="es-CR"/>
        </w:rPr>
        <w:t>la</w:t>
      </w:r>
      <w:r w:rsidRPr="001E3C83">
        <w:rPr>
          <w:rFonts w:ascii="Verdana" w:hAnsi="Verdana" w:cs="Arial"/>
          <w:sz w:val="16"/>
          <w:szCs w:val="16"/>
          <w:lang w:val="es-CR"/>
        </w:rPr>
        <w:t xml:space="preserve"> labor</w:t>
      </w:r>
      <w:r w:rsidRPr="00C53468">
        <w:rPr>
          <w:rFonts w:ascii="Verdana" w:hAnsi="Verdana" w:cs="Arial"/>
          <w:sz w:val="16"/>
          <w:szCs w:val="16"/>
          <w:lang w:val="es-CR"/>
        </w:rPr>
        <w:t xml:space="preserve"> de la Corte</w:t>
      </w:r>
      <w:r w:rsidRPr="001E3C83">
        <w:rPr>
          <w:rFonts w:ascii="Verdana" w:hAnsi="Verdana" w:cs="Arial"/>
          <w:sz w:val="16"/>
          <w:szCs w:val="16"/>
          <w:lang w:val="es-CR"/>
        </w:rPr>
        <w:t xml:space="preserve"> a la Asamblea General de la Organización de Estados Americanos</w:t>
      </w:r>
      <w:r w:rsidRPr="00C53468">
        <w:rPr>
          <w:rFonts w:ascii="Verdana" w:hAnsi="Verdana" w:cs="Arial"/>
          <w:sz w:val="16"/>
          <w:szCs w:val="16"/>
          <w:lang w:val="es-CR"/>
        </w:rPr>
        <w:t xml:space="preserve">; </w:t>
      </w:r>
      <w:r w:rsidRPr="001E3C83">
        <w:rPr>
          <w:rFonts w:ascii="Verdana" w:hAnsi="Verdana" w:cs="Arial"/>
          <w:sz w:val="16"/>
          <w:szCs w:val="16"/>
          <w:lang w:val="es-CR"/>
        </w:rPr>
        <w:t>art</w:t>
      </w:r>
      <w:r w:rsidRPr="00C53468">
        <w:rPr>
          <w:rFonts w:ascii="Verdana" w:hAnsi="Verdana" w:cs="Arial"/>
          <w:sz w:val="16"/>
          <w:szCs w:val="16"/>
          <w:lang w:val="es-CR"/>
        </w:rPr>
        <w:t xml:space="preserve">ículo </w:t>
      </w:r>
      <w:r w:rsidRPr="001E3C83">
        <w:rPr>
          <w:rFonts w:ascii="Verdana" w:hAnsi="Verdana" w:cs="Arial"/>
          <w:sz w:val="16"/>
          <w:szCs w:val="16"/>
          <w:lang w:val="es-CR"/>
        </w:rPr>
        <w:t>68.1: a la obligatoriedad de sus fallos</w:t>
      </w:r>
      <w:r w:rsidRPr="00C53468">
        <w:rPr>
          <w:rFonts w:ascii="Verdana" w:hAnsi="Verdana" w:cs="Arial"/>
          <w:sz w:val="16"/>
          <w:szCs w:val="16"/>
          <w:lang w:val="es-CR"/>
        </w:rPr>
        <w:t>,</w:t>
      </w:r>
      <w:r w:rsidRPr="001E3C83">
        <w:rPr>
          <w:rFonts w:ascii="Verdana" w:hAnsi="Verdana" w:cs="Arial"/>
          <w:sz w:val="16"/>
          <w:szCs w:val="16"/>
          <w:lang w:val="es-CR"/>
        </w:rPr>
        <w:t xml:space="preserve"> y art</w:t>
      </w:r>
      <w:r w:rsidRPr="00C53468">
        <w:rPr>
          <w:rFonts w:ascii="Verdana" w:hAnsi="Verdana" w:cs="Arial"/>
          <w:sz w:val="16"/>
          <w:szCs w:val="16"/>
          <w:lang w:val="es-CR"/>
        </w:rPr>
        <w:t xml:space="preserve">ículo </w:t>
      </w:r>
      <w:r w:rsidRPr="001E3C83">
        <w:rPr>
          <w:rFonts w:ascii="Verdana" w:hAnsi="Verdana" w:cs="Arial"/>
          <w:sz w:val="16"/>
          <w:szCs w:val="16"/>
          <w:lang w:val="es-CR"/>
        </w:rPr>
        <w:t>69: a la notificación de los mismos). Pero también lo es según el Estatuto de la Corte, en el que si bien en dos de sus disposiciones se refiere</w:t>
      </w:r>
      <w:r w:rsidRPr="00C53468">
        <w:rPr>
          <w:rFonts w:ascii="Verdana" w:hAnsi="Verdana" w:cs="Arial"/>
          <w:sz w:val="16"/>
          <w:szCs w:val="16"/>
          <w:lang w:val="es-CR"/>
        </w:rPr>
        <w:t>n</w:t>
      </w:r>
      <w:r w:rsidRPr="001E3C83">
        <w:rPr>
          <w:rFonts w:ascii="Verdana" w:hAnsi="Verdana" w:cs="Arial"/>
          <w:sz w:val="16"/>
          <w:szCs w:val="16"/>
          <w:lang w:val="es-CR"/>
        </w:rPr>
        <w:t xml:space="preserve"> a “asuntos”, una de ellas lo hace respecto de las funciones del Presidente de la Corte, que bien pueden ser atingentes a la función consultiva de la Corte e incluso a cuestiones administrativas (art</w:t>
      </w:r>
      <w:r w:rsidRPr="00C53468">
        <w:rPr>
          <w:rFonts w:ascii="Verdana" w:hAnsi="Verdana" w:cs="Arial"/>
          <w:sz w:val="16"/>
          <w:szCs w:val="16"/>
          <w:lang w:val="es-CR"/>
        </w:rPr>
        <w:t>ículo</w:t>
      </w:r>
      <w:r w:rsidRPr="001E3C83">
        <w:rPr>
          <w:rFonts w:ascii="Verdana" w:hAnsi="Verdana" w:cs="Arial"/>
          <w:sz w:val="16"/>
          <w:szCs w:val="16"/>
          <w:lang w:val="es-CR"/>
        </w:rPr>
        <w:t xml:space="preserve"> 12.2), en las otras lo hace en cuanto a la competencia contenciosa (art</w:t>
      </w:r>
      <w:r w:rsidRPr="00C53468">
        <w:rPr>
          <w:rFonts w:ascii="Verdana" w:hAnsi="Verdana" w:cs="Arial"/>
          <w:sz w:val="16"/>
          <w:szCs w:val="16"/>
          <w:lang w:val="es-CR"/>
        </w:rPr>
        <w:t>ículo</w:t>
      </w:r>
      <w:r w:rsidRPr="001E3C83">
        <w:rPr>
          <w:rFonts w:ascii="Verdana" w:hAnsi="Verdana" w:cs="Arial"/>
          <w:sz w:val="16"/>
          <w:szCs w:val="16"/>
          <w:lang w:val="es-CR"/>
        </w:rPr>
        <w:t xml:space="preserve"> 19</w:t>
      </w:r>
      <w:r w:rsidRPr="00C53468">
        <w:rPr>
          <w:rFonts w:ascii="Verdana" w:hAnsi="Verdana" w:cs="Arial"/>
          <w:sz w:val="16"/>
          <w:szCs w:val="16"/>
          <w:lang w:val="es-CR"/>
        </w:rPr>
        <w:t xml:space="preserve">, incisos </w:t>
      </w:r>
      <w:r w:rsidRPr="001E3C83">
        <w:rPr>
          <w:rFonts w:ascii="Verdana" w:hAnsi="Verdana" w:cs="Arial"/>
          <w:sz w:val="16"/>
          <w:szCs w:val="16"/>
          <w:lang w:val="es-CR"/>
        </w:rPr>
        <w:t xml:space="preserve">1, 2 y 3, </w:t>
      </w:r>
      <w:r w:rsidRPr="00C53468">
        <w:rPr>
          <w:rFonts w:ascii="Verdana" w:hAnsi="Verdana" w:cs="Arial"/>
          <w:sz w:val="16"/>
          <w:szCs w:val="16"/>
          <w:lang w:val="es-CR"/>
        </w:rPr>
        <w:t>que se refiere a los</w:t>
      </w:r>
      <w:r w:rsidRPr="001E3C83">
        <w:rPr>
          <w:rFonts w:ascii="Verdana" w:hAnsi="Verdana" w:cs="Arial"/>
          <w:sz w:val="16"/>
          <w:szCs w:val="16"/>
          <w:lang w:val="es-CR"/>
        </w:rPr>
        <w:t xml:space="preserve"> impedimentos e inhabilidades de los jueces en asuntos contenciosos).</w:t>
      </w:r>
      <w:r w:rsidRPr="00C53468">
        <w:rPr>
          <w:rFonts w:ascii="Verdana" w:hAnsi="Verdana" w:cs="Arial"/>
          <w:sz w:val="16"/>
          <w:szCs w:val="16"/>
          <w:lang w:val="es-CR"/>
        </w:rPr>
        <w:t xml:space="preserve"> </w:t>
      </w:r>
      <w:r w:rsidRPr="001E3C83">
        <w:rPr>
          <w:rFonts w:ascii="Verdana" w:hAnsi="Verdana" w:cs="Arial"/>
          <w:sz w:val="16"/>
          <w:szCs w:val="16"/>
          <w:lang w:val="es-CR"/>
        </w:rPr>
        <w:t>Y aún más, el propio Reglamento de la Corte, aprobado por ella misma, emplea el vocablo “caso” en 32 de sus artículos (art</w:t>
      </w:r>
      <w:r w:rsidRPr="00C53468">
        <w:rPr>
          <w:rFonts w:ascii="Verdana" w:hAnsi="Verdana" w:cs="Arial"/>
          <w:sz w:val="16"/>
          <w:szCs w:val="16"/>
          <w:lang w:val="es-CR"/>
        </w:rPr>
        <w:t>ículos</w:t>
      </w:r>
      <w:r w:rsidRPr="001E3C83">
        <w:rPr>
          <w:rFonts w:ascii="Verdana" w:hAnsi="Verdana" w:cs="Arial"/>
          <w:sz w:val="16"/>
          <w:szCs w:val="16"/>
          <w:lang w:val="es-CR"/>
        </w:rPr>
        <w:t xml:space="preserve"> 2.3, 2.17, 16, </w:t>
      </w:r>
      <w:r w:rsidRPr="001E3C83">
        <w:rPr>
          <w:rFonts w:ascii="Verdana" w:hAnsi="Verdana" w:cs="Arial"/>
          <w:bCs/>
          <w:sz w:val="16"/>
          <w:szCs w:val="16"/>
          <w:lang w:val="es-CR"/>
        </w:rPr>
        <w:t xml:space="preserve">17, 19, </w:t>
      </w:r>
      <w:r w:rsidRPr="001E3C83">
        <w:rPr>
          <w:rFonts w:ascii="Verdana" w:hAnsi="Verdana" w:cs="Arial"/>
          <w:sz w:val="16"/>
          <w:szCs w:val="16"/>
          <w:lang w:val="es-CR"/>
        </w:rPr>
        <w:t xml:space="preserve"> </w:t>
      </w:r>
      <w:r w:rsidRPr="001E3C83">
        <w:rPr>
          <w:rFonts w:ascii="Verdana" w:hAnsi="Verdana" w:cs="Arial"/>
          <w:bCs/>
          <w:sz w:val="16"/>
          <w:szCs w:val="16"/>
          <w:lang w:val="es-CR"/>
        </w:rPr>
        <w:t xml:space="preserve">20, </w:t>
      </w:r>
      <w:r w:rsidRPr="001E3C83">
        <w:rPr>
          <w:rFonts w:ascii="Verdana" w:hAnsi="Verdana" w:cs="Arial"/>
          <w:sz w:val="16"/>
          <w:szCs w:val="16"/>
          <w:lang w:val="es-CR"/>
        </w:rPr>
        <w:t xml:space="preserve"> </w:t>
      </w:r>
      <w:r w:rsidRPr="001E3C83">
        <w:rPr>
          <w:rFonts w:ascii="Verdana" w:hAnsi="Verdana" w:cs="Arial"/>
          <w:bCs/>
          <w:sz w:val="16"/>
          <w:szCs w:val="16"/>
          <w:lang w:val="es-CR"/>
        </w:rPr>
        <w:t xml:space="preserve">21, 22, 23, </w:t>
      </w:r>
      <w:r w:rsidRPr="001E3C83">
        <w:rPr>
          <w:rFonts w:ascii="Verdana" w:hAnsi="Verdana" w:cs="Arial"/>
          <w:sz w:val="16"/>
          <w:szCs w:val="16"/>
          <w:lang w:val="es-CR"/>
        </w:rPr>
        <w:t xml:space="preserve"> </w:t>
      </w:r>
      <w:r w:rsidRPr="001E3C83">
        <w:rPr>
          <w:rFonts w:ascii="Verdana" w:hAnsi="Verdana" w:cs="Arial"/>
          <w:bCs/>
          <w:sz w:val="16"/>
          <w:szCs w:val="16"/>
          <w:lang w:val="es-CR"/>
        </w:rPr>
        <w:t>25, 26,</w:t>
      </w:r>
      <w:r w:rsidRPr="001E3C83">
        <w:rPr>
          <w:rFonts w:ascii="Verdana" w:hAnsi="Verdana" w:cs="Arial"/>
          <w:sz w:val="16"/>
          <w:szCs w:val="16"/>
          <w:lang w:val="es-CR"/>
        </w:rPr>
        <w:t xml:space="preserve"> 27.3, </w:t>
      </w:r>
      <w:r w:rsidRPr="001E3C83">
        <w:rPr>
          <w:rFonts w:ascii="Verdana" w:hAnsi="Verdana" w:cs="Arial"/>
          <w:bCs/>
          <w:sz w:val="16"/>
          <w:szCs w:val="16"/>
          <w:lang w:val="es-CR"/>
        </w:rPr>
        <w:t xml:space="preserve">30, </w:t>
      </w:r>
      <w:r w:rsidRPr="001E3C83">
        <w:rPr>
          <w:rFonts w:ascii="Verdana" w:hAnsi="Verdana" w:cs="Arial"/>
          <w:sz w:val="16"/>
          <w:szCs w:val="16"/>
          <w:lang w:val="es-CR"/>
        </w:rPr>
        <w:t xml:space="preserve"> </w:t>
      </w:r>
      <w:r w:rsidRPr="001E3C83">
        <w:rPr>
          <w:rFonts w:ascii="Verdana" w:hAnsi="Verdana" w:cs="Arial"/>
          <w:bCs/>
          <w:sz w:val="16"/>
          <w:szCs w:val="16"/>
          <w:lang w:val="es-CR"/>
        </w:rPr>
        <w:t xml:space="preserve">32, 34, </w:t>
      </w:r>
      <w:r w:rsidRPr="001E3C83">
        <w:rPr>
          <w:rFonts w:ascii="Verdana" w:hAnsi="Verdana" w:cs="Arial"/>
          <w:sz w:val="16"/>
          <w:szCs w:val="16"/>
          <w:lang w:val="es-CR"/>
        </w:rPr>
        <w:t xml:space="preserve"> </w:t>
      </w:r>
      <w:r w:rsidRPr="001E3C83">
        <w:rPr>
          <w:rFonts w:ascii="Verdana" w:hAnsi="Verdana" w:cs="Arial"/>
          <w:bCs/>
          <w:sz w:val="16"/>
          <w:szCs w:val="16"/>
          <w:lang w:val="es-CR"/>
        </w:rPr>
        <w:t xml:space="preserve">35, 36, 37, 38, </w:t>
      </w:r>
      <w:r w:rsidRPr="001E3C83">
        <w:rPr>
          <w:rFonts w:ascii="Verdana" w:hAnsi="Verdana" w:cs="Arial"/>
          <w:sz w:val="16"/>
          <w:szCs w:val="16"/>
          <w:lang w:val="es-CR"/>
        </w:rPr>
        <w:t xml:space="preserve"> </w:t>
      </w:r>
      <w:r w:rsidRPr="001E3C83">
        <w:rPr>
          <w:rFonts w:ascii="Verdana" w:hAnsi="Verdana" w:cs="Arial"/>
          <w:bCs/>
          <w:sz w:val="16"/>
          <w:szCs w:val="16"/>
          <w:lang w:val="es-CR"/>
        </w:rPr>
        <w:t xml:space="preserve">39.1, 39.2, 39.4, 40.1, 40.2,  41.2, </w:t>
      </w:r>
      <w:r w:rsidRPr="001E3C83">
        <w:rPr>
          <w:rFonts w:ascii="Verdana" w:hAnsi="Verdana" w:cs="Arial"/>
          <w:sz w:val="16"/>
          <w:szCs w:val="16"/>
          <w:lang w:val="es-CR"/>
        </w:rPr>
        <w:t xml:space="preserve"> </w:t>
      </w:r>
      <w:r w:rsidRPr="001E3C83">
        <w:rPr>
          <w:rFonts w:ascii="Verdana" w:hAnsi="Verdana" w:cs="Arial"/>
          <w:bCs/>
          <w:sz w:val="16"/>
          <w:szCs w:val="16"/>
          <w:lang w:val="es-CR"/>
        </w:rPr>
        <w:t xml:space="preserve">42.6, </w:t>
      </w:r>
      <w:r w:rsidRPr="001E3C83">
        <w:rPr>
          <w:rFonts w:ascii="Verdana" w:hAnsi="Verdana" w:cs="Arial"/>
          <w:sz w:val="16"/>
          <w:szCs w:val="16"/>
          <w:lang w:val="es-CR"/>
        </w:rPr>
        <w:t xml:space="preserve"> </w:t>
      </w:r>
      <w:r w:rsidRPr="001E3C83">
        <w:rPr>
          <w:rFonts w:ascii="Verdana" w:hAnsi="Verdana" w:cs="Arial"/>
          <w:bCs/>
          <w:sz w:val="16"/>
          <w:szCs w:val="16"/>
          <w:lang w:val="es-CR"/>
        </w:rPr>
        <w:t xml:space="preserve">43, 44.1, 44.3, 48.1, incisos b, d </w:t>
      </w:r>
      <w:r w:rsidRPr="00C53468">
        <w:rPr>
          <w:rFonts w:ascii="Verdana" w:hAnsi="Verdana" w:cs="Arial"/>
          <w:bCs/>
          <w:sz w:val="16"/>
          <w:szCs w:val="16"/>
          <w:lang w:val="es-CR"/>
        </w:rPr>
        <w:t xml:space="preserve">y </w:t>
      </w:r>
      <w:r w:rsidRPr="001E3C83">
        <w:rPr>
          <w:rFonts w:ascii="Verdana" w:hAnsi="Verdana" w:cs="Arial"/>
          <w:bCs/>
          <w:sz w:val="16"/>
          <w:szCs w:val="16"/>
          <w:lang w:val="es-CR"/>
        </w:rPr>
        <w:t>e, 51.1 y 51.10)</w:t>
      </w:r>
      <w:r w:rsidRPr="001E3C83">
        <w:rPr>
          <w:rFonts w:ascii="Verdana" w:hAnsi="Verdana" w:cs="Arial"/>
          <w:sz w:val="16"/>
          <w:szCs w:val="16"/>
          <w:vertAlign w:val="superscript"/>
          <w:lang w:val="es-CR"/>
        </w:rPr>
        <w:t xml:space="preserve"> </w:t>
      </w:r>
      <w:r w:rsidRPr="001E3C83">
        <w:rPr>
          <w:rFonts w:ascii="Verdana" w:hAnsi="Verdana" w:cs="Arial"/>
          <w:sz w:val="16"/>
          <w:szCs w:val="16"/>
          <w:lang w:val="es-CR"/>
        </w:rPr>
        <w:t>y solo en uno, precisamente el artículo 27.2, relativo a las medidas provisionales decretadas a solicitud de la Comisión, utiliza el término “asunto”.</w:t>
      </w:r>
    </w:p>
  </w:footnote>
  <w:footnote w:id="19">
    <w:p w14:paraId="27273880" w14:textId="77777777" w:rsidR="00063DC3" w:rsidRPr="001E3C83" w:rsidRDefault="00063DC3" w:rsidP="00F7745F">
      <w:pPr>
        <w:pStyle w:val="NormalWeb"/>
        <w:spacing w:before="0" w:beforeAutospacing="0" w:after="0" w:afterAutospacing="0"/>
        <w:jc w:val="both"/>
        <w:rPr>
          <w:rFonts w:ascii="Verdana" w:hAnsi="Verdana"/>
          <w:i/>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1E3C83">
        <w:rPr>
          <w:rFonts w:ascii="Verdana" w:hAnsi="Verdana" w:cs="Tahoma"/>
          <w:i/>
          <w:sz w:val="16"/>
          <w:szCs w:val="16"/>
          <w:lang w:val="es-CR"/>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20">
    <w:p w14:paraId="26AF4B10" w14:textId="77777777" w:rsidR="00063DC3" w:rsidRPr="001E3C83" w:rsidRDefault="00063DC3" w:rsidP="00F7745F">
      <w:pPr>
        <w:pStyle w:val="NormalWeb"/>
        <w:spacing w:before="0" w:beforeAutospacing="0" w:after="0" w:afterAutospacing="0"/>
        <w:jc w:val="both"/>
        <w:rPr>
          <w:rFonts w:ascii="Verdana" w:hAnsi="Verdana" w:cs="Tahoma"/>
          <w:i/>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1E3C83">
        <w:rPr>
          <w:rFonts w:ascii="Verdana" w:hAnsi="Verdana" w:cs="Tahoma"/>
          <w:i/>
          <w:sz w:val="16"/>
          <w:szCs w:val="16"/>
          <w:lang w:val="es-CR"/>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1">
    <w:p w14:paraId="2DDF6002" w14:textId="77777777" w:rsidR="007A2C32" w:rsidRPr="007A2C32" w:rsidRDefault="007A2C32">
      <w:pPr>
        <w:pStyle w:val="FootnoteText"/>
        <w:rPr>
          <w:lang w:val="es-CL"/>
        </w:rPr>
      </w:pPr>
      <w:r>
        <w:rPr>
          <w:rStyle w:val="FootnoteReference"/>
        </w:rPr>
        <w:footnoteRef/>
      </w:r>
      <w:r w:rsidRPr="001E3C83">
        <w:rPr>
          <w:lang w:val="es-CR"/>
        </w:rPr>
        <w:t xml:space="preserve"> </w:t>
      </w:r>
      <w:r>
        <w:rPr>
          <w:lang w:val="es-CL"/>
        </w:rPr>
        <w:t>En adelante, la Comisión.</w:t>
      </w:r>
    </w:p>
  </w:footnote>
  <w:footnote w:id="22">
    <w:p w14:paraId="6D72F33B" w14:textId="77777777" w:rsidR="00063DC3" w:rsidRPr="001E3C83" w:rsidRDefault="00063DC3" w:rsidP="00F7745F">
      <w:pPr>
        <w:spacing w:after="0"/>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C53468">
        <w:rPr>
          <w:rFonts w:ascii="Verdana" w:hAnsi="Verdana"/>
          <w:sz w:val="16"/>
          <w:szCs w:val="16"/>
          <w:lang w:val="es-ES"/>
        </w:rPr>
        <w:t xml:space="preserve">Art. </w:t>
      </w:r>
      <w:r w:rsidR="00C53468" w:rsidRPr="001E3C83">
        <w:rPr>
          <w:rFonts w:ascii="Verdana" w:hAnsi="Verdana"/>
          <w:sz w:val="16"/>
          <w:szCs w:val="16"/>
          <w:lang w:val="es-CR"/>
        </w:rPr>
        <w:t>27:</w:t>
      </w:r>
      <w:r w:rsidRPr="001E3C83">
        <w:rPr>
          <w:rFonts w:ascii="Verdana" w:hAnsi="Verdana"/>
          <w:i/>
          <w:sz w:val="16"/>
          <w:szCs w:val="16"/>
          <w:lang w:val="es-CR"/>
        </w:rPr>
        <w:t>”1. En cualquier estado del procedimiento, siempre que se trate de casos de extrema gravedad y urgencia y cuando sea necesario para evitar daños irreparables a las personas, la Corte, de oficio, podrá ordenar las medidas provisionales que considere pertinentes, en los términos del artículo 63.2 de la Convención.</w:t>
      </w:r>
    </w:p>
    <w:p w14:paraId="6DEA1BB6" w14:textId="77777777" w:rsidR="00063DC3" w:rsidRPr="00C53468" w:rsidRDefault="00063DC3" w:rsidP="00F7745F">
      <w:pPr>
        <w:pStyle w:val="FootnoteText"/>
        <w:rPr>
          <w:rFonts w:ascii="Verdana" w:hAnsi="Verdana"/>
          <w:i/>
          <w:sz w:val="16"/>
          <w:szCs w:val="16"/>
          <w:lang w:val="es-CR"/>
        </w:rPr>
      </w:pPr>
      <w:r w:rsidRPr="001E3C83">
        <w:rPr>
          <w:rFonts w:ascii="Verdana" w:hAnsi="Verdana"/>
          <w:i/>
          <w:sz w:val="16"/>
          <w:szCs w:val="16"/>
          <w:lang w:val="es-CR"/>
        </w:rPr>
        <w:t>2. Si se tratare de asuntos aún no sometidos a su conocimiento, la Corte podrá actuar a solicitud de la Comisión”</w:t>
      </w:r>
      <w:r w:rsidRPr="00C53468">
        <w:rPr>
          <w:rFonts w:ascii="Verdana" w:hAnsi="Verdana"/>
          <w:i/>
          <w:sz w:val="16"/>
          <w:szCs w:val="16"/>
          <w:lang w:val="es-CR"/>
        </w:rPr>
        <w:t>.</w:t>
      </w:r>
    </w:p>
  </w:footnote>
  <w:footnote w:id="23">
    <w:p w14:paraId="493609EE" w14:textId="63E2FA0F" w:rsidR="00063DC3" w:rsidRPr="001E3C83" w:rsidRDefault="00063DC3" w:rsidP="00F7745F">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1E3C83">
        <w:rPr>
          <w:rFonts w:ascii="Verdana" w:hAnsi="Verdana"/>
          <w:i/>
          <w:sz w:val="16"/>
          <w:szCs w:val="16"/>
          <w:lang w:val="es-CR"/>
        </w:rPr>
        <w:t>Supra</w:t>
      </w:r>
      <w:r w:rsidRPr="001E3C83">
        <w:rPr>
          <w:rFonts w:ascii="Verdana" w:hAnsi="Verdana"/>
          <w:sz w:val="16"/>
          <w:szCs w:val="16"/>
          <w:lang w:val="es-CR"/>
        </w:rPr>
        <w:t xml:space="preserve">, Nota N° </w:t>
      </w:r>
      <w:r w:rsidR="00205592">
        <w:rPr>
          <w:rFonts w:ascii="Verdana" w:hAnsi="Verdana"/>
          <w:sz w:val="16"/>
          <w:szCs w:val="16"/>
          <w:lang w:val="es-CR"/>
        </w:rPr>
        <w:t>3</w:t>
      </w:r>
      <w:r w:rsidRPr="001E3C83">
        <w:rPr>
          <w:rFonts w:ascii="Verdana" w:hAnsi="Verdana"/>
          <w:sz w:val="16"/>
          <w:szCs w:val="16"/>
          <w:lang w:val="es-CR"/>
        </w:rPr>
        <w:t>.</w:t>
      </w:r>
    </w:p>
  </w:footnote>
  <w:footnote w:id="24">
    <w:p w14:paraId="3927D032" w14:textId="77777777" w:rsidR="00063DC3" w:rsidRPr="001E3C83" w:rsidRDefault="00063DC3" w:rsidP="00F7745F">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Art. 63.2.</w:t>
      </w:r>
    </w:p>
  </w:footnote>
  <w:footnote w:id="25">
    <w:p w14:paraId="476AD4BF" w14:textId="77777777" w:rsidR="00063DC3" w:rsidRPr="001E3C83" w:rsidRDefault="00063DC3" w:rsidP="00F7745F">
      <w:pPr>
        <w:spacing w:after="0"/>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1E3C83">
        <w:rPr>
          <w:rFonts w:ascii="Verdana" w:hAnsi="Verdana" w:cs="Tahoma"/>
          <w:i/>
          <w:sz w:val="16"/>
          <w:szCs w:val="16"/>
          <w:lang w:val="es-CR"/>
        </w:rPr>
        <w:t>“El fallo de la Corte será definitivo e inapelable</w:t>
      </w:r>
      <w:r w:rsidRPr="001E3C83">
        <w:rPr>
          <w:rFonts w:ascii="Verdana" w:hAnsi="Verdana" w:cs="Tahoma"/>
          <w:sz w:val="16"/>
          <w:szCs w:val="16"/>
          <w:lang w:val="es-CR"/>
        </w:rPr>
        <w:t>”.</w:t>
      </w:r>
    </w:p>
  </w:footnote>
  <w:footnote w:id="26">
    <w:p w14:paraId="68708145" w14:textId="77777777" w:rsidR="00063DC3" w:rsidRPr="00C53468" w:rsidRDefault="00063DC3" w:rsidP="00F7745F">
      <w:pPr>
        <w:pStyle w:val="FootnoteText"/>
        <w:rPr>
          <w:rFonts w:ascii="Verdana" w:hAnsi="Verdana" w:cs="Arial"/>
          <w:i/>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C53468">
        <w:rPr>
          <w:rFonts w:ascii="Verdana" w:hAnsi="Verdana"/>
          <w:sz w:val="16"/>
          <w:szCs w:val="16"/>
          <w:lang w:val="es-ES"/>
        </w:rPr>
        <w:t xml:space="preserve">Artículo </w:t>
      </w:r>
      <w:r w:rsidRPr="00C53468">
        <w:rPr>
          <w:rFonts w:ascii="Verdana" w:hAnsi="Verdana" w:cs="Arial"/>
          <w:sz w:val="16"/>
          <w:szCs w:val="16"/>
          <w:lang w:val="es-CR"/>
        </w:rPr>
        <w:t>66 del Reglamento de la Corte:</w:t>
      </w:r>
      <w:r w:rsidRPr="00C53468">
        <w:rPr>
          <w:rFonts w:ascii="Verdana" w:hAnsi="Verdana" w:cs="Arial"/>
          <w:i/>
          <w:sz w:val="16"/>
          <w:szCs w:val="16"/>
          <w:lang w:val="es-CR"/>
        </w:rPr>
        <w:t xml:space="preserve"> “1. Cuando en la sentencia de fondo no se hubiere decidido específicamente sobre reparaciones y costas, la Corte fijará la oportunidad para su posterior decisión y determinará el procedimiento.  </w:t>
      </w:r>
    </w:p>
    <w:p w14:paraId="3F1C24C2" w14:textId="77777777" w:rsidR="00063DC3" w:rsidRPr="00C53468" w:rsidRDefault="00063DC3" w:rsidP="00F7745F">
      <w:pPr>
        <w:pStyle w:val="FootnoteText"/>
        <w:rPr>
          <w:rFonts w:ascii="Verdana" w:hAnsi="Verdana" w:cs="Arial"/>
          <w:sz w:val="16"/>
          <w:szCs w:val="16"/>
          <w:lang w:val="es-CR"/>
        </w:rPr>
      </w:pPr>
      <w:r w:rsidRPr="00C53468">
        <w:rPr>
          <w:rFonts w:ascii="Verdana" w:hAnsi="Verdana" w:cs="Arial"/>
          <w:i/>
          <w:sz w:val="16"/>
          <w:szCs w:val="16"/>
          <w:lang w:val="es-CR"/>
        </w:rPr>
        <w:t>2. Si la Corte fuere informada de que las víctimas o sus representantes y el Estado demandado y, en su caso, el Estado demandante, han llegado a un acuerdo respecto al cumplimiento de la sentencia sobre el fondo, verificará que el acuerdo sea conforme con la Convención y dispondrá lo conducente”.</w:t>
      </w:r>
      <w:r w:rsidRPr="00C53468">
        <w:rPr>
          <w:rFonts w:ascii="Verdana" w:hAnsi="Verdana" w:cs="Arial"/>
          <w:sz w:val="16"/>
          <w:szCs w:val="16"/>
          <w:lang w:val="es-CR"/>
        </w:rPr>
        <w:t xml:space="preserve"> </w:t>
      </w:r>
    </w:p>
  </w:footnote>
  <w:footnote w:id="27">
    <w:p w14:paraId="35BB0782" w14:textId="77777777" w:rsidR="00063DC3" w:rsidRPr="001E3C83" w:rsidRDefault="00063DC3" w:rsidP="00F7745F">
      <w:pPr>
        <w:pStyle w:val="FootnoteText"/>
        <w:rPr>
          <w:rFonts w:ascii="Verdana" w:hAnsi="Verdana" w:cs="Tahoma"/>
          <w:i/>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C53468">
        <w:rPr>
          <w:rFonts w:ascii="Verdana" w:hAnsi="Verdana" w:cs="Arial"/>
          <w:sz w:val="16"/>
          <w:szCs w:val="16"/>
          <w:lang w:val="es-CR"/>
        </w:rPr>
        <w:t>Artículo 67, segunda frase:</w:t>
      </w:r>
      <w:r w:rsidRPr="001E3C83">
        <w:rPr>
          <w:rFonts w:ascii="Verdana" w:hAnsi="Verdana" w:cs="Tahoma"/>
          <w:sz w:val="16"/>
          <w:szCs w:val="16"/>
          <w:lang w:val="es-CR"/>
        </w:rPr>
        <w:t xml:space="preserve"> “</w:t>
      </w:r>
      <w:r w:rsidRPr="001E3C83">
        <w:rPr>
          <w:rFonts w:ascii="Verdana" w:hAnsi="Verdana" w:cs="Tahoma"/>
          <w:i/>
          <w:sz w:val="16"/>
          <w:szCs w:val="16"/>
          <w:lang w:val="es-CR"/>
        </w:rPr>
        <w:t>En caso de desacuerdo sobre el sentido o alcance del fallo, la Corte lo interpretará a solicitud de cualquiera de las partes, siempre que dicha solicitud se presente dentro de los noventa días a partir de la fecha de la notificación del fallo”.</w:t>
      </w:r>
    </w:p>
  </w:footnote>
  <w:footnote w:id="28">
    <w:p w14:paraId="631BE8AE" w14:textId="77777777" w:rsidR="00063DC3" w:rsidRPr="00C53468" w:rsidRDefault="00063DC3" w:rsidP="00F7745F">
      <w:pPr>
        <w:pStyle w:val="FootnoteText"/>
        <w:rPr>
          <w:rFonts w:ascii="Verdana" w:hAnsi="Verdana" w:cs="Arial"/>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C53468">
        <w:rPr>
          <w:rFonts w:ascii="Verdana" w:hAnsi="Verdana" w:cs="Arial"/>
          <w:sz w:val="16"/>
          <w:szCs w:val="16"/>
          <w:lang w:val="es-CR"/>
        </w:rPr>
        <w:t xml:space="preserve">Artículo 76 del Reglamento de la Corte: </w:t>
      </w:r>
      <w:r w:rsidRPr="001E3C83">
        <w:rPr>
          <w:rFonts w:ascii="Verdana" w:hAnsi="Verdana"/>
          <w:i/>
          <w:sz w:val="16"/>
          <w:szCs w:val="16"/>
          <w:lang w:val="es-CR"/>
        </w:rPr>
        <w:t>“</w:t>
      </w:r>
      <w:r w:rsidRPr="00C53468">
        <w:rPr>
          <w:rFonts w:ascii="Verdana" w:hAnsi="Verdana" w:cs="Arial"/>
          <w:i/>
          <w:sz w:val="16"/>
          <w:szCs w:val="16"/>
          <w:lang w:val="es-CR"/>
        </w:rPr>
        <w:t>La Corte podrá, a iniciativa propia o a solicitud de parte, presentada dentro del mes siguiente a la notificación de la sentencia o resolución de que se trate, rectificar errores notorios, de edición o de cálculo. De efectuarse alguna rectificación la Corte la notificará a la Comisión, a las víctimas o sus representantes, al Estado demandado y, en su caso, al Estado demandante”.</w:t>
      </w:r>
    </w:p>
  </w:footnote>
  <w:footnote w:id="29">
    <w:p w14:paraId="40BA4EFA" w14:textId="77777777" w:rsidR="00063DC3" w:rsidRPr="00C53468" w:rsidRDefault="00063DC3" w:rsidP="00F7745F">
      <w:pPr>
        <w:pStyle w:val="FootnoteText"/>
        <w:rPr>
          <w:rFonts w:ascii="Verdana" w:hAnsi="Verdana"/>
          <w:sz w:val="16"/>
          <w:szCs w:val="16"/>
          <w:lang w:val="es-ES"/>
        </w:rPr>
      </w:pPr>
      <w:r w:rsidRPr="00C53468">
        <w:rPr>
          <w:rStyle w:val="FootnoteReference"/>
          <w:rFonts w:ascii="Verdana" w:hAnsi="Verdana"/>
          <w:sz w:val="16"/>
          <w:szCs w:val="16"/>
        </w:rPr>
        <w:footnoteRef/>
      </w:r>
      <w:r w:rsidRPr="007F224B">
        <w:rPr>
          <w:rFonts w:ascii="Verdana" w:hAnsi="Verdana"/>
          <w:sz w:val="16"/>
          <w:szCs w:val="16"/>
          <w:lang w:val="es-CR"/>
        </w:rPr>
        <w:t xml:space="preserve"> </w:t>
      </w:r>
      <w:r w:rsidRPr="00C53468">
        <w:rPr>
          <w:rFonts w:ascii="Verdana" w:hAnsi="Verdana"/>
          <w:sz w:val="16"/>
          <w:szCs w:val="16"/>
          <w:lang w:val="es-ES"/>
        </w:rPr>
        <w:t xml:space="preserve">Artículo 69 del Reglamento: </w:t>
      </w:r>
      <w:r w:rsidRPr="00C53468">
        <w:rPr>
          <w:rFonts w:ascii="Verdana" w:hAnsi="Verdana" w:cs="Arial"/>
          <w:i/>
          <w:sz w:val="16"/>
          <w:szCs w:val="16"/>
          <w:lang w:val="es-CR"/>
        </w:rPr>
        <w:t xml:space="preserve">“1. La supervisión de las sentencias y demás decisiones de la Corte se realizará mediante la presentación de informes estatales y de las correspondientes observaciones a dichos informes por parte de las víctimas o sus representantes. La Comisión deberá presentar observaciones al informe del Estado y a las observaciones de las víctimas o sus representantes. </w:t>
      </w:r>
    </w:p>
    <w:p w14:paraId="467498A6" w14:textId="77777777" w:rsidR="00063DC3" w:rsidRPr="00C53468" w:rsidRDefault="00063DC3" w:rsidP="00F7745F">
      <w:pPr>
        <w:pStyle w:val="FootnoteText"/>
        <w:rPr>
          <w:rFonts w:ascii="Verdana" w:hAnsi="Verdana" w:cs="Arial"/>
          <w:i/>
          <w:sz w:val="16"/>
          <w:szCs w:val="16"/>
          <w:lang w:val="es-CR"/>
        </w:rPr>
      </w:pPr>
      <w:r w:rsidRPr="00C53468">
        <w:rPr>
          <w:rFonts w:ascii="Verdana" w:hAnsi="Verdana" w:cs="Arial"/>
          <w:i/>
          <w:sz w:val="16"/>
          <w:szCs w:val="16"/>
          <w:lang w:val="es-CR"/>
        </w:rPr>
        <w:t xml:space="preserve">2. La Corte podrá requerir a otras fuentes de información datos relevantes sobre el caso, que permitan apreciar el cumplimiento. Para los mismos efectos podrá también requerir los peritajes e informes que considere oportunos. </w:t>
      </w:r>
    </w:p>
    <w:p w14:paraId="0210EB41" w14:textId="77777777" w:rsidR="00063DC3" w:rsidRPr="00C53468" w:rsidRDefault="00063DC3" w:rsidP="00F7745F">
      <w:pPr>
        <w:pStyle w:val="FootnoteText"/>
        <w:rPr>
          <w:rFonts w:ascii="Verdana" w:hAnsi="Verdana" w:cs="Arial"/>
          <w:i/>
          <w:sz w:val="16"/>
          <w:szCs w:val="16"/>
          <w:lang w:val="es-CR"/>
        </w:rPr>
      </w:pPr>
      <w:r w:rsidRPr="00C53468">
        <w:rPr>
          <w:rFonts w:ascii="Verdana" w:hAnsi="Verdana" w:cs="Arial"/>
          <w:i/>
          <w:sz w:val="16"/>
          <w:szCs w:val="16"/>
          <w:lang w:val="es-CR"/>
        </w:rPr>
        <w:t xml:space="preserve">3. Cuando lo considere pertinente, el Tribunal podrá convocar al Estado y a los representantes de las víctimas a una audiencia para supervisar el cumplimiento de sus decisiones, y en ésta escuchará el parecer de la Comisión. </w:t>
      </w:r>
    </w:p>
    <w:p w14:paraId="5E1DD302" w14:textId="77777777" w:rsidR="00063DC3" w:rsidRPr="00C53468" w:rsidRDefault="00063DC3" w:rsidP="00F7745F">
      <w:pPr>
        <w:spacing w:after="0"/>
        <w:rPr>
          <w:rFonts w:ascii="Verdana" w:hAnsi="Verdana"/>
          <w:b/>
          <w:sz w:val="16"/>
          <w:szCs w:val="16"/>
          <w:lang w:val="es-ES"/>
        </w:rPr>
      </w:pPr>
      <w:r w:rsidRPr="00C53468">
        <w:rPr>
          <w:rFonts w:ascii="Verdana" w:hAnsi="Verdana" w:cs="Arial"/>
          <w:i/>
          <w:sz w:val="16"/>
          <w:szCs w:val="16"/>
          <w:lang w:val="es-CR"/>
        </w:rPr>
        <w:t>4. Una vez que el Tribunal cuente con la información pertinente, determinará el estado del cumplimiento de lo resuelto y emitirá las resoluciones que estime pertinentes.</w:t>
      </w:r>
    </w:p>
    <w:p w14:paraId="3934EEFD" w14:textId="77777777" w:rsidR="00063DC3" w:rsidRPr="00C53468" w:rsidRDefault="00063DC3" w:rsidP="00F7745F">
      <w:pPr>
        <w:pStyle w:val="FootnoteText"/>
        <w:rPr>
          <w:rFonts w:ascii="Verdana" w:hAnsi="Verdana" w:cs="Arial"/>
          <w:i/>
          <w:sz w:val="16"/>
          <w:szCs w:val="16"/>
          <w:lang w:val="es-CR"/>
        </w:rPr>
      </w:pPr>
      <w:r w:rsidRPr="00C53468">
        <w:rPr>
          <w:rFonts w:ascii="Verdana" w:hAnsi="Verdana" w:cs="Arial"/>
          <w:i/>
          <w:sz w:val="16"/>
          <w:szCs w:val="16"/>
          <w:lang w:val="es-CR"/>
        </w:rPr>
        <w:t>5. Estas disposiciones se aplican también para casos no sometidos por la Comisión”.</w:t>
      </w:r>
    </w:p>
  </w:footnote>
  <w:footnote w:id="30">
    <w:p w14:paraId="3EC122AC" w14:textId="77777777" w:rsidR="00063DC3" w:rsidRPr="00C53468" w:rsidRDefault="00063DC3" w:rsidP="00F7745F">
      <w:pPr>
        <w:pStyle w:val="FootnoteText"/>
        <w:rPr>
          <w:rFonts w:ascii="Verdana" w:hAnsi="Verdana" w:cs="Tahoma"/>
          <w:i/>
          <w:sz w:val="16"/>
          <w:szCs w:val="16"/>
          <w:lang w:val="es-ES"/>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C53468">
        <w:rPr>
          <w:rFonts w:ascii="Verdana" w:hAnsi="Verdana" w:cs="Arial"/>
          <w:sz w:val="16"/>
          <w:szCs w:val="16"/>
          <w:lang w:val="es-CR"/>
        </w:rPr>
        <w:t>Artículo 65</w:t>
      </w:r>
      <w:r w:rsidRPr="001E3C83">
        <w:rPr>
          <w:rFonts w:ascii="Verdana" w:hAnsi="Verdana" w:cs="Arial"/>
          <w:sz w:val="16"/>
          <w:szCs w:val="16"/>
          <w:lang w:val="es-CR"/>
        </w:rPr>
        <w:t xml:space="preserve">: </w:t>
      </w:r>
      <w:r w:rsidRPr="00C53468">
        <w:rPr>
          <w:rFonts w:ascii="Verdana" w:hAnsi="Verdana" w:cs="Arial"/>
          <w:sz w:val="16"/>
          <w:szCs w:val="16"/>
          <w:lang w:val="es-CR"/>
        </w:rPr>
        <w:t>“</w:t>
      </w:r>
      <w:r w:rsidRPr="001E3C83">
        <w:rPr>
          <w:rFonts w:ascii="Verdana" w:hAnsi="Verdana" w:cs="Tahoma"/>
          <w:i/>
          <w:sz w:val="16"/>
          <w:szCs w:val="16"/>
          <w:lang w:val="es-CR"/>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r w:rsidRPr="00C53468">
        <w:rPr>
          <w:rFonts w:ascii="Verdana" w:hAnsi="Verdana" w:cs="Tahoma"/>
          <w:i/>
          <w:sz w:val="16"/>
          <w:szCs w:val="16"/>
          <w:lang w:val="es-ES"/>
        </w:rPr>
        <w:t>.</w:t>
      </w:r>
    </w:p>
    <w:p w14:paraId="125BF442" w14:textId="77777777" w:rsidR="00063DC3" w:rsidRPr="00C53468" w:rsidRDefault="00063DC3" w:rsidP="00F7745F">
      <w:pPr>
        <w:pStyle w:val="FootnoteText"/>
        <w:rPr>
          <w:rFonts w:ascii="Verdana" w:hAnsi="Verdana" w:cs="Times New Roman"/>
          <w:i/>
          <w:sz w:val="16"/>
          <w:szCs w:val="16"/>
          <w:lang w:val="es-ES"/>
        </w:rPr>
      </w:pPr>
      <w:r w:rsidRPr="00C53468">
        <w:rPr>
          <w:rFonts w:ascii="Verdana" w:hAnsi="Verdana" w:cs="Arial"/>
          <w:sz w:val="16"/>
          <w:szCs w:val="16"/>
          <w:lang w:val="es-ES"/>
        </w:rPr>
        <w:t>Artículo</w:t>
      </w:r>
      <w:r w:rsidRPr="00C53468">
        <w:rPr>
          <w:rFonts w:ascii="Verdana" w:hAnsi="Verdana" w:cs="Arial"/>
          <w:sz w:val="16"/>
          <w:szCs w:val="16"/>
          <w:lang w:val="es-CR"/>
        </w:rPr>
        <w:t xml:space="preserve"> 30 del Estatuto de la Corte</w:t>
      </w:r>
      <w:r w:rsidRPr="001E3C83">
        <w:rPr>
          <w:rFonts w:ascii="Verdana" w:hAnsi="Verdana"/>
          <w:sz w:val="16"/>
          <w:szCs w:val="16"/>
          <w:lang w:val="es-CR"/>
        </w:rPr>
        <w:t>:</w:t>
      </w:r>
      <w:r w:rsidRPr="00C53468">
        <w:rPr>
          <w:rFonts w:ascii="Verdana" w:hAnsi="Verdana"/>
          <w:i/>
          <w:sz w:val="16"/>
          <w:szCs w:val="16"/>
          <w:lang w:val="es-CR"/>
        </w:rPr>
        <w:t xml:space="preserve"> “</w:t>
      </w:r>
      <w:r w:rsidRPr="001E3C83">
        <w:rPr>
          <w:rFonts w:ascii="Verdana" w:hAnsi="Verdana"/>
          <w:i/>
          <w:sz w:val="16"/>
          <w:szCs w:val="16"/>
          <w:lang w:val="es-CR"/>
        </w:rPr>
        <w:t>La Corte someterá a la Asamblea General de la OEA, en cada período ordinario de sesiones, un informe de su labor en el año anterior. Señalará los casos en que un Estado no haya dado cumplimiento a sus fallos. Podrá también someter a la Asamblea General de la OEA proposiciones o recomendaciones para el mejoramiento del sistema interamericano de derechos humanos, en lo relacionado con el trabajo de la Corte”</w:t>
      </w:r>
      <w:r w:rsidRPr="00C53468">
        <w:rPr>
          <w:rFonts w:ascii="Verdana" w:hAnsi="Verdana"/>
          <w:i/>
          <w:sz w:val="16"/>
          <w:szCs w:val="16"/>
          <w:lang w:val="es-ES"/>
        </w:rPr>
        <w:t>.</w:t>
      </w:r>
    </w:p>
  </w:footnote>
  <w:footnote w:id="31">
    <w:p w14:paraId="6CB63E4C" w14:textId="32FB4897" w:rsidR="00063DC3" w:rsidRPr="001E3C83" w:rsidRDefault="00063DC3" w:rsidP="00F7745F">
      <w:pPr>
        <w:pStyle w:val="FootnoteText"/>
        <w:rPr>
          <w:rFonts w:ascii="Verdana" w:hAnsi="Verdana"/>
          <w:sz w:val="16"/>
          <w:szCs w:val="16"/>
          <w:lang w:val="pt-BR"/>
        </w:rPr>
      </w:pPr>
      <w:r w:rsidRPr="00C53468">
        <w:rPr>
          <w:rStyle w:val="FootnoteReference"/>
          <w:rFonts w:ascii="Verdana" w:hAnsi="Verdana"/>
          <w:sz w:val="16"/>
          <w:szCs w:val="16"/>
        </w:rPr>
        <w:footnoteRef/>
      </w:r>
      <w:r w:rsidRPr="001E3C83">
        <w:rPr>
          <w:rFonts w:ascii="Verdana" w:hAnsi="Verdana"/>
          <w:sz w:val="16"/>
          <w:szCs w:val="16"/>
          <w:lang w:val="pt-BR"/>
        </w:rPr>
        <w:t xml:space="preserve"> </w:t>
      </w:r>
      <w:r w:rsidRPr="001E3C83">
        <w:rPr>
          <w:rFonts w:ascii="Verdana" w:hAnsi="Verdana"/>
          <w:i/>
          <w:sz w:val="16"/>
          <w:szCs w:val="16"/>
          <w:lang w:val="pt-BR"/>
        </w:rPr>
        <w:t>Supra,</w:t>
      </w:r>
      <w:r w:rsidRPr="001E3C83">
        <w:rPr>
          <w:rFonts w:ascii="Verdana" w:hAnsi="Verdana"/>
          <w:sz w:val="16"/>
          <w:szCs w:val="16"/>
          <w:lang w:val="pt-BR"/>
        </w:rPr>
        <w:t xml:space="preserve"> Nota N° </w:t>
      </w:r>
      <w:r w:rsidR="00205592">
        <w:rPr>
          <w:rFonts w:ascii="Verdana" w:hAnsi="Verdana"/>
          <w:sz w:val="16"/>
          <w:szCs w:val="16"/>
          <w:lang w:val="pt-BR"/>
        </w:rPr>
        <w:t>3</w:t>
      </w:r>
      <w:r w:rsidRPr="001E3C83">
        <w:rPr>
          <w:rFonts w:ascii="Verdana" w:hAnsi="Verdana"/>
          <w:sz w:val="16"/>
          <w:szCs w:val="16"/>
          <w:lang w:val="pt-BR"/>
        </w:rPr>
        <w:t>.</w:t>
      </w:r>
    </w:p>
  </w:footnote>
  <w:footnote w:id="32">
    <w:p w14:paraId="2680DDE6" w14:textId="77777777" w:rsidR="00063DC3" w:rsidRPr="001E3C83" w:rsidRDefault="00063DC3" w:rsidP="00F7745F">
      <w:pPr>
        <w:pStyle w:val="FootnoteText"/>
        <w:rPr>
          <w:rFonts w:ascii="Verdana" w:hAnsi="Verdana"/>
          <w:sz w:val="16"/>
          <w:szCs w:val="16"/>
          <w:lang w:val="pt-BR"/>
        </w:rPr>
      </w:pPr>
      <w:r w:rsidRPr="00C53468">
        <w:rPr>
          <w:rStyle w:val="FootnoteReference"/>
          <w:rFonts w:ascii="Verdana" w:hAnsi="Verdana"/>
          <w:sz w:val="16"/>
          <w:szCs w:val="16"/>
        </w:rPr>
        <w:footnoteRef/>
      </w:r>
      <w:r w:rsidRPr="001E3C83">
        <w:rPr>
          <w:rFonts w:ascii="Verdana" w:hAnsi="Verdana"/>
          <w:sz w:val="16"/>
          <w:szCs w:val="16"/>
          <w:lang w:val="pt-BR"/>
        </w:rPr>
        <w:t xml:space="preserve"> </w:t>
      </w:r>
      <w:r w:rsidR="00AC2E82" w:rsidRPr="001E3C83">
        <w:rPr>
          <w:rFonts w:ascii="Verdana" w:hAnsi="Verdana"/>
          <w:sz w:val="16"/>
          <w:szCs w:val="16"/>
          <w:lang w:val="pt-BR"/>
        </w:rPr>
        <w:t>Art.63.1.</w:t>
      </w:r>
    </w:p>
  </w:footnote>
  <w:footnote w:id="33">
    <w:p w14:paraId="38CD96CC" w14:textId="77777777" w:rsidR="00063DC3" w:rsidRPr="001E3C83" w:rsidRDefault="00063DC3" w:rsidP="00F7745F">
      <w:pPr>
        <w:pStyle w:val="FootnoteText"/>
        <w:rPr>
          <w:rFonts w:ascii="Verdana" w:hAnsi="Verdana"/>
          <w:sz w:val="16"/>
          <w:szCs w:val="16"/>
          <w:lang w:val="pt-BR"/>
        </w:rPr>
      </w:pPr>
      <w:r w:rsidRPr="00C53468">
        <w:rPr>
          <w:rStyle w:val="FootnoteReference"/>
          <w:rFonts w:ascii="Verdana" w:hAnsi="Verdana"/>
          <w:sz w:val="16"/>
          <w:szCs w:val="16"/>
        </w:rPr>
        <w:footnoteRef/>
      </w:r>
      <w:r w:rsidRPr="001E3C83">
        <w:rPr>
          <w:rFonts w:ascii="Verdana" w:hAnsi="Verdana"/>
          <w:sz w:val="16"/>
          <w:szCs w:val="16"/>
          <w:lang w:val="pt-BR"/>
        </w:rPr>
        <w:t xml:space="preserve"> Resolutivo </w:t>
      </w:r>
      <w:r w:rsidR="00AC2E82" w:rsidRPr="001E3C83">
        <w:rPr>
          <w:rFonts w:ascii="Verdana" w:hAnsi="Verdana"/>
          <w:sz w:val="16"/>
          <w:szCs w:val="16"/>
          <w:lang w:val="pt-BR"/>
        </w:rPr>
        <w:t>N°</w:t>
      </w:r>
      <w:r w:rsidRPr="001E3C83">
        <w:rPr>
          <w:rFonts w:ascii="Verdana" w:hAnsi="Verdana"/>
          <w:sz w:val="16"/>
          <w:szCs w:val="16"/>
          <w:lang w:val="pt-BR"/>
        </w:rPr>
        <w:t>1.</w:t>
      </w:r>
    </w:p>
  </w:footnote>
  <w:footnote w:id="34">
    <w:p w14:paraId="421EEC92" w14:textId="304D851F" w:rsidR="00063DC3" w:rsidRPr="001E3C83" w:rsidRDefault="00063DC3" w:rsidP="00F7745F">
      <w:pPr>
        <w:pStyle w:val="FootnoteText"/>
        <w:tabs>
          <w:tab w:val="center" w:pos="4419"/>
        </w:tabs>
        <w:rPr>
          <w:rFonts w:ascii="Verdana" w:hAnsi="Verdana"/>
          <w:sz w:val="16"/>
          <w:szCs w:val="16"/>
          <w:lang w:val="pt-BR"/>
        </w:rPr>
      </w:pPr>
      <w:r w:rsidRPr="00C53468">
        <w:rPr>
          <w:rStyle w:val="FootnoteReference"/>
          <w:rFonts w:ascii="Verdana" w:hAnsi="Verdana"/>
          <w:sz w:val="16"/>
          <w:szCs w:val="16"/>
        </w:rPr>
        <w:footnoteRef/>
      </w:r>
      <w:r w:rsidRPr="001E3C83">
        <w:rPr>
          <w:rFonts w:ascii="Verdana" w:hAnsi="Verdana"/>
          <w:sz w:val="16"/>
          <w:szCs w:val="16"/>
          <w:lang w:val="pt-BR"/>
        </w:rPr>
        <w:t xml:space="preserve"> </w:t>
      </w:r>
      <w:r w:rsidRPr="001E3C83">
        <w:rPr>
          <w:rFonts w:ascii="Verdana" w:hAnsi="Verdana"/>
          <w:i/>
          <w:sz w:val="16"/>
          <w:szCs w:val="16"/>
          <w:lang w:val="pt-BR"/>
        </w:rPr>
        <w:t xml:space="preserve">Supra </w:t>
      </w:r>
      <w:r w:rsidR="004B672E">
        <w:rPr>
          <w:rFonts w:ascii="Verdana" w:hAnsi="Verdana"/>
          <w:sz w:val="16"/>
          <w:szCs w:val="16"/>
          <w:lang w:val="pt-BR"/>
        </w:rPr>
        <w:t>Nota N° 1.</w:t>
      </w:r>
    </w:p>
  </w:footnote>
  <w:footnote w:id="35">
    <w:p w14:paraId="37667C6C" w14:textId="77777777" w:rsidR="00063DC3" w:rsidRPr="001E3C83" w:rsidRDefault="00063DC3" w:rsidP="00F7745F">
      <w:pPr>
        <w:pStyle w:val="FootnoteText"/>
        <w:rPr>
          <w:rFonts w:ascii="Verdana" w:hAnsi="Verdana"/>
          <w:sz w:val="16"/>
          <w:szCs w:val="16"/>
          <w:lang w:val="pt-BR"/>
        </w:rPr>
      </w:pPr>
      <w:r w:rsidRPr="00C53468">
        <w:rPr>
          <w:rStyle w:val="FootnoteReference"/>
          <w:rFonts w:ascii="Verdana" w:hAnsi="Verdana"/>
          <w:sz w:val="16"/>
          <w:szCs w:val="16"/>
        </w:rPr>
        <w:footnoteRef/>
      </w:r>
      <w:r w:rsidRPr="001E3C83">
        <w:rPr>
          <w:rFonts w:ascii="Verdana" w:hAnsi="Verdana"/>
          <w:sz w:val="16"/>
          <w:szCs w:val="16"/>
          <w:lang w:val="pt-BR"/>
        </w:rPr>
        <w:t xml:space="preserve"> Resolutivo N° 1</w:t>
      </w:r>
      <w:r w:rsidR="00334A7C">
        <w:rPr>
          <w:rFonts w:ascii="Verdana" w:hAnsi="Verdana"/>
          <w:sz w:val="16"/>
          <w:szCs w:val="16"/>
          <w:lang w:val="pt-BR"/>
        </w:rPr>
        <w:t>.</w:t>
      </w:r>
    </w:p>
  </w:footnote>
  <w:footnote w:id="36">
    <w:p w14:paraId="71C01DD6" w14:textId="3386F129" w:rsidR="003C6023" w:rsidRPr="004B672E" w:rsidRDefault="003C6023" w:rsidP="00F7745F">
      <w:pPr>
        <w:pStyle w:val="FootnoteText"/>
        <w:rPr>
          <w:rFonts w:ascii="Verdana" w:hAnsi="Verdana"/>
          <w:sz w:val="16"/>
          <w:szCs w:val="16"/>
          <w:lang w:val="es-CR"/>
        </w:rPr>
      </w:pPr>
      <w:r w:rsidRPr="00C53468">
        <w:rPr>
          <w:rStyle w:val="FootnoteReference"/>
          <w:rFonts w:ascii="Verdana" w:hAnsi="Verdana"/>
          <w:sz w:val="16"/>
          <w:szCs w:val="16"/>
        </w:rPr>
        <w:footnoteRef/>
      </w:r>
      <w:r w:rsidRPr="004B672E">
        <w:rPr>
          <w:rFonts w:ascii="Verdana" w:hAnsi="Verdana"/>
          <w:sz w:val="16"/>
          <w:szCs w:val="16"/>
          <w:lang w:val="es-CR"/>
        </w:rPr>
        <w:t xml:space="preserve"> </w:t>
      </w:r>
      <w:r w:rsidR="00334A7C">
        <w:rPr>
          <w:rFonts w:ascii="Verdana" w:hAnsi="Verdana"/>
          <w:sz w:val="16"/>
          <w:szCs w:val="16"/>
          <w:lang w:val="es-CR"/>
        </w:rPr>
        <w:t>Considerando 25.</w:t>
      </w:r>
    </w:p>
  </w:footnote>
  <w:footnote w:id="37">
    <w:p w14:paraId="72459C71" w14:textId="77777777" w:rsidR="00063DC3" w:rsidRPr="001E3C83" w:rsidRDefault="00063DC3" w:rsidP="00F7745F">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Art. 99° de la Constitución Política del Perú: “</w:t>
      </w:r>
      <w:r w:rsidRPr="001E3C83">
        <w:rPr>
          <w:rFonts w:ascii="Verdana" w:hAnsi="Verdana"/>
          <w:i/>
          <w:sz w:val="16"/>
          <w:szCs w:val="16"/>
          <w:lang w:val="es-CR"/>
        </w:rPr>
        <w:t>Corresponde a la Comisión Permanente acusar ante el Congreso: al Presidente de la República; a los representantes a Congreso; a los Ministros de Estado; a los miembros del Tribunal Constitucional; a los miembros del Consejo Nacional de la Magistratura; a los vocales de la Corte Suprema; a los fiscales supremos; al Defensor del Pueblo y al Contralor General por infracción de la Constitución y por todo delito que cometan en el ejercicio de sus funciones y hasta cinco años después de que hayan cesado en éstas</w:t>
      </w:r>
      <w:r w:rsidRPr="001E3C83">
        <w:rPr>
          <w:rFonts w:ascii="Verdana" w:hAnsi="Verdana"/>
          <w:sz w:val="16"/>
          <w:szCs w:val="16"/>
          <w:lang w:val="es-CR"/>
        </w:rPr>
        <w:t xml:space="preserve">”. </w:t>
      </w:r>
    </w:p>
    <w:p w14:paraId="738F8512" w14:textId="77777777" w:rsidR="00334A7C" w:rsidRDefault="00334A7C" w:rsidP="00F7745F">
      <w:pPr>
        <w:pStyle w:val="FootnoteText"/>
        <w:rPr>
          <w:rFonts w:ascii="Verdana" w:hAnsi="Verdana"/>
          <w:i/>
          <w:sz w:val="16"/>
          <w:szCs w:val="16"/>
          <w:lang w:val="es-CR"/>
        </w:rPr>
      </w:pPr>
      <w:r>
        <w:rPr>
          <w:rFonts w:ascii="Verdana" w:hAnsi="Verdana"/>
          <w:sz w:val="16"/>
          <w:szCs w:val="16"/>
          <w:lang w:val="es-CR"/>
        </w:rPr>
        <w:t>Art. 100° del mismo texto: “</w:t>
      </w:r>
      <w:r w:rsidR="00063DC3" w:rsidRPr="001E3C83">
        <w:rPr>
          <w:rFonts w:ascii="Verdana" w:hAnsi="Verdana"/>
          <w:i/>
          <w:sz w:val="16"/>
          <w:szCs w:val="16"/>
          <w:lang w:val="es-CR"/>
        </w:rPr>
        <w:t xml:space="preserve">Corresponde al Congreso, sin participación de la Comisión Permanente, suspender o no al funcionario acusado o inhabilitarlo para el ejercicio de la función pública hasta por diez años, o destituirlo de su función sin perjuicio de cualquiera otra responsabilidad. </w:t>
      </w:r>
    </w:p>
    <w:p w14:paraId="63F104A3" w14:textId="77777777" w:rsidR="00334A7C" w:rsidRDefault="00063DC3" w:rsidP="00F7745F">
      <w:pPr>
        <w:pStyle w:val="FootnoteText"/>
        <w:rPr>
          <w:rFonts w:ascii="Verdana" w:hAnsi="Verdana"/>
          <w:i/>
          <w:sz w:val="16"/>
          <w:szCs w:val="16"/>
          <w:lang w:val="es-CR"/>
        </w:rPr>
      </w:pPr>
      <w:r w:rsidRPr="001E3C83">
        <w:rPr>
          <w:rFonts w:ascii="Verdana" w:hAnsi="Verdana"/>
          <w:i/>
          <w:sz w:val="16"/>
          <w:szCs w:val="16"/>
          <w:lang w:val="es-CR"/>
        </w:rPr>
        <w:t xml:space="preserve">El acusado tiene derecho, en este trámite, a la defensa por sí mismo y con asistencia de abogado ante la Comisión Permanente y ante el Pleno del Congreso. </w:t>
      </w:r>
    </w:p>
    <w:p w14:paraId="304BE038" w14:textId="77777777" w:rsidR="00334A7C" w:rsidRDefault="00063DC3" w:rsidP="00F7745F">
      <w:pPr>
        <w:pStyle w:val="FootnoteText"/>
        <w:rPr>
          <w:rFonts w:ascii="Verdana" w:hAnsi="Verdana"/>
          <w:i/>
          <w:sz w:val="16"/>
          <w:szCs w:val="16"/>
          <w:lang w:val="es-CR"/>
        </w:rPr>
      </w:pPr>
      <w:r w:rsidRPr="001E3C83">
        <w:rPr>
          <w:rFonts w:ascii="Verdana" w:hAnsi="Verdana"/>
          <w:i/>
          <w:sz w:val="16"/>
          <w:szCs w:val="16"/>
          <w:lang w:val="es-CR"/>
        </w:rPr>
        <w:t xml:space="preserve">En caso de resolución acusatoria de contenido penal, el Fiscal de la Nación formula denuncia ante la Corte Suprema en el plazo de cinco días. El Vocal Supremo Penal abre la instrucción correspondiente. </w:t>
      </w:r>
    </w:p>
    <w:p w14:paraId="69E5999C" w14:textId="77777777" w:rsidR="00334A7C" w:rsidRDefault="00063DC3" w:rsidP="00F7745F">
      <w:pPr>
        <w:pStyle w:val="FootnoteText"/>
        <w:rPr>
          <w:rFonts w:ascii="Verdana" w:hAnsi="Verdana"/>
          <w:i/>
          <w:sz w:val="16"/>
          <w:szCs w:val="16"/>
          <w:lang w:val="es-CR"/>
        </w:rPr>
      </w:pPr>
      <w:r w:rsidRPr="001E3C83">
        <w:rPr>
          <w:rFonts w:ascii="Verdana" w:hAnsi="Verdana"/>
          <w:i/>
          <w:sz w:val="16"/>
          <w:szCs w:val="16"/>
          <w:lang w:val="es-CR"/>
        </w:rPr>
        <w:t xml:space="preserve">La sentencia absolutoria de la Corte Suprema devuelve al acusado sus derechos políticos. </w:t>
      </w:r>
    </w:p>
    <w:p w14:paraId="2842EAA3" w14:textId="77777777" w:rsidR="00063DC3" w:rsidRPr="001E3C83" w:rsidRDefault="00063DC3" w:rsidP="00F7745F">
      <w:pPr>
        <w:pStyle w:val="FootnoteText"/>
        <w:rPr>
          <w:rFonts w:ascii="Verdana" w:hAnsi="Verdana"/>
          <w:sz w:val="16"/>
          <w:szCs w:val="16"/>
          <w:lang w:val="es-CR"/>
        </w:rPr>
      </w:pPr>
      <w:r w:rsidRPr="001E3C83">
        <w:rPr>
          <w:rFonts w:ascii="Verdana" w:hAnsi="Verdana"/>
          <w:i/>
          <w:sz w:val="16"/>
          <w:szCs w:val="16"/>
          <w:lang w:val="es-CR"/>
        </w:rPr>
        <w:t>Los términos de la denuncia fiscal y del auto apertorio de instrucción no pueden exceder ni reducir los términos de la acusación del Congreso</w:t>
      </w:r>
      <w:r w:rsidRPr="001E3C83">
        <w:rPr>
          <w:rFonts w:ascii="Verdana" w:hAnsi="Verdana"/>
          <w:sz w:val="16"/>
          <w:szCs w:val="16"/>
          <w:lang w:val="es-CR"/>
        </w:rPr>
        <w:t>”.</w:t>
      </w:r>
    </w:p>
  </w:footnote>
  <w:footnote w:id="38">
    <w:p w14:paraId="2A303773" w14:textId="77777777" w:rsidR="00063DC3" w:rsidRPr="001E3C83" w:rsidRDefault="00063DC3" w:rsidP="00F7745F">
      <w:pPr>
        <w:pStyle w:val="FootnoteText"/>
        <w:rPr>
          <w:rFonts w:ascii="Verdana" w:hAnsi="Verdana"/>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Párr.3° del Preámbulo de la Convención.</w:t>
      </w:r>
    </w:p>
  </w:footnote>
  <w:footnote w:id="39">
    <w:p w14:paraId="16CBEE27" w14:textId="77777777" w:rsidR="00063DC3" w:rsidRPr="009F7831" w:rsidRDefault="00063DC3" w:rsidP="009F7831">
      <w:pPr>
        <w:spacing w:after="0"/>
        <w:rPr>
          <w:rFonts w:ascii="Verdana" w:hAnsi="Verdana"/>
          <w:i/>
          <w:sz w:val="16"/>
          <w:szCs w:val="16"/>
          <w:lang w:val="es-ES"/>
        </w:rPr>
      </w:pPr>
      <w:r w:rsidRPr="00C53468">
        <w:rPr>
          <w:rStyle w:val="FootnoteReference"/>
          <w:rFonts w:ascii="Verdana" w:hAnsi="Verdana"/>
          <w:sz w:val="16"/>
          <w:szCs w:val="16"/>
        </w:rPr>
        <w:footnoteRef/>
      </w:r>
      <w:r w:rsidRPr="009F7831">
        <w:rPr>
          <w:rFonts w:ascii="Verdana" w:hAnsi="Verdana"/>
          <w:sz w:val="16"/>
          <w:szCs w:val="16"/>
          <w:lang w:val="es-CR"/>
        </w:rPr>
        <w:t xml:space="preserve"> Art. 46.1.a): “</w:t>
      </w:r>
      <w:r w:rsidRPr="00C53468">
        <w:rPr>
          <w:rFonts w:ascii="Verdana" w:hAnsi="Verdana"/>
          <w:i/>
          <w:sz w:val="16"/>
          <w:szCs w:val="16"/>
          <w:lang w:val="es-ES"/>
        </w:rPr>
        <w:t>1. Para que una petición o comunicación presentada conforme a los artículos 44 ó 45 sea admitida por la Comisión, se requerirá: a) que se hayan interpuesto y agotado los recursos de jurisdicción interna, conforme a los principios del Derecho Internacional generalmente reconocidos</w:t>
      </w:r>
      <w:r w:rsidRPr="00C53468">
        <w:rPr>
          <w:rFonts w:ascii="Verdana" w:hAnsi="Verdana"/>
          <w:sz w:val="16"/>
          <w:szCs w:val="16"/>
          <w:lang w:val="es-ES"/>
        </w:rPr>
        <w:t>;”</w:t>
      </w:r>
    </w:p>
  </w:footnote>
  <w:footnote w:id="40">
    <w:p w14:paraId="287C0A90" w14:textId="77777777" w:rsidR="00A1797C" w:rsidRPr="00C53468" w:rsidRDefault="00A1797C">
      <w:pPr>
        <w:pStyle w:val="FootnoteText"/>
        <w:rPr>
          <w:rFonts w:ascii="Verdana" w:hAnsi="Verdana"/>
          <w:sz w:val="16"/>
          <w:szCs w:val="16"/>
          <w:lang w:val="es-CL"/>
        </w:rPr>
      </w:pPr>
      <w:r w:rsidRPr="00C53468">
        <w:rPr>
          <w:rStyle w:val="FootnoteReference"/>
          <w:rFonts w:ascii="Verdana" w:hAnsi="Verdana"/>
          <w:sz w:val="16"/>
          <w:szCs w:val="16"/>
        </w:rPr>
        <w:footnoteRef/>
      </w:r>
      <w:r w:rsidRPr="00C53468">
        <w:rPr>
          <w:rFonts w:ascii="Verdana" w:hAnsi="Verdana"/>
          <w:sz w:val="16"/>
          <w:szCs w:val="16"/>
        </w:rPr>
        <w:t xml:space="preserve"> </w:t>
      </w:r>
      <w:r w:rsidRPr="00C53468">
        <w:rPr>
          <w:rFonts w:ascii="Verdana" w:hAnsi="Verdana"/>
          <w:sz w:val="16"/>
          <w:szCs w:val="16"/>
          <w:lang w:val="es-CL"/>
        </w:rPr>
        <w:t>Considerando 14</w:t>
      </w:r>
      <w:r w:rsidR="00FA2F68">
        <w:rPr>
          <w:rFonts w:ascii="Verdana" w:hAnsi="Verdana"/>
          <w:sz w:val="16"/>
          <w:szCs w:val="16"/>
          <w:lang w:val="es-C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D0"/>
    <w:multiLevelType w:val="hybridMultilevel"/>
    <w:tmpl w:val="1FAC52F6"/>
    <w:lvl w:ilvl="0" w:tplc="38AECEC4">
      <w:start w:val="1"/>
      <w:numFmt w:val="lowerLetter"/>
      <w:lvlText w:val="%1."/>
      <w:lvlJc w:val="left"/>
      <w:pPr>
        <w:ind w:left="720" w:hanging="360"/>
      </w:pPr>
      <w:rPr>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0392366B"/>
    <w:multiLevelType w:val="hybridMultilevel"/>
    <w:tmpl w:val="6B7C030C"/>
    <w:lvl w:ilvl="0" w:tplc="F028C7E6">
      <w:start w:val="1"/>
      <w:numFmt w:val="decimal"/>
      <w:lvlText w:val="%1."/>
      <w:lvlJc w:val="left"/>
      <w:pPr>
        <w:ind w:left="1570" w:hanging="360"/>
      </w:pPr>
      <w:rPr>
        <w:rFonts w:hint="default"/>
      </w:rPr>
    </w:lvl>
    <w:lvl w:ilvl="1" w:tplc="340A0019" w:tentative="1">
      <w:start w:val="1"/>
      <w:numFmt w:val="lowerLetter"/>
      <w:lvlText w:val="%2."/>
      <w:lvlJc w:val="left"/>
      <w:pPr>
        <w:ind w:left="2290" w:hanging="360"/>
      </w:pPr>
    </w:lvl>
    <w:lvl w:ilvl="2" w:tplc="340A001B" w:tentative="1">
      <w:start w:val="1"/>
      <w:numFmt w:val="lowerRoman"/>
      <w:lvlText w:val="%3."/>
      <w:lvlJc w:val="right"/>
      <w:pPr>
        <w:ind w:left="3010" w:hanging="180"/>
      </w:pPr>
    </w:lvl>
    <w:lvl w:ilvl="3" w:tplc="340A000F" w:tentative="1">
      <w:start w:val="1"/>
      <w:numFmt w:val="decimal"/>
      <w:lvlText w:val="%4."/>
      <w:lvlJc w:val="left"/>
      <w:pPr>
        <w:ind w:left="3730" w:hanging="360"/>
      </w:pPr>
    </w:lvl>
    <w:lvl w:ilvl="4" w:tplc="340A0019" w:tentative="1">
      <w:start w:val="1"/>
      <w:numFmt w:val="lowerLetter"/>
      <w:lvlText w:val="%5."/>
      <w:lvlJc w:val="left"/>
      <w:pPr>
        <w:ind w:left="4450" w:hanging="360"/>
      </w:pPr>
    </w:lvl>
    <w:lvl w:ilvl="5" w:tplc="340A001B" w:tentative="1">
      <w:start w:val="1"/>
      <w:numFmt w:val="lowerRoman"/>
      <w:lvlText w:val="%6."/>
      <w:lvlJc w:val="right"/>
      <w:pPr>
        <w:ind w:left="5170" w:hanging="180"/>
      </w:pPr>
    </w:lvl>
    <w:lvl w:ilvl="6" w:tplc="340A000F" w:tentative="1">
      <w:start w:val="1"/>
      <w:numFmt w:val="decimal"/>
      <w:lvlText w:val="%7."/>
      <w:lvlJc w:val="left"/>
      <w:pPr>
        <w:ind w:left="5890" w:hanging="360"/>
      </w:pPr>
    </w:lvl>
    <w:lvl w:ilvl="7" w:tplc="340A0019" w:tentative="1">
      <w:start w:val="1"/>
      <w:numFmt w:val="lowerLetter"/>
      <w:lvlText w:val="%8."/>
      <w:lvlJc w:val="left"/>
      <w:pPr>
        <w:ind w:left="6610" w:hanging="360"/>
      </w:pPr>
    </w:lvl>
    <w:lvl w:ilvl="8" w:tplc="340A001B" w:tentative="1">
      <w:start w:val="1"/>
      <w:numFmt w:val="lowerRoman"/>
      <w:lvlText w:val="%9."/>
      <w:lvlJc w:val="right"/>
      <w:pPr>
        <w:ind w:left="7330" w:hanging="180"/>
      </w:pPr>
    </w:lvl>
  </w:abstractNum>
  <w:abstractNum w:abstractNumId="2">
    <w:nsid w:val="06B46220"/>
    <w:multiLevelType w:val="hybridMultilevel"/>
    <w:tmpl w:val="C09EF168"/>
    <w:lvl w:ilvl="0" w:tplc="B4800FA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1F48D6"/>
    <w:multiLevelType w:val="hybridMultilevel"/>
    <w:tmpl w:val="94C6FA6C"/>
    <w:lvl w:ilvl="0" w:tplc="E67844F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026812"/>
    <w:multiLevelType w:val="hybridMultilevel"/>
    <w:tmpl w:val="0E589ED2"/>
    <w:lvl w:ilvl="0" w:tplc="88943F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9F7C6C"/>
    <w:multiLevelType w:val="hybridMultilevel"/>
    <w:tmpl w:val="407C3870"/>
    <w:lvl w:ilvl="0" w:tplc="AFD03DA4">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6">
    <w:nsid w:val="1D711F08"/>
    <w:multiLevelType w:val="hybridMultilevel"/>
    <w:tmpl w:val="F20A154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5E85EC8"/>
    <w:multiLevelType w:val="hybridMultilevel"/>
    <w:tmpl w:val="DE22469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8F321C3"/>
    <w:multiLevelType w:val="hybridMultilevel"/>
    <w:tmpl w:val="12EAE6EC"/>
    <w:lvl w:ilvl="0" w:tplc="AC26CF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B6C15C9"/>
    <w:multiLevelType w:val="hybridMultilevel"/>
    <w:tmpl w:val="661228C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F092A87"/>
    <w:multiLevelType w:val="hybridMultilevel"/>
    <w:tmpl w:val="893C46FA"/>
    <w:lvl w:ilvl="0" w:tplc="4A0AB140">
      <w:start w:val="1"/>
      <w:numFmt w:val="decimal"/>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1">
    <w:nsid w:val="355A0751"/>
    <w:multiLevelType w:val="hybridMultilevel"/>
    <w:tmpl w:val="04FA3D4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6C73FA2"/>
    <w:multiLevelType w:val="hybridMultilevel"/>
    <w:tmpl w:val="9BCC744E"/>
    <w:lvl w:ilvl="0" w:tplc="6EB243F4">
      <w:start w:val="1"/>
      <w:numFmt w:val="decimal"/>
      <w:lvlText w:val="%1."/>
      <w:lvlJc w:val="left"/>
      <w:pPr>
        <w:ind w:left="785"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1161E4C"/>
    <w:multiLevelType w:val="hybridMultilevel"/>
    <w:tmpl w:val="59C0894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83B4178"/>
    <w:multiLevelType w:val="hybridMultilevel"/>
    <w:tmpl w:val="4D288E3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9003AD8"/>
    <w:multiLevelType w:val="hybridMultilevel"/>
    <w:tmpl w:val="2864F32E"/>
    <w:lvl w:ilvl="0" w:tplc="7F9864CA">
      <w:start w:val="1"/>
      <w:numFmt w:val="lowerLetter"/>
      <w:lvlText w:val="%1."/>
      <w:lvlJc w:val="left"/>
      <w:pPr>
        <w:ind w:left="1003" w:hanging="360"/>
      </w:pPr>
      <w:rPr>
        <w:rFonts w:hint="default"/>
        <w:b/>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6">
    <w:nsid w:val="49273404"/>
    <w:multiLevelType w:val="hybridMultilevel"/>
    <w:tmpl w:val="32040DAC"/>
    <w:lvl w:ilvl="0" w:tplc="20EEC668">
      <w:start w:val="1"/>
      <w:numFmt w:val="upperLetter"/>
      <w:lvlText w:val="%1."/>
      <w:lvlJc w:val="left"/>
      <w:pPr>
        <w:ind w:left="643" w:hanging="360"/>
      </w:pPr>
      <w:rPr>
        <w:rFonts w:hint="default"/>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17">
    <w:nsid w:val="4DA21160"/>
    <w:multiLevelType w:val="hybridMultilevel"/>
    <w:tmpl w:val="399A5834"/>
    <w:lvl w:ilvl="0" w:tplc="159AF1F8">
      <w:start w:val="2"/>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4E916642"/>
    <w:multiLevelType w:val="hybridMultilevel"/>
    <w:tmpl w:val="0206D718"/>
    <w:lvl w:ilvl="0" w:tplc="5A0E679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55B4300"/>
    <w:multiLevelType w:val="hybridMultilevel"/>
    <w:tmpl w:val="211A2AF6"/>
    <w:lvl w:ilvl="0" w:tplc="F9D62C2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BCC7AE3"/>
    <w:multiLevelType w:val="hybridMultilevel"/>
    <w:tmpl w:val="A19A33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23A19C3"/>
    <w:multiLevelType w:val="hybridMultilevel"/>
    <w:tmpl w:val="38B25AC8"/>
    <w:lvl w:ilvl="0" w:tplc="5EBAA234">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573477C"/>
    <w:multiLevelType w:val="hybridMultilevel"/>
    <w:tmpl w:val="E87C78AC"/>
    <w:lvl w:ilvl="0" w:tplc="7F126D56">
      <w:start w:val="1"/>
      <w:numFmt w:val="decimal"/>
      <w:lvlText w:val="%1."/>
      <w:lvlJc w:val="left"/>
      <w:pPr>
        <w:ind w:left="720" w:hanging="360"/>
      </w:pPr>
      <w:rPr>
        <w:rFonts w:cs="Tahoma"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88F1334"/>
    <w:multiLevelType w:val="hybridMultilevel"/>
    <w:tmpl w:val="D36E98B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8C237C7"/>
    <w:multiLevelType w:val="hybridMultilevel"/>
    <w:tmpl w:val="7B7CA84A"/>
    <w:lvl w:ilvl="0" w:tplc="2416E734">
      <w:start w:val="1"/>
      <w:numFmt w:val="upp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5">
    <w:nsid w:val="68F7125A"/>
    <w:multiLevelType w:val="hybridMultilevel"/>
    <w:tmpl w:val="CF50DE2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EF907FA"/>
    <w:multiLevelType w:val="hybridMultilevel"/>
    <w:tmpl w:val="F5E0521E"/>
    <w:lvl w:ilvl="0" w:tplc="A8486BDA">
      <w:start w:val="1"/>
      <w:numFmt w:val="decimal"/>
      <w:lvlText w:val="%1."/>
      <w:lvlJc w:val="left"/>
      <w:pPr>
        <w:ind w:left="643" w:hanging="360"/>
      </w:pPr>
      <w:rPr>
        <w:rFonts w:hint="default"/>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27">
    <w:nsid w:val="74842EED"/>
    <w:multiLevelType w:val="hybridMultilevel"/>
    <w:tmpl w:val="F1D2C7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64E5355"/>
    <w:multiLevelType w:val="hybridMultilevel"/>
    <w:tmpl w:val="3712390C"/>
    <w:lvl w:ilvl="0" w:tplc="6F6E6842">
      <w:start w:val="1"/>
      <w:numFmt w:val="upperLetter"/>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29">
    <w:nsid w:val="7A902B73"/>
    <w:multiLevelType w:val="hybridMultilevel"/>
    <w:tmpl w:val="33F830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D352ADE"/>
    <w:multiLevelType w:val="hybridMultilevel"/>
    <w:tmpl w:val="831C2B36"/>
    <w:lvl w:ilvl="0" w:tplc="88943F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1"/>
  </w:num>
  <w:num w:numId="5">
    <w:abstractNumId w:val="8"/>
  </w:num>
  <w:num w:numId="6">
    <w:abstractNumId w:val="15"/>
  </w:num>
  <w:num w:numId="7">
    <w:abstractNumId w:val="17"/>
  </w:num>
  <w:num w:numId="8">
    <w:abstractNumId w:val="5"/>
  </w:num>
  <w:num w:numId="9">
    <w:abstractNumId w:val="10"/>
  </w:num>
  <w:num w:numId="10">
    <w:abstractNumId w:val="27"/>
  </w:num>
  <w:num w:numId="11">
    <w:abstractNumId w:val="20"/>
  </w:num>
  <w:num w:numId="12">
    <w:abstractNumId w:val="24"/>
  </w:num>
  <w:num w:numId="13">
    <w:abstractNumId w:val="2"/>
  </w:num>
  <w:num w:numId="14">
    <w:abstractNumId w:val="14"/>
  </w:num>
  <w:num w:numId="15">
    <w:abstractNumId w:val="22"/>
  </w:num>
  <w:num w:numId="16">
    <w:abstractNumId w:val="18"/>
  </w:num>
  <w:num w:numId="17">
    <w:abstractNumId w:val="12"/>
  </w:num>
  <w:num w:numId="18">
    <w:abstractNumId w:val="23"/>
  </w:num>
  <w:num w:numId="19">
    <w:abstractNumId w:val="3"/>
  </w:num>
  <w:num w:numId="20">
    <w:abstractNumId w:val="28"/>
  </w:num>
  <w:num w:numId="21">
    <w:abstractNumId w:val="26"/>
  </w:num>
  <w:num w:numId="22">
    <w:abstractNumId w:val="29"/>
  </w:num>
  <w:num w:numId="23">
    <w:abstractNumId w:val="21"/>
  </w:num>
  <w:num w:numId="24">
    <w:abstractNumId w:val="30"/>
  </w:num>
  <w:num w:numId="25">
    <w:abstractNumId w:val="6"/>
  </w:num>
  <w:num w:numId="26">
    <w:abstractNumId w:val="11"/>
  </w:num>
  <w:num w:numId="27">
    <w:abstractNumId w:val="0"/>
  </w:num>
  <w:num w:numId="28">
    <w:abstractNumId w:val="25"/>
  </w:num>
  <w:num w:numId="29">
    <w:abstractNumId w:val="13"/>
  </w:num>
  <w:num w:numId="30">
    <w:abstractNumId w:val="7"/>
  </w:num>
  <w:num w:numId="31">
    <w:abstractNumId w:val="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R"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PR"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B9"/>
    <w:rsid w:val="00010E5D"/>
    <w:rsid w:val="00015C8E"/>
    <w:rsid w:val="00063DC3"/>
    <w:rsid w:val="00091DC3"/>
    <w:rsid w:val="00096C1B"/>
    <w:rsid w:val="000C268E"/>
    <w:rsid w:val="000C2C40"/>
    <w:rsid w:val="00110AA5"/>
    <w:rsid w:val="00132316"/>
    <w:rsid w:val="00146CA8"/>
    <w:rsid w:val="001E140D"/>
    <w:rsid w:val="001E3C83"/>
    <w:rsid w:val="00205592"/>
    <w:rsid w:val="00253CF0"/>
    <w:rsid w:val="002D3CFA"/>
    <w:rsid w:val="00313282"/>
    <w:rsid w:val="00326A90"/>
    <w:rsid w:val="00334A7C"/>
    <w:rsid w:val="00334B8F"/>
    <w:rsid w:val="00371246"/>
    <w:rsid w:val="00382308"/>
    <w:rsid w:val="003854D3"/>
    <w:rsid w:val="00390FA3"/>
    <w:rsid w:val="003A4BA2"/>
    <w:rsid w:val="003C6023"/>
    <w:rsid w:val="003E0156"/>
    <w:rsid w:val="004365AA"/>
    <w:rsid w:val="00442323"/>
    <w:rsid w:val="004761E2"/>
    <w:rsid w:val="004A1F6E"/>
    <w:rsid w:val="004B672E"/>
    <w:rsid w:val="004C0864"/>
    <w:rsid w:val="004C7C6C"/>
    <w:rsid w:val="00500C26"/>
    <w:rsid w:val="00515C82"/>
    <w:rsid w:val="0056233E"/>
    <w:rsid w:val="005629C4"/>
    <w:rsid w:val="0057496B"/>
    <w:rsid w:val="005A169B"/>
    <w:rsid w:val="005C08DE"/>
    <w:rsid w:val="005D41BA"/>
    <w:rsid w:val="006422BC"/>
    <w:rsid w:val="00692359"/>
    <w:rsid w:val="006929B9"/>
    <w:rsid w:val="006B1362"/>
    <w:rsid w:val="006C5264"/>
    <w:rsid w:val="006D2E26"/>
    <w:rsid w:val="006F23E3"/>
    <w:rsid w:val="00703FF8"/>
    <w:rsid w:val="0072214D"/>
    <w:rsid w:val="00724A76"/>
    <w:rsid w:val="00724E4F"/>
    <w:rsid w:val="00770B53"/>
    <w:rsid w:val="00797B3A"/>
    <w:rsid w:val="007A1956"/>
    <w:rsid w:val="007A2C32"/>
    <w:rsid w:val="007B6FB5"/>
    <w:rsid w:val="007D122B"/>
    <w:rsid w:val="007E22A0"/>
    <w:rsid w:val="007E39BC"/>
    <w:rsid w:val="007F224B"/>
    <w:rsid w:val="00890A7C"/>
    <w:rsid w:val="008941AA"/>
    <w:rsid w:val="008D04B1"/>
    <w:rsid w:val="00967CAF"/>
    <w:rsid w:val="009943A7"/>
    <w:rsid w:val="009D072E"/>
    <w:rsid w:val="009F7831"/>
    <w:rsid w:val="00A1797C"/>
    <w:rsid w:val="00A20832"/>
    <w:rsid w:val="00A317F9"/>
    <w:rsid w:val="00A41725"/>
    <w:rsid w:val="00AA7D68"/>
    <w:rsid w:val="00AC0793"/>
    <w:rsid w:val="00AC29AB"/>
    <w:rsid w:val="00AC2E82"/>
    <w:rsid w:val="00B42A59"/>
    <w:rsid w:val="00B60448"/>
    <w:rsid w:val="00B85907"/>
    <w:rsid w:val="00BD76E8"/>
    <w:rsid w:val="00C456CD"/>
    <w:rsid w:val="00C46EAC"/>
    <w:rsid w:val="00C53468"/>
    <w:rsid w:val="00C60EEB"/>
    <w:rsid w:val="00C87F59"/>
    <w:rsid w:val="00C935A8"/>
    <w:rsid w:val="00C93B6D"/>
    <w:rsid w:val="00C95396"/>
    <w:rsid w:val="00CA659B"/>
    <w:rsid w:val="00CF2EA1"/>
    <w:rsid w:val="00D7031C"/>
    <w:rsid w:val="00D721C9"/>
    <w:rsid w:val="00D817EA"/>
    <w:rsid w:val="00E000C8"/>
    <w:rsid w:val="00E14B40"/>
    <w:rsid w:val="00E41C07"/>
    <w:rsid w:val="00E50393"/>
    <w:rsid w:val="00E53809"/>
    <w:rsid w:val="00E56BA6"/>
    <w:rsid w:val="00E80CD6"/>
    <w:rsid w:val="00EA0B9D"/>
    <w:rsid w:val="00EA1D43"/>
    <w:rsid w:val="00EA4FB7"/>
    <w:rsid w:val="00EA5138"/>
    <w:rsid w:val="00EA70B7"/>
    <w:rsid w:val="00EB274D"/>
    <w:rsid w:val="00EC07ED"/>
    <w:rsid w:val="00EE27FD"/>
    <w:rsid w:val="00EE589D"/>
    <w:rsid w:val="00F14A51"/>
    <w:rsid w:val="00F66283"/>
    <w:rsid w:val="00F7745F"/>
    <w:rsid w:val="00F824FD"/>
    <w:rsid w:val="00FA0B2C"/>
    <w:rsid w:val="00FA2A31"/>
    <w:rsid w:val="00FA2F68"/>
    <w:rsid w:val="00FB6336"/>
    <w:rsid w:val="00FE03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A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48"/>
  </w:style>
  <w:style w:type="paragraph" w:styleId="Heading1">
    <w:name w:val="heading 1"/>
    <w:basedOn w:val="Normal"/>
    <w:next w:val="Normal"/>
    <w:link w:val="Heading1Char"/>
    <w:uiPriority w:val="9"/>
    <w:qFormat/>
    <w:rsid w:val="00B6044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6044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6044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6044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6044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6044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6044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6044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6044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Párrafo de lista1,Colorful List - Accent 11"/>
    <w:basedOn w:val="Normal"/>
    <w:link w:val="ListParagraphChar"/>
    <w:uiPriority w:val="34"/>
    <w:qFormat/>
    <w:rsid w:val="006929B9"/>
    <w:pPr>
      <w:ind w:left="720"/>
      <w:contextualSpacing/>
    </w:p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ootnote text,Ca,FA Fu Car1,Ca Car,C"/>
    <w:basedOn w:val="Normal"/>
    <w:link w:val="FootnoteTextChar"/>
    <w:semiHidden/>
    <w:unhideWhenUsed/>
    <w:rsid w:val="006929B9"/>
    <w:pPr>
      <w:spacing w:after="0"/>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Ca Char,C Char"/>
    <w:basedOn w:val="DefaultParagraphFont"/>
    <w:link w:val="FootnoteText"/>
    <w:semiHidden/>
    <w:rsid w:val="006929B9"/>
    <w:rPr>
      <w:sz w:val="20"/>
      <w:szCs w:val="20"/>
      <w:lang w:val="es-CL"/>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Footnote symbol"/>
    <w:basedOn w:val="DefaultParagraphFont"/>
    <w:link w:val="4GChar"/>
    <w:uiPriority w:val="99"/>
    <w:unhideWhenUsed/>
    <w:qFormat/>
    <w:rsid w:val="006929B9"/>
    <w:rPr>
      <w:vertAlign w:val="superscript"/>
    </w:rPr>
  </w:style>
  <w:style w:type="paragraph" w:styleId="NormalWeb">
    <w:name w:val="Normal (Web)"/>
    <w:basedOn w:val="Normal"/>
    <w:uiPriority w:val="99"/>
    <w:unhideWhenUsed/>
    <w:rsid w:val="006929B9"/>
    <w:pPr>
      <w:spacing w:before="100" w:beforeAutospacing="1" w:after="100" w:afterAutospacing="1"/>
      <w:jc w:val="left"/>
    </w:pPr>
    <w:rPr>
      <w:rFonts w:ascii="Times New Roman" w:eastAsia="Times New Roman" w:hAnsi="Times New Roman" w:cs="Times New Roman"/>
      <w:sz w:val="24"/>
      <w:szCs w:val="24"/>
      <w:lang w:eastAsia="es-CL"/>
    </w:rPr>
  </w:style>
  <w:style w:type="character" w:styleId="Strong">
    <w:name w:val="Strong"/>
    <w:basedOn w:val="DefaultParagraphFont"/>
    <w:uiPriority w:val="22"/>
    <w:qFormat/>
    <w:rsid w:val="00B60448"/>
    <w:rPr>
      <w:b/>
      <w:bCs/>
      <w:color w:val="auto"/>
    </w:rPr>
  </w:style>
  <w:style w:type="character" w:customStyle="1" w:styleId="ListParagraphChar">
    <w:name w:val="List Paragraph Char"/>
    <w:aliases w:val="Footnote Char,Párrafo de lista1 Char,Colorful List - Accent 11 Char"/>
    <w:link w:val="ListParagraph"/>
    <w:uiPriority w:val="34"/>
    <w:locked/>
    <w:rsid w:val="006929B9"/>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6929B9"/>
    <w:pPr>
      <w:spacing w:after="0"/>
    </w:pPr>
    <w:rPr>
      <w:vertAlign w:val="superscript"/>
    </w:rPr>
  </w:style>
  <w:style w:type="character" w:styleId="CommentReference">
    <w:name w:val="annotation reference"/>
    <w:basedOn w:val="DefaultParagraphFont"/>
    <w:uiPriority w:val="99"/>
    <w:semiHidden/>
    <w:unhideWhenUsed/>
    <w:rsid w:val="00A41725"/>
    <w:rPr>
      <w:sz w:val="16"/>
      <w:szCs w:val="16"/>
    </w:rPr>
  </w:style>
  <w:style w:type="paragraph" w:styleId="CommentText">
    <w:name w:val="annotation text"/>
    <w:basedOn w:val="Normal"/>
    <w:link w:val="CommentTextChar"/>
    <w:uiPriority w:val="99"/>
    <w:semiHidden/>
    <w:unhideWhenUsed/>
    <w:rsid w:val="00A41725"/>
    <w:rPr>
      <w:sz w:val="20"/>
      <w:szCs w:val="20"/>
    </w:rPr>
  </w:style>
  <w:style w:type="character" w:customStyle="1" w:styleId="CommentTextChar">
    <w:name w:val="Comment Text Char"/>
    <w:basedOn w:val="DefaultParagraphFont"/>
    <w:link w:val="CommentText"/>
    <w:uiPriority w:val="99"/>
    <w:semiHidden/>
    <w:rsid w:val="00A41725"/>
    <w:rPr>
      <w:sz w:val="20"/>
      <w:szCs w:val="20"/>
      <w:lang w:val="es-CL"/>
    </w:rPr>
  </w:style>
  <w:style w:type="paragraph" w:styleId="CommentSubject">
    <w:name w:val="annotation subject"/>
    <w:basedOn w:val="CommentText"/>
    <w:next w:val="CommentText"/>
    <w:link w:val="CommentSubjectChar"/>
    <w:uiPriority w:val="99"/>
    <w:semiHidden/>
    <w:unhideWhenUsed/>
    <w:rsid w:val="00A41725"/>
    <w:rPr>
      <w:b/>
      <w:bCs/>
    </w:rPr>
  </w:style>
  <w:style w:type="character" w:customStyle="1" w:styleId="CommentSubjectChar">
    <w:name w:val="Comment Subject Char"/>
    <w:basedOn w:val="CommentTextChar"/>
    <w:link w:val="CommentSubject"/>
    <w:uiPriority w:val="99"/>
    <w:semiHidden/>
    <w:rsid w:val="00A41725"/>
    <w:rPr>
      <w:b/>
      <w:bCs/>
      <w:sz w:val="20"/>
      <w:szCs w:val="20"/>
      <w:lang w:val="es-CL"/>
    </w:rPr>
  </w:style>
  <w:style w:type="paragraph" w:styleId="BalloonText">
    <w:name w:val="Balloon Text"/>
    <w:basedOn w:val="Normal"/>
    <w:link w:val="BalloonTextChar"/>
    <w:uiPriority w:val="99"/>
    <w:semiHidden/>
    <w:unhideWhenUsed/>
    <w:rsid w:val="00A417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725"/>
    <w:rPr>
      <w:rFonts w:ascii="Segoe UI" w:hAnsi="Segoe UI" w:cs="Segoe UI"/>
      <w:sz w:val="18"/>
      <w:szCs w:val="18"/>
      <w:lang w:val="es-CL"/>
    </w:rPr>
  </w:style>
  <w:style w:type="paragraph" w:styleId="Header">
    <w:name w:val="header"/>
    <w:basedOn w:val="Normal"/>
    <w:link w:val="HeaderChar"/>
    <w:uiPriority w:val="99"/>
    <w:unhideWhenUsed/>
    <w:rsid w:val="00132316"/>
    <w:pPr>
      <w:tabs>
        <w:tab w:val="center" w:pos="4419"/>
        <w:tab w:val="right" w:pos="8838"/>
      </w:tabs>
      <w:spacing w:after="0"/>
    </w:pPr>
  </w:style>
  <w:style w:type="character" w:customStyle="1" w:styleId="HeaderChar">
    <w:name w:val="Header Char"/>
    <w:basedOn w:val="DefaultParagraphFont"/>
    <w:link w:val="Header"/>
    <w:uiPriority w:val="99"/>
    <w:rsid w:val="00132316"/>
    <w:rPr>
      <w:lang w:val="es-CL"/>
    </w:rPr>
  </w:style>
  <w:style w:type="paragraph" w:styleId="Footer">
    <w:name w:val="footer"/>
    <w:basedOn w:val="Normal"/>
    <w:link w:val="FooterChar"/>
    <w:uiPriority w:val="99"/>
    <w:unhideWhenUsed/>
    <w:rsid w:val="00132316"/>
    <w:pPr>
      <w:tabs>
        <w:tab w:val="center" w:pos="4419"/>
        <w:tab w:val="right" w:pos="8838"/>
      </w:tabs>
      <w:spacing w:after="0"/>
    </w:pPr>
  </w:style>
  <w:style w:type="character" w:customStyle="1" w:styleId="FooterChar">
    <w:name w:val="Footer Char"/>
    <w:basedOn w:val="DefaultParagraphFont"/>
    <w:link w:val="Footer"/>
    <w:uiPriority w:val="99"/>
    <w:rsid w:val="00132316"/>
    <w:rPr>
      <w:lang w:val="es-CL"/>
    </w:rPr>
  </w:style>
  <w:style w:type="character" w:customStyle="1" w:styleId="Heading1Char">
    <w:name w:val="Heading 1 Char"/>
    <w:basedOn w:val="DefaultParagraphFont"/>
    <w:link w:val="Heading1"/>
    <w:uiPriority w:val="9"/>
    <w:rsid w:val="00B6044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6044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6044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6044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6044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6044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60448"/>
    <w:rPr>
      <w:i/>
      <w:iCs/>
    </w:rPr>
  </w:style>
  <w:style w:type="character" w:customStyle="1" w:styleId="Heading8Char">
    <w:name w:val="Heading 8 Char"/>
    <w:basedOn w:val="DefaultParagraphFont"/>
    <w:link w:val="Heading8"/>
    <w:uiPriority w:val="9"/>
    <w:semiHidden/>
    <w:rsid w:val="00B60448"/>
    <w:rPr>
      <w:b/>
      <w:bCs/>
    </w:rPr>
  </w:style>
  <w:style w:type="character" w:customStyle="1" w:styleId="Heading9Char">
    <w:name w:val="Heading 9 Char"/>
    <w:basedOn w:val="DefaultParagraphFont"/>
    <w:link w:val="Heading9"/>
    <w:uiPriority w:val="9"/>
    <w:semiHidden/>
    <w:rsid w:val="00B60448"/>
    <w:rPr>
      <w:i/>
      <w:iCs/>
    </w:rPr>
  </w:style>
  <w:style w:type="paragraph" w:styleId="Caption">
    <w:name w:val="caption"/>
    <w:basedOn w:val="Normal"/>
    <w:next w:val="Normal"/>
    <w:uiPriority w:val="35"/>
    <w:semiHidden/>
    <w:unhideWhenUsed/>
    <w:qFormat/>
    <w:rsid w:val="00B60448"/>
    <w:rPr>
      <w:b/>
      <w:bCs/>
      <w:sz w:val="18"/>
      <w:szCs w:val="18"/>
    </w:rPr>
  </w:style>
  <w:style w:type="paragraph" w:styleId="Title">
    <w:name w:val="Title"/>
    <w:basedOn w:val="Normal"/>
    <w:next w:val="Normal"/>
    <w:link w:val="TitleChar"/>
    <w:uiPriority w:val="10"/>
    <w:qFormat/>
    <w:rsid w:val="00B6044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6044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6044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60448"/>
    <w:rPr>
      <w:rFonts w:asciiTheme="majorHAnsi" w:eastAsiaTheme="majorEastAsia" w:hAnsiTheme="majorHAnsi" w:cstheme="majorBidi"/>
      <w:sz w:val="24"/>
      <w:szCs w:val="24"/>
    </w:rPr>
  </w:style>
  <w:style w:type="character" w:styleId="Emphasis">
    <w:name w:val="Emphasis"/>
    <w:basedOn w:val="DefaultParagraphFont"/>
    <w:uiPriority w:val="20"/>
    <w:qFormat/>
    <w:rsid w:val="00B60448"/>
    <w:rPr>
      <w:i/>
      <w:iCs/>
      <w:color w:val="auto"/>
    </w:rPr>
  </w:style>
  <w:style w:type="paragraph" w:styleId="NoSpacing">
    <w:name w:val="No Spacing"/>
    <w:uiPriority w:val="1"/>
    <w:qFormat/>
    <w:rsid w:val="00B60448"/>
    <w:pPr>
      <w:spacing w:after="0" w:line="240" w:lineRule="auto"/>
    </w:pPr>
  </w:style>
  <w:style w:type="paragraph" w:styleId="Quote">
    <w:name w:val="Quote"/>
    <w:basedOn w:val="Normal"/>
    <w:next w:val="Normal"/>
    <w:link w:val="QuoteChar"/>
    <w:uiPriority w:val="29"/>
    <w:qFormat/>
    <w:rsid w:val="00B6044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6044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6044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6044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60448"/>
    <w:rPr>
      <w:i/>
      <w:iCs/>
      <w:color w:val="auto"/>
    </w:rPr>
  </w:style>
  <w:style w:type="character" w:styleId="IntenseEmphasis">
    <w:name w:val="Intense Emphasis"/>
    <w:basedOn w:val="DefaultParagraphFont"/>
    <w:uiPriority w:val="21"/>
    <w:qFormat/>
    <w:rsid w:val="00B60448"/>
    <w:rPr>
      <w:b/>
      <w:bCs/>
      <w:i/>
      <w:iCs/>
      <w:color w:val="auto"/>
    </w:rPr>
  </w:style>
  <w:style w:type="character" w:styleId="SubtleReference">
    <w:name w:val="Subtle Reference"/>
    <w:basedOn w:val="DefaultParagraphFont"/>
    <w:uiPriority w:val="31"/>
    <w:qFormat/>
    <w:rsid w:val="00B60448"/>
    <w:rPr>
      <w:smallCaps/>
      <w:color w:val="auto"/>
      <w:u w:val="single" w:color="7F7F7F" w:themeColor="text1" w:themeTint="80"/>
    </w:rPr>
  </w:style>
  <w:style w:type="character" w:styleId="IntenseReference">
    <w:name w:val="Intense Reference"/>
    <w:basedOn w:val="DefaultParagraphFont"/>
    <w:uiPriority w:val="32"/>
    <w:qFormat/>
    <w:rsid w:val="00B60448"/>
    <w:rPr>
      <w:b/>
      <w:bCs/>
      <w:smallCaps/>
      <w:color w:val="auto"/>
      <w:u w:val="single"/>
    </w:rPr>
  </w:style>
  <w:style w:type="character" w:styleId="BookTitle">
    <w:name w:val="Book Title"/>
    <w:basedOn w:val="DefaultParagraphFont"/>
    <w:uiPriority w:val="33"/>
    <w:qFormat/>
    <w:rsid w:val="00B60448"/>
    <w:rPr>
      <w:b/>
      <w:bCs/>
      <w:smallCaps/>
      <w:color w:val="auto"/>
    </w:rPr>
  </w:style>
  <w:style w:type="paragraph" w:styleId="TOCHeading">
    <w:name w:val="TOC Heading"/>
    <w:basedOn w:val="Heading1"/>
    <w:next w:val="Normal"/>
    <w:uiPriority w:val="39"/>
    <w:semiHidden/>
    <w:unhideWhenUsed/>
    <w:qFormat/>
    <w:rsid w:val="00B6044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48"/>
  </w:style>
  <w:style w:type="paragraph" w:styleId="Heading1">
    <w:name w:val="heading 1"/>
    <w:basedOn w:val="Normal"/>
    <w:next w:val="Normal"/>
    <w:link w:val="Heading1Char"/>
    <w:uiPriority w:val="9"/>
    <w:qFormat/>
    <w:rsid w:val="00B6044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6044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6044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6044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6044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6044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6044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6044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6044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Párrafo de lista1,Colorful List - Accent 11"/>
    <w:basedOn w:val="Normal"/>
    <w:link w:val="ListParagraphChar"/>
    <w:uiPriority w:val="34"/>
    <w:qFormat/>
    <w:rsid w:val="006929B9"/>
    <w:pPr>
      <w:ind w:left="720"/>
      <w:contextualSpacing/>
    </w:p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ootnote text,Ca,FA Fu Car1,Ca Car,C"/>
    <w:basedOn w:val="Normal"/>
    <w:link w:val="FootnoteTextChar"/>
    <w:semiHidden/>
    <w:unhideWhenUsed/>
    <w:rsid w:val="006929B9"/>
    <w:pPr>
      <w:spacing w:after="0"/>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Ca Char,C Char"/>
    <w:basedOn w:val="DefaultParagraphFont"/>
    <w:link w:val="FootnoteText"/>
    <w:semiHidden/>
    <w:rsid w:val="006929B9"/>
    <w:rPr>
      <w:sz w:val="20"/>
      <w:szCs w:val="20"/>
      <w:lang w:val="es-CL"/>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Footnote symbol"/>
    <w:basedOn w:val="DefaultParagraphFont"/>
    <w:link w:val="4GChar"/>
    <w:uiPriority w:val="99"/>
    <w:unhideWhenUsed/>
    <w:qFormat/>
    <w:rsid w:val="006929B9"/>
    <w:rPr>
      <w:vertAlign w:val="superscript"/>
    </w:rPr>
  </w:style>
  <w:style w:type="paragraph" w:styleId="NormalWeb">
    <w:name w:val="Normal (Web)"/>
    <w:basedOn w:val="Normal"/>
    <w:uiPriority w:val="99"/>
    <w:unhideWhenUsed/>
    <w:rsid w:val="006929B9"/>
    <w:pPr>
      <w:spacing w:before="100" w:beforeAutospacing="1" w:after="100" w:afterAutospacing="1"/>
      <w:jc w:val="left"/>
    </w:pPr>
    <w:rPr>
      <w:rFonts w:ascii="Times New Roman" w:eastAsia="Times New Roman" w:hAnsi="Times New Roman" w:cs="Times New Roman"/>
      <w:sz w:val="24"/>
      <w:szCs w:val="24"/>
      <w:lang w:eastAsia="es-CL"/>
    </w:rPr>
  </w:style>
  <w:style w:type="character" w:styleId="Strong">
    <w:name w:val="Strong"/>
    <w:basedOn w:val="DefaultParagraphFont"/>
    <w:uiPriority w:val="22"/>
    <w:qFormat/>
    <w:rsid w:val="00B60448"/>
    <w:rPr>
      <w:b/>
      <w:bCs/>
      <w:color w:val="auto"/>
    </w:rPr>
  </w:style>
  <w:style w:type="character" w:customStyle="1" w:styleId="ListParagraphChar">
    <w:name w:val="List Paragraph Char"/>
    <w:aliases w:val="Footnote Char,Párrafo de lista1 Char,Colorful List - Accent 11 Char"/>
    <w:link w:val="ListParagraph"/>
    <w:uiPriority w:val="34"/>
    <w:locked/>
    <w:rsid w:val="006929B9"/>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6929B9"/>
    <w:pPr>
      <w:spacing w:after="0"/>
    </w:pPr>
    <w:rPr>
      <w:vertAlign w:val="superscript"/>
    </w:rPr>
  </w:style>
  <w:style w:type="character" w:styleId="CommentReference">
    <w:name w:val="annotation reference"/>
    <w:basedOn w:val="DefaultParagraphFont"/>
    <w:uiPriority w:val="99"/>
    <w:semiHidden/>
    <w:unhideWhenUsed/>
    <w:rsid w:val="00A41725"/>
    <w:rPr>
      <w:sz w:val="16"/>
      <w:szCs w:val="16"/>
    </w:rPr>
  </w:style>
  <w:style w:type="paragraph" w:styleId="CommentText">
    <w:name w:val="annotation text"/>
    <w:basedOn w:val="Normal"/>
    <w:link w:val="CommentTextChar"/>
    <w:uiPriority w:val="99"/>
    <w:semiHidden/>
    <w:unhideWhenUsed/>
    <w:rsid w:val="00A41725"/>
    <w:rPr>
      <w:sz w:val="20"/>
      <w:szCs w:val="20"/>
    </w:rPr>
  </w:style>
  <w:style w:type="character" w:customStyle="1" w:styleId="CommentTextChar">
    <w:name w:val="Comment Text Char"/>
    <w:basedOn w:val="DefaultParagraphFont"/>
    <w:link w:val="CommentText"/>
    <w:uiPriority w:val="99"/>
    <w:semiHidden/>
    <w:rsid w:val="00A41725"/>
    <w:rPr>
      <w:sz w:val="20"/>
      <w:szCs w:val="20"/>
      <w:lang w:val="es-CL"/>
    </w:rPr>
  </w:style>
  <w:style w:type="paragraph" w:styleId="CommentSubject">
    <w:name w:val="annotation subject"/>
    <w:basedOn w:val="CommentText"/>
    <w:next w:val="CommentText"/>
    <w:link w:val="CommentSubjectChar"/>
    <w:uiPriority w:val="99"/>
    <w:semiHidden/>
    <w:unhideWhenUsed/>
    <w:rsid w:val="00A41725"/>
    <w:rPr>
      <w:b/>
      <w:bCs/>
    </w:rPr>
  </w:style>
  <w:style w:type="character" w:customStyle="1" w:styleId="CommentSubjectChar">
    <w:name w:val="Comment Subject Char"/>
    <w:basedOn w:val="CommentTextChar"/>
    <w:link w:val="CommentSubject"/>
    <w:uiPriority w:val="99"/>
    <w:semiHidden/>
    <w:rsid w:val="00A41725"/>
    <w:rPr>
      <w:b/>
      <w:bCs/>
      <w:sz w:val="20"/>
      <w:szCs w:val="20"/>
      <w:lang w:val="es-CL"/>
    </w:rPr>
  </w:style>
  <w:style w:type="paragraph" w:styleId="BalloonText">
    <w:name w:val="Balloon Text"/>
    <w:basedOn w:val="Normal"/>
    <w:link w:val="BalloonTextChar"/>
    <w:uiPriority w:val="99"/>
    <w:semiHidden/>
    <w:unhideWhenUsed/>
    <w:rsid w:val="00A417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725"/>
    <w:rPr>
      <w:rFonts w:ascii="Segoe UI" w:hAnsi="Segoe UI" w:cs="Segoe UI"/>
      <w:sz w:val="18"/>
      <w:szCs w:val="18"/>
      <w:lang w:val="es-CL"/>
    </w:rPr>
  </w:style>
  <w:style w:type="paragraph" w:styleId="Header">
    <w:name w:val="header"/>
    <w:basedOn w:val="Normal"/>
    <w:link w:val="HeaderChar"/>
    <w:uiPriority w:val="99"/>
    <w:unhideWhenUsed/>
    <w:rsid w:val="00132316"/>
    <w:pPr>
      <w:tabs>
        <w:tab w:val="center" w:pos="4419"/>
        <w:tab w:val="right" w:pos="8838"/>
      </w:tabs>
      <w:spacing w:after="0"/>
    </w:pPr>
  </w:style>
  <w:style w:type="character" w:customStyle="1" w:styleId="HeaderChar">
    <w:name w:val="Header Char"/>
    <w:basedOn w:val="DefaultParagraphFont"/>
    <w:link w:val="Header"/>
    <w:uiPriority w:val="99"/>
    <w:rsid w:val="00132316"/>
    <w:rPr>
      <w:lang w:val="es-CL"/>
    </w:rPr>
  </w:style>
  <w:style w:type="paragraph" w:styleId="Footer">
    <w:name w:val="footer"/>
    <w:basedOn w:val="Normal"/>
    <w:link w:val="FooterChar"/>
    <w:uiPriority w:val="99"/>
    <w:unhideWhenUsed/>
    <w:rsid w:val="00132316"/>
    <w:pPr>
      <w:tabs>
        <w:tab w:val="center" w:pos="4419"/>
        <w:tab w:val="right" w:pos="8838"/>
      </w:tabs>
      <w:spacing w:after="0"/>
    </w:pPr>
  </w:style>
  <w:style w:type="character" w:customStyle="1" w:styleId="FooterChar">
    <w:name w:val="Footer Char"/>
    <w:basedOn w:val="DefaultParagraphFont"/>
    <w:link w:val="Footer"/>
    <w:uiPriority w:val="99"/>
    <w:rsid w:val="00132316"/>
    <w:rPr>
      <w:lang w:val="es-CL"/>
    </w:rPr>
  </w:style>
  <w:style w:type="character" w:customStyle="1" w:styleId="Heading1Char">
    <w:name w:val="Heading 1 Char"/>
    <w:basedOn w:val="DefaultParagraphFont"/>
    <w:link w:val="Heading1"/>
    <w:uiPriority w:val="9"/>
    <w:rsid w:val="00B6044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6044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6044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6044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6044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6044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60448"/>
    <w:rPr>
      <w:i/>
      <w:iCs/>
    </w:rPr>
  </w:style>
  <w:style w:type="character" w:customStyle="1" w:styleId="Heading8Char">
    <w:name w:val="Heading 8 Char"/>
    <w:basedOn w:val="DefaultParagraphFont"/>
    <w:link w:val="Heading8"/>
    <w:uiPriority w:val="9"/>
    <w:semiHidden/>
    <w:rsid w:val="00B60448"/>
    <w:rPr>
      <w:b/>
      <w:bCs/>
    </w:rPr>
  </w:style>
  <w:style w:type="character" w:customStyle="1" w:styleId="Heading9Char">
    <w:name w:val="Heading 9 Char"/>
    <w:basedOn w:val="DefaultParagraphFont"/>
    <w:link w:val="Heading9"/>
    <w:uiPriority w:val="9"/>
    <w:semiHidden/>
    <w:rsid w:val="00B60448"/>
    <w:rPr>
      <w:i/>
      <w:iCs/>
    </w:rPr>
  </w:style>
  <w:style w:type="paragraph" w:styleId="Caption">
    <w:name w:val="caption"/>
    <w:basedOn w:val="Normal"/>
    <w:next w:val="Normal"/>
    <w:uiPriority w:val="35"/>
    <w:semiHidden/>
    <w:unhideWhenUsed/>
    <w:qFormat/>
    <w:rsid w:val="00B60448"/>
    <w:rPr>
      <w:b/>
      <w:bCs/>
      <w:sz w:val="18"/>
      <w:szCs w:val="18"/>
    </w:rPr>
  </w:style>
  <w:style w:type="paragraph" w:styleId="Title">
    <w:name w:val="Title"/>
    <w:basedOn w:val="Normal"/>
    <w:next w:val="Normal"/>
    <w:link w:val="TitleChar"/>
    <w:uiPriority w:val="10"/>
    <w:qFormat/>
    <w:rsid w:val="00B6044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6044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6044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60448"/>
    <w:rPr>
      <w:rFonts w:asciiTheme="majorHAnsi" w:eastAsiaTheme="majorEastAsia" w:hAnsiTheme="majorHAnsi" w:cstheme="majorBidi"/>
      <w:sz w:val="24"/>
      <w:szCs w:val="24"/>
    </w:rPr>
  </w:style>
  <w:style w:type="character" w:styleId="Emphasis">
    <w:name w:val="Emphasis"/>
    <w:basedOn w:val="DefaultParagraphFont"/>
    <w:uiPriority w:val="20"/>
    <w:qFormat/>
    <w:rsid w:val="00B60448"/>
    <w:rPr>
      <w:i/>
      <w:iCs/>
      <w:color w:val="auto"/>
    </w:rPr>
  </w:style>
  <w:style w:type="paragraph" w:styleId="NoSpacing">
    <w:name w:val="No Spacing"/>
    <w:uiPriority w:val="1"/>
    <w:qFormat/>
    <w:rsid w:val="00B60448"/>
    <w:pPr>
      <w:spacing w:after="0" w:line="240" w:lineRule="auto"/>
    </w:pPr>
  </w:style>
  <w:style w:type="paragraph" w:styleId="Quote">
    <w:name w:val="Quote"/>
    <w:basedOn w:val="Normal"/>
    <w:next w:val="Normal"/>
    <w:link w:val="QuoteChar"/>
    <w:uiPriority w:val="29"/>
    <w:qFormat/>
    <w:rsid w:val="00B6044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6044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6044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6044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60448"/>
    <w:rPr>
      <w:i/>
      <w:iCs/>
      <w:color w:val="auto"/>
    </w:rPr>
  </w:style>
  <w:style w:type="character" w:styleId="IntenseEmphasis">
    <w:name w:val="Intense Emphasis"/>
    <w:basedOn w:val="DefaultParagraphFont"/>
    <w:uiPriority w:val="21"/>
    <w:qFormat/>
    <w:rsid w:val="00B60448"/>
    <w:rPr>
      <w:b/>
      <w:bCs/>
      <w:i/>
      <w:iCs/>
      <w:color w:val="auto"/>
    </w:rPr>
  </w:style>
  <w:style w:type="character" w:styleId="SubtleReference">
    <w:name w:val="Subtle Reference"/>
    <w:basedOn w:val="DefaultParagraphFont"/>
    <w:uiPriority w:val="31"/>
    <w:qFormat/>
    <w:rsid w:val="00B60448"/>
    <w:rPr>
      <w:smallCaps/>
      <w:color w:val="auto"/>
      <w:u w:val="single" w:color="7F7F7F" w:themeColor="text1" w:themeTint="80"/>
    </w:rPr>
  </w:style>
  <w:style w:type="character" w:styleId="IntenseReference">
    <w:name w:val="Intense Reference"/>
    <w:basedOn w:val="DefaultParagraphFont"/>
    <w:uiPriority w:val="32"/>
    <w:qFormat/>
    <w:rsid w:val="00B60448"/>
    <w:rPr>
      <w:b/>
      <w:bCs/>
      <w:smallCaps/>
      <w:color w:val="auto"/>
      <w:u w:val="single"/>
    </w:rPr>
  </w:style>
  <w:style w:type="character" w:styleId="BookTitle">
    <w:name w:val="Book Title"/>
    <w:basedOn w:val="DefaultParagraphFont"/>
    <w:uiPriority w:val="33"/>
    <w:qFormat/>
    <w:rsid w:val="00B60448"/>
    <w:rPr>
      <w:b/>
      <w:bCs/>
      <w:smallCaps/>
      <w:color w:val="auto"/>
    </w:rPr>
  </w:style>
  <w:style w:type="paragraph" w:styleId="TOCHeading">
    <w:name w:val="TOC Heading"/>
    <w:basedOn w:val="Heading1"/>
    <w:next w:val="Normal"/>
    <w:uiPriority w:val="39"/>
    <w:semiHidden/>
    <w:unhideWhenUsed/>
    <w:qFormat/>
    <w:rsid w:val="00B604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4C41-8F7E-4BA9-BE2A-71AAB7E9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2907</Words>
  <Characters>15989</Characters>
  <Application>Microsoft Office Word</Application>
  <DocSecurity>4</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2018-02-09T18:52:00Z</cp:lastPrinted>
  <dcterms:created xsi:type="dcterms:W3CDTF">2018-02-09T19:48:00Z</dcterms:created>
  <dcterms:modified xsi:type="dcterms:W3CDTF">2018-02-09T19:48:00Z</dcterms:modified>
</cp:coreProperties>
</file>