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06" w:rsidRPr="00AC2B06" w:rsidRDefault="00AC2B06" w:rsidP="001B364D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bookmarkStart w:id="0" w:name="_GoBack"/>
    </w:p>
    <w:p w:rsidR="00AC2B06" w:rsidRPr="00AC2B06" w:rsidRDefault="00AC2B06" w:rsidP="001B364D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AC2B06" w:rsidRDefault="00AC2B06" w:rsidP="001B364D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AC2B06" w:rsidRPr="00AC2B06" w:rsidRDefault="00AC2B06" w:rsidP="001B364D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1B364D" w:rsidRPr="00AC2B06" w:rsidRDefault="00833D73" w:rsidP="001B364D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AC2B06">
        <w:rPr>
          <w:rFonts w:ascii="Verdana" w:hAnsi="Verdana"/>
          <w:b/>
          <w:sz w:val="20"/>
          <w:szCs w:val="20"/>
          <w:lang w:val="es-ES"/>
        </w:rPr>
        <w:t xml:space="preserve">VOTO CONCURRENTE </w:t>
      </w:r>
      <w:r w:rsidR="001B364D" w:rsidRPr="00AC2B06">
        <w:rPr>
          <w:rFonts w:ascii="Verdana" w:hAnsi="Verdana"/>
          <w:b/>
          <w:sz w:val="20"/>
          <w:szCs w:val="20"/>
          <w:lang w:val="es-ES"/>
        </w:rPr>
        <w:t>DEL JUEZ EDUARDO VIO GROSSI,</w:t>
      </w:r>
    </w:p>
    <w:p w:rsidR="001B364D" w:rsidRPr="00AC2B06" w:rsidRDefault="001B364D" w:rsidP="001B364D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AC2B06">
        <w:rPr>
          <w:rFonts w:ascii="Verdana" w:hAnsi="Verdana"/>
          <w:b/>
          <w:sz w:val="20"/>
          <w:szCs w:val="20"/>
          <w:lang w:val="es-ES"/>
        </w:rPr>
        <w:t>RESOLUCIÓN DE LA CORTE INTERAMERICANA DE DERECHOS HUMANOS</w:t>
      </w:r>
    </w:p>
    <w:p w:rsidR="001B364D" w:rsidRPr="00AC2B06" w:rsidRDefault="001B364D" w:rsidP="001B364D">
      <w:pPr>
        <w:spacing w:after="0"/>
        <w:jc w:val="center"/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</w:pPr>
      <w:r w:rsidRPr="00AC2B06">
        <w:rPr>
          <w:rFonts w:ascii="Verdana" w:hAnsi="Verdana"/>
          <w:b/>
          <w:sz w:val="20"/>
          <w:szCs w:val="20"/>
          <w:lang w:val="es-ES"/>
        </w:rPr>
        <w:t>DE 2</w:t>
      </w:r>
      <w:r w:rsidR="00AC2B06">
        <w:rPr>
          <w:rFonts w:ascii="Verdana" w:hAnsi="Verdana"/>
          <w:b/>
          <w:sz w:val="20"/>
          <w:szCs w:val="20"/>
          <w:lang w:val="es-ES"/>
        </w:rPr>
        <w:t>0</w:t>
      </w:r>
      <w:r w:rsidRPr="00AC2B06">
        <w:rPr>
          <w:rFonts w:ascii="Verdana" w:hAnsi="Verdana"/>
          <w:b/>
          <w:sz w:val="20"/>
          <w:szCs w:val="20"/>
          <w:lang w:val="es-ES"/>
        </w:rPr>
        <w:t xml:space="preserve"> DE NOVIEMBRE DE 2015,</w:t>
      </w:r>
      <w:r w:rsidRPr="00AC2B0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1B364D" w:rsidRPr="00AC2B06" w:rsidRDefault="001B364D" w:rsidP="001B364D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AC2B06">
        <w:rPr>
          <w:rFonts w:ascii="Verdana" w:hAnsi="Verdana"/>
          <w:b/>
          <w:sz w:val="20"/>
          <w:szCs w:val="20"/>
          <w:lang w:val="es-ES"/>
        </w:rPr>
        <w:t>MEDIDAS PROVISIONALES RESPECTO DE EL SALVADOR</w:t>
      </w:r>
    </w:p>
    <w:p w:rsidR="001B364D" w:rsidRPr="00AC2B06" w:rsidRDefault="001B364D" w:rsidP="001B364D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AC2B06">
        <w:rPr>
          <w:rFonts w:ascii="Verdana" w:hAnsi="Verdana"/>
          <w:b/>
          <w:sz w:val="20"/>
          <w:szCs w:val="20"/>
          <w:lang w:val="es-ES"/>
        </w:rPr>
        <w:t>CASO GARCÍA PRIETO Y OTROS.</w:t>
      </w:r>
    </w:p>
    <w:p w:rsidR="00F22303" w:rsidRPr="00AC2B06" w:rsidRDefault="00F22303" w:rsidP="00F22303">
      <w:pPr>
        <w:jc w:val="both"/>
        <w:rPr>
          <w:rFonts w:ascii="Verdana" w:hAnsi="Verdana"/>
          <w:sz w:val="20"/>
          <w:szCs w:val="20"/>
          <w:lang w:val="es-ES"/>
        </w:rPr>
      </w:pPr>
    </w:p>
    <w:p w:rsidR="00F22303" w:rsidRPr="00AC2B06" w:rsidRDefault="00F22303" w:rsidP="00F22303">
      <w:pPr>
        <w:jc w:val="both"/>
        <w:rPr>
          <w:rFonts w:ascii="Verdana" w:hAnsi="Verdana"/>
          <w:sz w:val="20"/>
          <w:szCs w:val="20"/>
          <w:lang w:val="es-ES"/>
        </w:rPr>
      </w:pPr>
      <w:r w:rsidRPr="00AC2B06">
        <w:rPr>
          <w:rFonts w:ascii="Verdana" w:hAnsi="Verdana"/>
          <w:sz w:val="20"/>
          <w:szCs w:val="20"/>
          <w:lang w:val="es-ES"/>
        </w:rPr>
        <w:t>El presente voto concurrente obedece a que la Resolución del epígrafe levanta las medidas provisionales ordenadas en el caso de autos</w:t>
      </w:r>
      <w:r w:rsidR="00A22CF9" w:rsidRPr="00AC2B06">
        <w:rPr>
          <w:rFonts w:ascii="Verdana" w:hAnsi="Verdana"/>
          <w:sz w:val="20"/>
          <w:szCs w:val="20"/>
          <w:lang w:val="es-ES"/>
        </w:rPr>
        <w:t>, con lo que así</w:t>
      </w:r>
      <w:r w:rsidRPr="00AC2B06">
        <w:rPr>
          <w:rFonts w:ascii="Verdana" w:hAnsi="Verdana"/>
          <w:sz w:val="20"/>
          <w:szCs w:val="20"/>
          <w:lang w:val="es-ES"/>
        </w:rPr>
        <w:t xml:space="preserve"> coincide, en la práctica, con lo sostenido en el Voto Disidente del suscrito, de fecha 26 de enero de 2015, emitido con relación al establecimiento de las referidas medidas.</w:t>
      </w:r>
      <w:r w:rsidR="00CD0D01" w:rsidRPr="00AC2B06">
        <w:rPr>
          <w:rStyle w:val="FootnoteReference"/>
          <w:rFonts w:ascii="Verdana" w:hAnsi="Verdana"/>
          <w:sz w:val="20"/>
          <w:szCs w:val="20"/>
          <w:lang w:val="es-ES"/>
        </w:rPr>
        <w:footnoteReference w:id="1"/>
      </w:r>
    </w:p>
    <w:p w:rsidR="009442B6" w:rsidRPr="00AC2B06" w:rsidRDefault="00F22303" w:rsidP="00F22303">
      <w:pPr>
        <w:jc w:val="both"/>
        <w:rPr>
          <w:rFonts w:ascii="Verdana" w:hAnsi="Verdana"/>
          <w:sz w:val="20"/>
          <w:szCs w:val="20"/>
          <w:lang w:val="es-ES"/>
        </w:rPr>
      </w:pPr>
      <w:r w:rsidRPr="00AC2B06">
        <w:rPr>
          <w:rFonts w:ascii="Verdana" w:hAnsi="Verdana"/>
          <w:sz w:val="20"/>
          <w:szCs w:val="20"/>
          <w:lang w:val="es-ES"/>
        </w:rPr>
        <w:t>En efecto, en el citado voto disidente, así como en otros</w:t>
      </w:r>
      <w:r w:rsidRPr="00AC2B06">
        <w:rPr>
          <w:rStyle w:val="FootnoteReference"/>
          <w:rFonts w:ascii="Verdana" w:hAnsi="Verdana"/>
          <w:sz w:val="20"/>
          <w:szCs w:val="20"/>
          <w:lang w:val="es-ES"/>
        </w:rPr>
        <w:footnoteReference w:id="2"/>
      </w:r>
      <w:r w:rsidR="004E31D7" w:rsidRPr="00AC2B06">
        <w:rPr>
          <w:rFonts w:ascii="Verdana" w:hAnsi="Verdana"/>
          <w:sz w:val="20"/>
          <w:szCs w:val="20"/>
          <w:lang w:val="es-ES"/>
        </w:rPr>
        <w:t>, se sostuvo</w:t>
      </w:r>
      <w:r w:rsidRPr="00AC2B06">
        <w:rPr>
          <w:rFonts w:ascii="Verdana" w:hAnsi="Verdana"/>
          <w:sz w:val="20"/>
          <w:szCs w:val="20"/>
          <w:lang w:val="es-ES"/>
        </w:rPr>
        <w:t xml:space="preserve"> que, atendida la circunstancia de que en el caso en cuestión se emitió </w:t>
      </w:r>
      <w:r w:rsidR="004E31D7" w:rsidRPr="00AC2B06">
        <w:rPr>
          <w:rFonts w:ascii="Verdana" w:hAnsi="Verdana"/>
          <w:sz w:val="20"/>
          <w:szCs w:val="20"/>
          <w:lang w:val="es-ES"/>
        </w:rPr>
        <w:t xml:space="preserve">la correspondiente </w:t>
      </w:r>
      <w:r w:rsidRPr="00AC2B06">
        <w:rPr>
          <w:rFonts w:ascii="Verdana" w:hAnsi="Verdana"/>
          <w:sz w:val="20"/>
          <w:szCs w:val="20"/>
          <w:lang w:val="es-ES"/>
        </w:rPr>
        <w:t>sentencia definitiva e inapelable, la facultad de la Corte Interamericana de Derechos Humanos de dictar medidas provisionales</w:t>
      </w:r>
      <w:r w:rsidR="004E31D7" w:rsidRPr="00AC2B06">
        <w:rPr>
          <w:rFonts w:ascii="Verdana" w:hAnsi="Verdana"/>
          <w:sz w:val="20"/>
          <w:szCs w:val="20"/>
          <w:lang w:val="es-ES"/>
        </w:rPr>
        <w:t xml:space="preserve"> en el mismo había </w:t>
      </w:r>
      <w:proofErr w:type="spellStart"/>
      <w:r w:rsidR="004E31D7" w:rsidRPr="00AC2B06">
        <w:rPr>
          <w:rFonts w:ascii="Verdana" w:hAnsi="Verdana"/>
          <w:sz w:val="20"/>
          <w:szCs w:val="20"/>
          <w:lang w:val="es-ES"/>
        </w:rPr>
        <w:t>precluido</w:t>
      </w:r>
      <w:proofErr w:type="spellEnd"/>
      <w:r w:rsidR="00A22CF9" w:rsidRPr="00AC2B06">
        <w:rPr>
          <w:rFonts w:ascii="Verdana" w:hAnsi="Verdana"/>
          <w:sz w:val="20"/>
          <w:szCs w:val="20"/>
          <w:lang w:val="es-ES"/>
        </w:rPr>
        <w:t>, por lo que no procedía ordenar estas últimas y, por ende, lo procedente era que ellas no existieran</w:t>
      </w:r>
      <w:r w:rsidR="00CD0D01" w:rsidRPr="00AC2B06">
        <w:rPr>
          <w:rFonts w:ascii="Verdana" w:hAnsi="Verdana"/>
          <w:sz w:val="20"/>
          <w:szCs w:val="20"/>
          <w:lang w:val="es-ES"/>
        </w:rPr>
        <w:t>.</w:t>
      </w:r>
    </w:p>
    <w:p w:rsidR="004E31D7" w:rsidRPr="00AC2B06" w:rsidRDefault="009442B6" w:rsidP="00F22303">
      <w:pPr>
        <w:jc w:val="both"/>
        <w:rPr>
          <w:rFonts w:ascii="Verdana" w:hAnsi="Verdana"/>
          <w:sz w:val="20"/>
          <w:szCs w:val="20"/>
          <w:lang w:val="es-ES"/>
        </w:rPr>
      </w:pPr>
      <w:r w:rsidRPr="00AC2B06">
        <w:rPr>
          <w:rFonts w:ascii="Verdana" w:hAnsi="Verdana"/>
          <w:sz w:val="20"/>
          <w:szCs w:val="20"/>
          <w:lang w:val="es-ES"/>
        </w:rPr>
        <w:t xml:space="preserve">Con la Resolución a la que </w:t>
      </w:r>
      <w:r w:rsidR="004E31D7" w:rsidRPr="00AC2B06">
        <w:rPr>
          <w:rFonts w:ascii="Verdana" w:hAnsi="Verdana"/>
          <w:sz w:val="20"/>
          <w:szCs w:val="20"/>
          <w:lang w:val="es-ES"/>
        </w:rPr>
        <w:t xml:space="preserve">se </w:t>
      </w:r>
      <w:r w:rsidRPr="00AC2B06">
        <w:rPr>
          <w:rFonts w:ascii="Verdana" w:hAnsi="Verdana"/>
          <w:sz w:val="20"/>
          <w:szCs w:val="20"/>
          <w:lang w:val="es-ES"/>
        </w:rPr>
        <w:t>concurre</w:t>
      </w:r>
      <w:r w:rsidR="004E31D7" w:rsidRPr="00AC2B06">
        <w:rPr>
          <w:rFonts w:ascii="Verdana" w:hAnsi="Verdana"/>
          <w:sz w:val="20"/>
          <w:szCs w:val="20"/>
          <w:lang w:val="es-ES"/>
        </w:rPr>
        <w:t xml:space="preserve">, la situación </w:t>
      </w:r>
      <w:r w:rsidR="004E31D7" w:rsidRPr="00AC2B06">
        <w:rPr>
          <w:rFonts w:ascii="Verdana" w:hAnsi="Verdana"/>
          <w:i/>
          <w:sz w:val="20"/>
          <w:szCs w:val="20"/>
          <w:lang w:val="es-ES"/>
        </w:rPr>
        <w:t>de facto</w:t>
      </w:r>
      <w:r w:rsidR="00E161DA" w:rsidRPr="00AC2B06">
        <w:rPr>
          <w:rFonts w:ascii="Verdana" w:hAnsi="Verdana"/>
          <w:sz w:val="20"/>
          <w:szCs w:val="20"/>
          <w:lang w:val="es-ES"/>
        </w:rPr>
        <w:t xml:space="preserve"> es que, como resultado de lo dispuesto en aquella, </w:t>
      </w:r>
      <w:r w:rsidR="004E31D7" w:rsidRPr="00AC2B06">
        <w:rPr>
          <w:rFonts w:ascii="Verdana" w:hAnsi="Verdana"/>
          <w:sz w:val="20"/>
          <w:szCs w:val="20"/>
          <w:lang w:val="es-ES"/>
        </w:rPr>
        <w:t xml:space="preserve"> no se dictan medidas provision</w:t>
      </w:r>
      <w:r w:rsidR="00E161DA" w:rsidRPr="00AC2B06">
        <w:rPr>
          <w:rFonts w:ascii="Verdana" w:hAnsi="Verdana"/>
          <w:sz w:val="20"/>
          <w:szCs w:val="20"/>
          <w:lang w:val="es-ES"/>
        </w:rPr>
        <w:t xml:space="preserve">ales ni </w:t>
      </w:r>
      <w:r w:rsidR="004E31D7" w:rsidRPr="00AC2B06">
        <w:rPr>
          <w:rFonts w:ascii="Verdana" w:hAnsi="Verdana"/>
          <w:sz w:val="20"/>
          <w:szCs w:val="20"/>
          <w:lang w:val="es-ES"/>
        </w:rPr>
        <w:t>se prorrogan las que se habían decretado.</w:t>
      </w:r>
    </w:p>
    <w:p w:rsidR="004E31D7" w:rsidRDefault="004E31D7" w:rsidP="00F22303">
      <w:pPr>
        <w:jc w:val="both"/>
        <w:rPr>
          <w:rFonts w:ascii="Verdana" w:hAnsi="Verdana"/>
          <w:sz w:val="20"/>
          <w:szCs w:val="20"/>
          <w:lang w:val="es-ES"/>
        </w:rPr>
      </w:pPr>
    </w:p>
    <w:p w:rsidR="00AC2B06" w:rsidRPr="00AC2B06" w:rsidRDefault="00AC2B06" w:rsidP="00F22303">
      <w:pPr>
        <w:jc w:val="both"/>
        <w:rPr>
          <w:rFonts w:ascii="Verdana" w:hAnsi="Verdana"/>
          <w:sz w:val="20"/>
          <w:szCs w:val="20"/>
          <w:lang w:val="es-ES"/>
        </w:rPr>
      </w:pPr>
    </w:p>
    <w:p w:rsidR="00AC2B06" w:rsidRPr="00AC2B06" w:rsidRDefault="00AC2B06" w:rsidP="004E31D7">
      <w:pPr>
        <w:spacing w:after="0"/>
        <w:jc w:val="right"/>
        <w:rPr>
          <w:rFonts w:ascii="Verdana" w:hAnsi="Verdana"/>
          <w:sz w:val="20"/>
          <w:szCs w:val="20"/>
          <w:lang w:val="es-ES"/>
        </w:rPr>
      </w:pPr>
    </w:p>
    <w:p w:rsidR="004E31D7" w:rsidRPr="00AC2B06" w:rsidRDefault="004E31D7" w:rsidP="004E31D7">
      <w:pPr>
        <w:spacing w:after="0"/>
        <w:jc w:val="right"/>
        <w:rPr>
          <w:rFonts w:ascii="Verdana" w:hAnsi="Verdana"/>
          <w:sz w:val="20"/>
          <w:szCs w:val="20"/>
          <w:lang w:val="es-ES"/>
        </w:rPr>
      </w:pPr>
      <w:r w:rsidRPr="00AC2B06">
        <w:rPr>
          <w:rFonts w:ascii="Verdana" w:hAnsi="Verdana"/>
          <w:sz w:val="20"/>
          <w:szCs w:val="20"/>
          <w:lang w:val="es-ES"/>
        </w:rPr>
        <w:t>Eduardo Vio Grossi</w:t>
      </w:r>
    </w:p>
    <w:p w:rsidR="004E31D7" w:rsidRPr="00AC2B06" w:rsidRDefault="004E31D7" w:rsidP="004E31D7">
      <w:pPr>
        <w:spacing w:after="0"/>
        <w:jc w:val="right"/>
        <w:rPr>
          <w:rFonts w:ascii="Verdana" w:hAnsi="Verdana"/>
          <w:sz w:val="20"/>
          <w:szCs w:val="20"/>
          <w:lang w:val="es-ES"/>
        </w:rPr>
      </w:pPr>
      <w:r w:rsidRPr="00AC2B06">
        <w:rPr>
          <w:rFonts w:ascii="Verdana" w:hAnsi="Verdana"/>
          <w:sz w:val="20"/>
          <w:szCs w:val="20"/>
          <w:lang w:val="es-ES"/>
        </w:rPr>
        <w:t>Juez</w:t>
      </w:r>
    </w:p>
    <w:p w:rsidR="00AC2B06" w:rsidRPr="00AC2B06" w:rsidRDefault="00AC2B06" w:rsidP="00AC2B06">
      <w:pPr>
        <w:widowControl w:val="0"/>
        <w:adjustRightInd w:val="0"/>
        <w:spacing w:after="0" w:line="240" w:lineRule="auto"/>
        <w:jc w:val="both"/>
        <w:rPr>
          <w:rFonts w:ascii="Verdana" w:eastAsia="Times New Roman" w:hAnsi="Verdana" w:cs="Verdana"/>
          <w:spacing w:val="-4"/>
          <w:sz w:val="20"/>
          <w:szCs w:val="20"/>
          <w:lang w:val="es-CR" w:eastAsia="es-CR"/>
        </w:rPr>
      </w:pPr>
      <w:r w:rsidRPr="00AC2B06">
        <w:rPr>
          <w:rFonts w:ascii="Verdana" w:eastAsia="Times New Roman" w:hAnsi="Verdana" w:cs="Verdana"/>
          <w:spacing w:val="-4"/>
          <w:sz w:val="20"/>
          <w:szCs w:val="20"/>
          <w:lang w:val="es-CR" w:eastAsia="es-CR"/>
        </w:rPr>
        <w:t>Pablo Saavedra Alessandri</w:t>
      </w:r>
    </w:p>
    <w:p w:rsidR="00AC2B06" w:rsidRPr="00AC2B06" w:rsidRDefault="00AC2B06" w:rsidP="00AC2B06">
      <w:pPr>
        <w:widowControl w:val="0"/>
        <w:adjustRightInd w:val="0"/>
        <w:spacing w:after="0" w:line="240" w:lineRule="auto"/>
        <w:jc w:val="both"/>
        <w:rPr>
          <w:rFonts w:ascii="Verdana" w:eastAsia="Times New Roman" w:hAnsi="Verdana" w:cs="Verdana"/>
          <w:spacing w:val="-4"/>
          <w:sz w:val="20"/>
          <w:szCs w:val="20"/>
          <w:lang w:val="es-CR" w:eastAsia="es-CR"/>
        </w:rPr>
      </w:pPr>
      <w:r w:rsidRPr="00AC2B06">
        <w:rPr>
          <w:rFonts w:ascii="Verdana" w:eastAsia="Times New Roman" w:hAnsi="Verdana" w:cs="Verdana"/>
          <w:spacing w:val="-4"/>
          <w:sz w:val="20"/>
          <w:szCs w:val="20"/>
          <w:lang w:val="es-CR" w:eastAsia="es-CR"/>
        </w:rPr>
        <w:tab/>
        <w:t>Secretario</w:t>
      </w:r>
      <w:bookmarkEnd w:id="0"/>
    </w:p>
    <w:sectPr w:rsidR="00AC2B06" w:rsidRPr="00AC2B06" w:rsidSect="00646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56" w:rsidRDefault="00007B56" w:rsidP="00F22303">
      <w:pPr>
        <w:spacing w:after="0" w:line="240" w:lineRule="auto"/>
      </w:pPr>
      <w:r>
        <w:separator/>
      </w:r>
    </w:p>
  </w:endnote>
  <w:endnote w:type="continuationSeparator" w:id="0">
    <w:p w:rsidR="00007B56" w:rsidRDefault="00007B56" w:rsidP="00F2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56" w:rsidRDefault="00007B56" w:rsidP="00F22303">
      <w:pPr>
        <w:spacing w:after="0" w:line="240" w:lineRule="auto"/>
      </w:pPr>
      <w:r>
        <w:separator/>
      </w:r>
    </w:p>
  </w:footnote>
  <w:footnote w:type="continuationSeparator" w:id="0">
    <w:p w:rsidR="00007B56" w:rsidRDefault="00007B56" w:rsidP="00F22303">
      <w:pPr>
        <w:spacing w:after="0" w:line="240" w:lineRule="auto"/>
      </w:pPr>
      <w:r>
        <w:continuationSeparator/>
      </w:r>
    </w:p>
  </w:footnote>
  <w:footnote w:id="1">
    <w:p w:rsidR="00CD0D01" w:rsidRPr="00CD0D01" w:rsidRDefault="00CD0D0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Pr="00AC2B06">
        <w:rPr>
          <w:rFonts w:ascii="Verdana" w:hAnsi="Verdana" w:cs="Calibri"/>
          <w:i/>
          <w:sz w:val="16"/>
          <w:lang w:val="es-MX"/>
        </w:rPr>
        <w:t>Voto Disidente del Juez Eduardo Vio Grossi, Corte Interamericana de Derechos Humanos</w:t>
      </w:r>
      <w:r w:rsidR="009442B6" w:rsidRPr="00AC2B06">
        <w:rPr>
          <w:rFonts w:ascii="Verdana" w:hAnsi="Verdana" w:cs="Calibri"/>
          <w:i/>
          <w:sz w:val="16"/>
          <w:lang w:val="es-MX"/>
        </w:rPr>
        <w:t>,</w:t>
      </w:r>
      <w:r w:rsidRPr="00AC2B06">
        <w:rPr>
          <w:rFonts w:ascii="Verdana" w:hAnsi="Verdana" w:cs="Calibri"/>
          <w:i/>
          <w:sz w:val="16"/>
          <w:lang w:val="es-MX"/>
        </w:rPr>
        <w:t xml:space="preserve"> de 21 de enero de 2015</w:t>
      </w:r>
      <w:r w:rsidR="009442B6" w:rsidRPr="00AC2B06">
        <w:rPr>
          <w:rFonts w:ascii="Verdana" w:hAnsi="Verdana" w:cs="Calibri"/>
          <w:i/>
          <w:sz w:val="16"/>
          <w:lang w:val="es-MX"/>
        </w:rPr>
        <w:t>,</w:t>
      </w:r>
      <w:r w:rsidRPr="00AC2B06">
        <w:rPr>
          <w:rFonts w:ascii="Verdana" w:hAnsi="Verdana" w:cs="Calibri"/>
          <w:i/>
          <w:sz w:val="16"/>
          <w:lang w:val="es-MX"/>
        </w:rPr>
        <w:t xml:space="preserve"> Medidas Provisionales respecto de El Salvador Caso García Prieto y Otros</w:t>
      </w:r>
      <w:r w:rsidR="009442B6" w:rsidRPr="00AC2B06">
        <w:rPr>
          <w:rFonts w:ascii="Verdana" w:hAnsi="Verdana" w:cs="Calibri"/>
          <w:i/>
          <w:sz w:val="16"/>
          <w:lang w:val="es-MX"/>
        </w:rPr>
        <w:t>.</w:t>
      </w:r>
    </w:p>
  </w:footnote>
  <w:footnote w:id="2">
    <w:p w:rsidR="00CD0D01" w:rsidRPr="00A3191D" w:rsidRDefault="00F22303" w:rsidP="00CD0D01">
      <w:pPr>
        <w:pStyle w:val="FootnoteText"/>
        <w:spacing w:after="240"/>
        <w:jc w:val="both"/>
        <w:rPr>
          <w:rFonts w:ascii="Verdana" w:hAnsi="Verdana"/>
          <w:sz w:val="16"/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="00CD0D01" w:rsidRPr="00A3191D">
        <w:rPr>
          <w:rFonts w:ascii="Verdana" w:hAnsi="Verdana" w:cs="Calibri"/>
          <w:sz w:val="16"/>
          <w:lang w:val="es-MX"/>
        </w:rPr>
        <w:t>Especialmente en los Votos Disidentes relativos a “</w:t>
      </w:r>
      <w:r w:rsidR="00CD0D01" w:rsidRPr="00A3191D">
        <w:rPr>
          <w:rFonts w:ascii="Verdana" w:hAnsi="Verdana" w:cs="Calibri"/>
          <w:i/>
          <w:sz w:val="16"/>
          <w:lang w:val="es-MX"/>
        </w:rPr>
        <w:t>Medidas Provisionales respecto de la República de Colombia, Caso Gutiérrez Soler Vs. Colombia</w:t>
      </w:r>
      <w:r w:rsidR="00CD0D01" w:rsidRPr="00A3191D">
        <w:rPr>
          <w:rFonts w:ascii="Verdana" w:hAnsi="Verdana" w:cs="Calibri"/>
          <w:sz w:val="16"/>
          <w:lang w:val="es-MX"/>
        </w:rPr>
        <w:t>”, de 30 de junio de 2011; “</w:t>
      </w:r>
      <w:r w:rsidR="00CD0D01" w:rsidRPr="00A3191D">
        <w:rPr>
          <w:rFonts w:ascii="Verdana" w:hAnsi="Verdana" w:cs="Calibri"/>
          <w:i/>
          <w:sz w:val="16"/>
          <w:lang w:val="es-MX"/>
        </w:rPr>
        <w:t>Medidas Provisionales respecto de los Estados Unidos Mexicanos, Caso Rosendo Cantú y otra Vs. México</w:t>
      </w:r>
      <w:r w:rsidR="00CD0D01" w:rsidRPr="00A3191D">
        <w:rPr>
          <w:rFonts w:ascii="Verdana" w:hAnsi="Verdana" w:cs="Calibri"/>
          <w:sz w:val="16"/>
          <w:lang w:val="es-MX"/>
        </w:rPr>
        <w:t>”, de 1 de julio de 2011, “</w:t>
      </w:r>
      <w:r w:rsidR="00CD0D01" w:rsidRPr="00A3191D">
        <w:rPr>
          <w:rFonts w:ascii="Verdana" w:hAnsi="Verdana" w:cs="Calibri"/>
          <w:i/>
          <w:sz w:val="16"/>
          <w:lang w:val="es-MX"/>
        </w:rPr>
        <w:t xml:space="preserve">Medidas Provisionales respecto de la República de Honduras, Caso </w:t>
      </w:r>
      <w:proofErr w:type="spellStart"/>
      <w:r w:rsidR="00CD0D01" w:rsidRPr="00A3191D">
        <w:rPr>
          <w:rFonts w:ascii="Verdana" w:hAnsi="Verdana" w:cs="Calibri"/>
          <w:i/>
          <w:sz w:val="16"/>
          <w:lang w:val="es-MX"/>
        </w:rPr>
        <w:t>Kawas</w:t>
      </w:r>
      <w:proofErr w:type="spellEnd"/>
      <w:r w:rsidR="00CD0D01" w:rsidRPr="00A3191D">
        <w:rPr>
          <w:rFonts w:ascii="Verdana" w:hAnsi="Verdana" w:cs="Calibri"/>
          <w:i/>
          <w:sz w:val="16"/>
          <w:lang w:val="es-MX"/>
        </w:rPr>
        <w:t xml:space="preserve"> Fernández Vs. Honduras</w:t>
      </w:r>
      <w:r w:rsidR="00CD0D01" w:rsidRPr="00A3191D">
        <w:rPr>
          <w:rFonts w:ascii="Verdana" w:hAnsi="Verdana" w:cs="Calibri"/>
          <w:sz w:val="16"/>
          <w:lang w:val="es-MX"/>
        </w:rPr>
        <w:t>”, de 5 de julio de 2011</w:t>
      </w:r>
      <w:r w:rsidR="00CD0D01" w:rsidRPr="00A3191D">
        <w:rPr>
          <w:rFonts w:ascii="Verdana" w:hAnsi="Verdana"/>
          <w:b/>
          <w:sz w:val="16"/>
          <w:lang w:val="es-ES"/>
        </w:rPr>
        <w:t xml:space="preserve">, </w:t>
      </w:r>
      <w:r w:rsidR="00CD0D01" w:rsidRPr="00A3191D">
        <w:rPr>
          <w:rStyle w:val="Strong"/>
          <w:rFonts w:ascii="Verdana" w:hAnsi="Verdana"/>
          <w:b w:val="0"/>
          <w:i/>
          <w:color w:val="000000"/>
          <w:sz w:val="16"/>
          <w:shd w:val="clear" w:color="auto" w:fill="FFFFFF"/>
        </w:rPr>
        <w:t>Caso Pacheco Teruel y otros respecto de Honduras</w:t>
      </w:r>
      <w:r w:rsidR="00CD0D01" w:rsidRPr="00A3191D">
        <w:rPr>
          <w:rStyle w:val="Strong"/>
          <w:rFonts w:ascii="Verdana" w:hAnsi="Verdana"/>
          <w:b w:val="0"/>
          <w:color w:val="000000"/>
          <w:sz w:val="16"/>
          <w:shd w:val="clear" w:color="auto" w:fill="FFFFFF"/>
        </w:rPr>
        <w:t xml:space="preserve">. Resolución de 13 de febrero de 2013. </w:t>
      </w:r>
      <w:r w:rsidR="00CD0D01" w:rsidRPr="00A3191D">
        <w:rPr>
          <w:rStyle w:val="Strong"/>
          <w:rFonts w:ascii="Verdana" w:hAnsi="Verdana"/>
          <w:b w:val="0"/>
          <w:i/>
          <w:color w:val="000000"/>
          <w:sz w:val="16"/>
          <w:shd w:val="clear" w:color="auto" w:fill="FFFFFF"/>
        </w:rPr>
        <w:t>Caso Familia Barrios respecto de Venezuela</w:t>
      </w:r>
      <w:r w:rsidR="00CD0D01" w:rsidRPr="00A3191D">
        <w:rPr>
          <w:rStyle w:val="Strong"/>
          <w:rFonts w:ascii="Verdana" w:hAnsi="Verdana"/>
          <w:b w:val="0"/>
          <w:color w:val="000000"/>
          <w:sz w:val="16"/>
          <w:shd w:val="clear" w:color="auto" w:fill="FFFFFF"/>
        </w:rPr>
        <w:t xml:space="preserve">, de 13 de febrero de 2013, Asunto </w:t>
      </w:r>
      <w:proofErr w:type="spellStart"/>
      <w:r w:rsidR="00CD0D01" w:rsidRPr="00A3191D">
        <w:rPr>
          <w:rStyle w:val="Strong"/>
          <w:rFonts w:ascii="Verdana" w:hAnsi="Verdana"/>
          <w:b w:val="0"/>
          <w:i/>
          <w:color w:val="000000"/>
          <w:sz w:val="16"/>
          <w:shd w:val="clear" w:color="auto" w:fill="FFFFFF"/>
        </w:rPr>
        <w:t>Millacura</w:t>
      </w:r>
      <w:proofErr w:type="spellEnd"/>
      <w:r w:rsidR="00CD0D01" w:rsidRPr="00A3191D">
        <w:rPr>
          <w:rStyle w:val="Strong"/>
          <w:rFonts w:ascii="Verdana" w:hAnsi="Verdana"/>
          <w:b w:val="0"/>
          <w:i/>
          <w:color w:val="000000"/>
          <w:sz w:val="16"/>
          <w:shd w:val="clear" w:color="auto" w:fill="FFFFFF"/>
        </w:rPr>
        <w:t xml:space="preserve"> </w:t>
      </w:r>
      <w:proofErr w:type="spellStart"/>
      <w:r w:rsidR="00CD0D01" w:rsidRPr="00A3191D">
        <w:rPr>
          <w:rStyle w:val="Strong"/>
          <w:rFonts w:ascii="Verdana" w:hAnsi="Verdana"/>
          <w:b w:val="0"/>
          <w:i/>
          <w:color w:val="000000"/>
          <w:sz w:val="16"/>
          <w:shd w:val="clear" w:color="auto" w:fill="FFFFFF"/>
        </w:rPr>
        <w:t>Llaipén</w:t>
      </w:r>
      <w:proofErr w:type="spellEnd"/>
      <w:r w:rsidR="00CD0D01" w:rsidRPr="00A3191D">
        <w:rPr>
          <w:rStyle w:val="Strong"/>
          <w:rFonts w:ascii="Verdana" w:hAnsi="Verdana"/>
          <w:b w:val="0"/>
          <w:i/>
          <w:color w:val="000000"/>
          <w:sz w:val="16"/>
          <w:shd w:val="clear" w:color="auto" w:fill="FFFFFF"/>
        </w:rPr>
        <w:t xml:space="preserve"> y otros respecto de Argentina</w:t>
      </w:r>
      <w:r w:rsidR="00CD0D01" w:rsidRPr="00A3191D">
        <w:rPr>
          <w:rStyle w:val="Strong"/>
          <w:rFonts w:ascii="Verdana" w:hAnsi="Verdana"/>
          <w:b w:val="0"/>
          <w:color w:val="000000"/>
          <w:sz w:val="16"/>
          <w:shd w:val="clear" w:color="auto" w:fill="FFFFFF"/>
        </w:rPr>
        <w:t xml:space="preserve">, de 13 de febrero de 2013, </w:t>
      </w:r>
      <w:r w:rsidR="00CD0D01" w:rsidRPr="00A3191D">
        <w:rPr>
          <w:rStyle w:val="Strong"/>
          <w:rFonts w:ascii="Verdana" w:hAnsi="Verdana"/>
          <w:b w:val="0"/>
          <w:i/>
          <w:color w:val="000000"/>
          <w:sz w:val="16"/>
          <w:shd w:val="clear" w:color="auto" w:fill="FFFFFF"/>
        </w:rPr>
        <w:t>Caso Familia Barrios respecto de Venezuela</w:t>
      </w:r>
      <w:r w:rsidR="00CD0D01" w:rsidRPr="00A3191D">
        <w:rPr>
          <w:rStyle w:val="Strong"/>
          <w:rFonts w:ascii="Verdana" w:hAnsi="Verdana"/>
          <w:b w:val="0"/>
          <w:color w:val="000000"/>
          <w:sz w:val="16"/>
          <w:shd w:val="clear" w:color="auto" w:fill="FFFFFF"/>
        </w:rPr>
        <w:t xml:space="preserve">, de 30 de mayo de 2013, </w:t>
      </w:r>
      <w:r w:rsidR="00CD0D01" w:rsidRPr="00A3191D">
        <w:rPr>
          <w:rStyle w:val="Strong"/>
          <w:rFonts w:ascii="Verdana" w:hAnsi="Verdana"/>
          <w:b w:val="0"/>
          <w:i/>
          <w:color w:val="000000"/>
          <w:sz w:val="16"/>
          <w:shd w:val="clear" w:color="auto" w:fill="FFFFFF"/>
        </w:rPr>
        <w:t xml:space="preserve">Caso </w:t>
      </w:r>
      <w:proofErr w:type="spellStart"/>
      <w:r w:rsidR="00CD0D01" w:rsidRPr="00A3191D">
        <w:rPr>
          <w:rStyle w:val="Strong"/>
          <w:rFonts w:ascii="Verdana" w:hAnsi="Verdana"/>
          <w:b w:val="0"/>
          <w:i/>
          <w:color w:val="000000"/>
          <w:sz w:val="16"/>
          <w:shd w:val="clear" w:color="auto" w:fill="FFFFFF"/>
        </w:rPr>
        <w:t>Artavia</w:t>
      </w:r>
      <w:proofErr w:type="spellEnd"/>
      <w:r w:rsidR="00CD0D01" w:rsidRPr="00A3191D">
        <w:rPr>
          <w:rStyle w:val="Strong"/>
          <w:rFonts w:ascii="Verdana" w:hAnsi="Verdana"/>
          <w:b w:val="0"/>
          <w:i/>
          <w:color w:val="000000"/>
          <w:sz w:val="16"/>
          <w:shd w:val="clear" w:color="auto" w:fill="FFFFFF"/>
        </w:rPr>
        <w:t xml:space="preserve"> Murillo y otros ("Fecundación in vitro") Vs. Costa Rica,</w:t>
      </w:r>
      <w:r w:rsidR="00CD0D01" w:rsidRPr="00A3191D">
        <w:rPr>
          <w:rStyle w:val="Strong"/>
          <w:rFonts w:ascii="Verdana" w:hAnsi="Verdana"/>
          <w:b w:val="0"/>
          <w:color w:val="000000"/>
          <w:sz w:val="16"/>
          <w:shd w:val="clear" w:color="auto" w:fill="FFFFFF"/>
        </w:rPr>
        <w:t xml:space="preserve"> de 31 de marzo de 2014</w:t>
      </w:r>
      <w:r w:rsidR="00CD0D01" w:rsidRPr="00A3191D">
        <w:rPr>
          <w:rFonts w:ascii="Verdana" w:hAnsi="Verdana"/>
          <w:b/>
          <w:sz w:val="16"/>
        </w:rPr>
        <w:t xml:space="preserve"> </w:t>
      </w:r>
      <w:r w:rsidR="00CD0D01" w:rsidRPr="00A3191D">
        <w:rPr>
          <w:rFonts w:ascii="Verdana" w:hAnsi="Verdana" w:cs="Calibri"/>
          <w:sz w:val="16"/>
          <w:lang w:val="es-MX"/>
        </w:rPr>
        <w:t>, Medidas Provisionales respecto de El Salvador, Caso García Prieto y otros, de 26 enero de 2015 y del mismo tenor que el presente voto y en el escrito</w:t>
      </w:r>
      <w:r w:rsidR="00CD0D01" w:rsidRPr="00A3191D">
        <w:rPr>
          <w:rFonts w:ascii="Verdana" w:hAnsi="Verdana" w:cs="Calibri"/>
          <w:b/>
          <w:sz w:val="16"/>
          <w:lang w:val="es-MX"/>
        </w:rPr>
        <w:t xml:space="preserve"> </w:t>
      </w:r>
      <w:r w:rsidR="00CD0D01" w:rsidRPr="00A3191D">
        <w:rPr>
          <w:rFonts w:ascii="Verdana" w:hAnsi="Verdana" w:cs="Calibri"/>
          <w:sz w:val="16"/>
          <w:lang w:val="es-MX"/>
        </w:rPr>
        <w:t xml:space="preserve">de </w:t>
      </w:r>
      <w:r w:rsidR="00CD0D01" w:rsidRPr="00A3191D">
        <w:rPr>
          <w:rFonts w:ascii="Verdana" w:hAnsi="Verdana" w:cs="Calibri"/>
          <w:i/>
          <w:sz w:val="16"/>
          <w:lang w:val="es-MX"/>
        </w:rPr>
        <w:t>Constancia de Queja</w:t>
      </w:r>
      <w:r w:rsidR="00CD0D01" w:rsidRPr="00A3191D">
        <w:rPr>
          <w:rFonts w:ascii="Verdana" w:hAnsi="Verdana" w:cs="Calibri"/>
          <w:sz w:val="16"/>
          <w:lang w:val="es-MX"/>
        </w:rPr>
        <w:t xml:space="preserve"> que, relacionado con las primeras Resoluciones mencionadas, presentó ante la Corte el 17 de agosto de 2011.</w:t>
      </w:r>
    </w:p>
    <w:p w:rsidR="00F22303" w:rsidRPr="00F22303" w:rsidRDefault="00F22303">
      <w:pPr>
        <w:pStyle w:val="FootnoteText"/>
        <w:rPr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4D"/>
    <w:rsid w:val="00007B56"/>
    <w:rsid w:val="001B364D"/>
    <w:rsid w:val="003102D2"/>
    <w:rsid w:val="004A7E9B"/>
    <w:rsid w:val="004E31D7"/>
    <w:rsid w:val="00646423"/>
    <w:rsid w:val="00833D73"/>
    <w:rsid w:val="009442B6"/>
    <w:rsid w:val="00A22CF9"/>
    <w:rsid w:val="00AC2B06"/>
    <w:rsid w:val="00B65622"/>
    <w:rsid w:val="00C05721"/>
    <w:rsid w:val="00C4541E"/>
    <w:rsid w:val="00CD0D01"/>
    <w:rsid w:val="00CD30B6"/>
    <w:rsid w:val="00E043B9"/>
    <w:rsid w:val="00E161DA"/>
    <w:rsid w:val="00F22303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A Fu,Footnote Text Char Char Char Char Char,Footnote Text Char Char Char Char,Footnote reference,Footnote Text Char Char Char,Footnote Text Cha,FA Fußnotentext,FA Fuﬂnotentext,Footnote Text Char Char,footnote text,Ca,FA Fu Car1,Ca Car,C"/>
    <w:basedOn w:val="Normal"/>
    <w:link w:val="FootnoteTextChar"/>
    <w:unhideWhenUsed/>
    <w:rsid w:val="001B36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A Fu Char,Footnote Text Char Char Char Char Char Char,Footnote Text Char Char Char Char Char1,Footnote reference Char,Footnote Text Char Char Char Char1,Footnote Text Cha Char,FA Fußnotentext Char,FA Fuﬂnotentext Char,Ca Char,C Char"/>
    <w:basedOn w:val="DefaultParagraphFont"/>
    <w:link w:val="FootnoteText"/>
    <w:rsid w:val="001B364D"/>
    <w:rPr>
      <w:rFonts w:ascii="Calibri" w:eastAsia="Calibri" w:hAnsi="Calibri" w:cs="Times New Roman"/>
      <w:sz w:val="20"/>
      <w:szCs w:val="20"/>
    </w:rPr>
  </w:style>
  <w:style w:type="character" w:styleId="Strong">
    <w:name w:val="Strong"/>
    <w:uiPriority w:val="22"/>
    <w:qFormat/>
    <w:rsid w:val="001B364D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F223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A Fu,Footnote Text Char Char Char Char Char,Footnote Text Char Char Char Char,Footnote reference,Footnote Text Char Char Char,Footnote Text Cha,FA Fußnotentext,FA Fuﬂnotentext,Footnote Text Char Char,footnote text,Ca,FA Fu Car1,Ca Car,C"/>
    <w:basedOn w:val="Normal"/>
    <w:link w:val="FootnoteTextChar"/>
    <w:unhideWhenUsed/>
    <w:rsid w:val="001B36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A Fu Char,Footnote Text Char Char Char Char Char Char,Footnote Text Char Char Char Char Char1,Footnote reference Char,Footnote Text Char Char Char Char1,Footnote Text Cha Char,FA Fußnotentext Char,FA Fuﬂnotentext Char,Ca Char,C Char"/>
    <w:basedOn w:val="DefaultParagraphFont"/>
    <w:link w:val="FootnoteText"/>
    <w:rsid w:val="001B364D"/>
    <w:rPr>
      <w:rFonts w:ascii="Calibri" w:eastAsia="Calibri" w:hAnsi="Calibri" w:cs="Times New Roman"/>
      <w:sz w:val="20"/>
      <w:szCs w:val="20"/>
    </w:rPr>
  </w:style>
  <w:style w:type="character" w:styleId="Strong">
    <w:name w:val="Strong"/>
    <w:uiPriority w:val="22"/>
    <w:qFormat/>
    <w:rsid w:val="001B364D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F22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F2E75-B8CE-41E2-8718-75B1AF9E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CorteIDH</dc:creator>
  <cp:lastModifiedBy>Jairo Guadamuz</cp:lastModifiedBy>
  <cp:revision>2</cp:revision>
  <cp:lastPrinted>2015-11-23T21:51:00Z</cp:lastPrinted>
  <dcterms:created xsi:type="dcterms:W3CDTF">2015-11-23T23:43:00Z</dcterms:created>
  <dcterms:modified xsi:type="dcterms:W3CDTF">2015-11-23T23:43:00Z</dcterms:modified>
</cp:coreProperties>
</file>