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6B04" w:rsidRDefault="003A6B04" w:rsidP="003A6B04">
      <w:pPr>
        <w:spacing w:after="0"/>
        <w:jc w:val="center"/>
        <w:rPr>
          <w:b/>
          <w:sz w:val="24"/>
          <w:szCs w:val="24"/>
          <w:lang w:val="es-ES"/>
        </w:rPr>
      </w:pPr>
    </w:p>
    <w:p w:rsidR="003A6B04" w:rsidRDefault="003A6B04" w:rsidP="003A6B04">
      <w:pPr>
        <w:spacing w:after="0"/>
        <w:jc w:val="center"/>
        <w:rPr>
          <w:b/>
          <w:sz w:val="24"/>
          <w:szCs w:val="24"/>
          <w:lang w:val="es-ES"/>
        </w:rPr>
      </w:pPr>
    </w:p>
    <w:p w:rsidR="003A6B04" w:rsidRDefault="003A6B04" w:rsidP="003A6B04">
      <w:pPr>
        <w:spacing w:after="0"/>
        <w:jc w:val="center"/>
        <w:rPr>
          <w:b/>
          <w:sz w:val="24"/>
          <w:szCs w:val="24"/>
          <w:lang w:val="es-ES"/>
        </w:rPr>
      </w:pPr>
    </w:p>
    <w:p w:rsidR="003A6B04" w:rsidRDefault="003A6B04" w:rsidP="003A6B04">
      <w:pPr>
        <w:spacing w:after="0"/>
        <w:jc w:val="center"/>
        <w:rPr>
          <w:b/>
          <w:sz w:val="24"/>
          <w:szCs w:val="24"/>
          <w:lang w:val="es-ES"/>
        </w:rPr>
      </w:pPr>
    </w:p>
    <w:p w:rsidR="003A6B04" w:rsidRDefault="003A6B04" w:rsidP="003A6B04">
      <w:pPr>
        <w:spacing w:after="0"/>
        <w:jc w:val="center"/>
        <w:rPr>
          <w:b/>
          <w:sz w:val="24"/>
          <w:szCs w:val="24"/>
          <w:lang w:val="es-ES"/>
        </w:rPr>
      </w:pPr>
    </w:p>
    <w:p w:rsidR="003A6B04" w:rsidRDefault="003A6B04" w:rsidP="003A6B04">
      <w:pPr>
        <w:spacing w:after="0"/>
        <w:jc w:val="center"/>
        <w:rPr>
          <w:b/>
          <w:sz w:val="24"/>
          <w:szCs w:val="24"/>
          <w:lang w:val="es-ES"/>
        </w:rPr>
      </w:pPr>
    </w:p>
    <w:p w:rsidR="003A6B04" w:rsidRDefault="003A6B04" w:rsidP="003A6B04">
      <w:pPr>
        <w:spacing w:after="0"/>
        <w:jc w:val="center"/>
        <w:rPr>
          <w:b/>
          <w:sz w:val="24"/>
          <w:szCs w:val="24"/>
          <w:lang w:val="es-ES"/>
        </w:rPr>
      </w:pPr>
    </w:p>
    <w:p w:rsidR="003A6B04" w:rsidRPr="006065B4" w:rsidRDefault="003A6B04" w:rsidP="003A6B04">
      <w:pPr>
        <w:spacing w:after="0"/>
        <w:jc w:val="center"/>
        <w:rPr>
          <w:rFonts w:ascii="Verdana" w:hAnsi="Verdana"/>
          <w:b/>
          <w:sz w:val="24"/>
          <w:szCs w:val="24"/>
          <w:lang w:val="es-ES"/>
        </w:rPr>
      </w:pPr>
      <w:r w:rsidRPr="006065B4">
        <w:rPr>
          <w:rFonts w:ascii="Verdana" w:hAnsi="Verdana"/>
          <w:b/>
          <w:sz w:val="24"/>
          <w:szCs w:val="24"/>
          <w:lang w:val="es-ES"/>
        </w:rPr>
        <w:t>VOTO DISIDENTE DEL JUEZ EDUARDO VIO GROSSI,</w:t>
      </w:r>
    </w:p>
    <w:p w:rsidR="006065B4" w:rsidRDefault="003A6B04" w:rsidP="006065B4">
      <w:pPr>
        <w:spacing w:after="0"/>
        <w:jc w:val="center"/>
        <w:rPr>
          <w:rFonts w:ascii="Verdana" w:hAnsi="Verdana"/>
          <w:b/>
          <w:sz w:val="24"/>
          <w:szCs w:val="24"/>
          <w:lang w:val="es-ES"/>
        </w:rPr>
      </w:pPr>
      <w:r w:rsidRPr="006065B4">
        <w:rPr>
          <w:rFonts w:ascii="Verdana" w:hAnsi="Verdana"/>
          <w:b/>
          <w:sz w:val="24"/>
          <w:szCs w:val="24"/>
          <w:lang w:val="es-ES"/>
        </w:rPr>
        <w:t xml:space="preserve">RESOLUCIÓN DE LA </w:t>
      </w:r>
    </w:p>
    <w:p w:rsidR="006065B4" w:rsidRDefault="003A6B04" w:rsidP="006065B4">
      <w:pPr>
        <w:spacing w:after="0"/>
        <w:jc w:val="center"/>
        <w:rPr>
          <w:rFonts w:ascii="Verdana" w:hAnsi="Verdana"/>
          <w:b/>
          <w:sz w:val="24"/>
          <w:szCs w:val="24"/>
          <w:lang w:val="es-ES"/>
        </w:rPr>
      </w:pPr>
      <w:r w:rsidRPr="006065B4">
        <w:rPr>
          <w:rFonts w:ascii="Verdana" w:hAnsi="Verdana"/>
          <w:b/>
          <w:sz w:val="24"/>
          <w:szCs w:val="24"/>
          <w:lang w:val="es-ES"/>
        </w:rPr>
        <w:t>CORTE INTERAMERICANA DE DERECHOS</w:t>
      </w:r>
      <w:r w:rsidR="006065B4">
        <w:rPr>
          <w:rFonts w:ascii="Verdana" w:hAnsi="Verdana"/>
          <w:b/>
          <w:sz w:val="24"/>
          <w:szCs w:val="24"/>
          <w:lang w:val="es-ES"/>
        </w:rPr>
        <w:t xml:space="preserve"> </w:t>
      </w:r>
      <w:r w:rsidRPr="006065B4">
        <w:rPr>
          <w:rFonts w:ascii="Verdana" w:hAnsi="Verdana"/>
          <w:b/>
          <w:sz w:val="24"/>
          <w:szCs w:val="24"/>
          <w:lang w:val="es-ES"/>
        </w:rPr>
        <w:t>HUMANOS</w:t>
      </w:r>
      <w:r w:rsidR="006065B4">
        <w:rPr>
          <w:rFonts w:ascii="Verdana" w:hAnsi="Verdana"/>
          <w:b/>
          <w:sz w:val="24"/>
          <w:szCs w:val="24"/>
          <w:lang w:val="es-ES"/>
        </w:rPr>
        <w:t xml:space="preserve"> </w:t>
      </w:r>
    </w:p>
    <w:p w:rsidR="003A6B04" w:rsidRPr="006065B4" w:rsidRDefault="00FB170E" w:rsidP="006065B4">
      <w:pPr>
        <w:spacing w:after="0"/>
        <w:jc w:val="center"/>
        <w:rPr>
          <w:rStyle w:val="Textoennegrita"/>
          <w:rFonts w:ascii="Verdana" w:hAnsi="Verdana"/>
          <w:bCs w:val="0"/>
          <w:sz w:val="24"/>
          <w:szCs w:val="24"/>
          <w:lang w:val="es-ES"/>
        </w:rPr>
      </w:pPr>
      <w:r w:rsidRPr="006065B4">
        <w:rPr>
          <w:rFonts w:ascii="Verdana" w:hAnsi="Verdana"/>
          <w:b/>
          <w:sz w:val="24"/>
          <w:szCs w:val="24"/>
          <w:lang w:val="es-ES"/>
        </w:rPr>
        <w:t>DE 5</w:t>
      </w:r>
      <w:r w:rsidR="003A6B04" w:rsidRPr="006065B4">
        <w:rPr>
          <w:rFonts w:ascii="Verdana" w:hAnsi="Verdana"/>
          <w:b/>
          <w:sz w:val="24"/>
          <w:szCs w:val="24"/>
          <w:lang w:val="es-ES"/>
        </w:rPr>
        <w:t xml:space="preserve"> </w:t>
      </w:r>
      <w:r w:rsidRPr="006065B4">
        <w:rPr>
          <w:rFonts w:ascii="Verdana" w:hAnsi="Verdana"/>
          <w:b/>
          <w:sz w:val="24"/>
          <w:szCs w:val="24"/>
          <w:lang w:val="es-ES"/>
        </w:rPr>
        <w:t>DE MARZO 2019</w:t>
      </w:r>
      <w:r w:rsidR="003A6B04" w:rsidRPr="006065B4">
        <w:rPr>
          <w:rFonts w:ascii="Verdana" w:hAnsi="Verdana"/>
          <w:color w:val="000000"/>
          <w:sz w:val="24"/>
          <w:szCs w:val="24"/>
          <w:shd w:val="clear" w:color="auto" w:fill="FFFFFF"/>
        </w:rPr>
        <w:t xml:space="preserve"> </w:t>
      </w:r>
    </w:p>
    <w:p w:rsidR="003A6B04" w:rsidRPr="006065B4" w:rsidRDefault="003A6B04" w:rsidP="003A6B04">
      <w:pPr>
        <w:spacing w:after="0"/>
        <w:jc w:val="center"/>
        <w:rPr>
          <w:rFonts w:ascii="Verdana" w:hAnsi="Verdana"/>
          <w:b/>
          <w:sz w:val="24"/>
          <w:szCs w:val="24"/>
          <w:lang w:val="es-ES"/>
        </w:rPr>
      </w:pPr>
      <w:r w:rsidRPr="006065B4">
        <w:rPr>
          <w:rStyle w:val="Textoennegrita"/>
          <w:rFonts w:ascii="Verdana" w:hAnsi="Verdana"/>
          <w:color w:val="000000"/>
          <w:sz w:val="24"/>
          <w:szCs w:val="24"/>
          <w:shd w:val="clear" w:color="auto" w:fill="FFFFFF"/>
        </w:rPr>
        <w:t xml:space="preserve">CASO MACK CHANG Y OTROS </w:t>
      </w:r>
      <w:r w:rsidRPr="006065B4">
        <w:rPr>
          <w:rStyle w:val="Textoennegrita"/>
          <w:rFonts w:ascii="Verdana" w:hAnsi="Verdana"/>
          <w:i/>
          <w:color w:val="000000"/>
          <w:sz w:val="24"/>
          <w:szCs w:val="24"/>
          <w:shd w:val="clear" w:color="auto" w:fill="FFFFFF"/>
        </w:rPr>
        <w:t>VS</w:t>
      </w:r>
      <w:r w:rsidRPr="006065B4">
        <w:rPr>
          <w:rStyle w:val="Textoennegrita"/>
          <w:rFonts w:ascii="Verdana" w:hAnsi="Verdana"/>
          <w:color w:val="000000"/>
          <w:sz w:val="24"/>
          <w:szCs w:val="24"/>
          <w:shd w:val="clear" w:color="auto" w:fill="FFFFFF"/>
        </w:rPr>
        <w:t xml:space="preserve"> GUATEMALA</w:t>
      </w:r>
    </w:p>
    <w:p w:rsidR="003A6B04" w:rsidRPr="006065B4" w:rsidRDefault="003A6B04" w:rsidP="003A6B04">
      <w:pPr>
        <w:spacing w:after="0"/>
        <w:jc w:val="center"/>
        <w:rPr>
          <w:rFonts w:ascii="Verdana" w:hAnsi="Verdana"/>
          <w:b/>
          <w:sz w:val="24"/>
          <w:szCs w:val="24"/>
          <w:lang w:val="es-ES"/>
        </w:rPr>
      </w:pPr>
      <w:r w:rsidRPr="006065B4">
        <w:rPr>
          <w:rFonts w:ascii="Verdana" w:hAnsi="Verdana"/>
          <w:b/>
          <w:sz w:val="24"/>
          <w:szCs w:val="24"/>
          <w:lang w:val="es-ES"/>
        </w:rPr>
        <w:t>MEDIDAS PROVISIONALES</w:t>
      </w:r>
    </w:p>
    <w:p w:rsidR="003A6B04" w:rsidRPr="00531358" w:rsidRDefault="003A6B04" w:rsidP="003A6B04">
      <w:pPr>
        <w:spacing w:after="0"/>
        <w:jc w:val="center"/>
        <w:rPr>
          <w:b/>
          <w:sz w:val="24"/>
          <w:szCs w:val="24"/>
          <w:lang w:val="es-ES"/>
        </w:rPr>
      </w:pPr>
      <w:r>
        <w:rPr>
          <w:b/>
          <w:sz w:val="24"/>
          <w:szCs w:val="24"/>
          <w:lang w:val="es-ES"/>
        </w:rPr>
        <w:t>….</w:t>
      </w:r>
    </w:p>
    <w:p w:rsidR="003A6B04" w:rsidRPr="006065B4" w:rsidRDefault="00DD3640" w:rsidP="003A6B04">
      <w:pPr>
        <w:spacing w:after="0"/>
        <w:jc w:val="both"/>
        <w:rPr>
          <w:rFonts w:ascii="Verdana" w:hAnsi="Verdana"/>
          <w:sz w:val="20"/>
          <w:szCs w:val="20"/>
          <w:lang w:val="es-ES"/>
        </w:rPr>
      </w:pPr>
      <w:r w:rsidRPr="006065B4">
        <w:rPr>
          <w:rFonts w:ascii="Verdana" w:hAnsi="Verdana"/>
          <w:sz w:val="20"/>
          <w:szCs w:val="20"/>
          <w:lang w:val="es-ES"/>
        </w:rPr>
        <w:t>Se formula</w:t>
      </w:r>
      <w:r w:rsidR="003A6B04" w:rsidRPr="006065B4">
        <w:rPr>
          <w:rFonts w:ascii="Verdana" w:hAnsi="Verdana"/>
          <w:sz w:val="20"/>
          <w:szCs w:val="20"/>
          <w:lang w:val="es-ES"/>
        </w:rPr>
        <w:t xml:space="preserve"> el presente voto disidente respecto de la Resolución indicada en el rótulo en mérito de que ha precluido la facultad de la Corte Interamericana de Derechos Humanos</w:t>
      </w:r>
      <w:r w:rsidR="007558ED" w:rsidRPr="006065B4">
        <w:rPr>
          <w:rFonts w:ascii="Verdana" w:hAnsi="Verdana"/>
          <w:sz w:val="20"/>
          <w:szCs w:val="20"/>
          <w:lang w:val="es-ES"/>
        </w:rPr>
        <w:t xml:space="preserve"> </w:t>
      </w:r>
      <w:r w:rsidR="003A6B04" w:rsidRPr="006065B4">
        <w:rPr>
          <w:rFonts w:ascii="Verdana" w:hAnsi="Verdana"/>
          <w:sz w:val="20"/>
          <w:szCs w:val="20"/>
          <w:lang w:val="es-ES"/>
        </w:rPr>
        <w:t>de decretar la mantención de medidas provisionales respecto o en el marco del referido caso, sentenciado el 25 de noviembre de 2003.</w:t>
      </w:r>
    </w:p>
    <w:p w:rsidR="003A6B04" w:rsidRPr="006065B4" w:rsidRDefault="003A6B04" w:rsidP="003A6B04">
      <w:pPr>
        <w:spacing w:after="0"/>
        <w:jc w:val="both"/>
        <w:rPr>
          <w:rFonts w:ascii="Verdana" w:hAnsi="Verdana"/>
          <w:sz w:val="20"/>
          <w:szCs w:val="20"/>
          <w:lang w:val="es-ES"/>
        </w:rPr>
      </w:pPr>
    </w:p>
    <w:p w:rsidR="003A6B04" w:rsidRPr="006065B4" w:rsidRDefault="003A6B04" w:rsidP="007558ED">
      <w:pPr>
        <w:autoSpaceDE w:val="0"/>
        <w:autoSpaceDN w:val="0"/>
        <w:adjustRightInd w:val="0"/>
        <w:jc w:val="both"/>
        <w:rPr>
          <w:rFonts w:ascii="Verdana" w:hAnsi="Verdana"/>
          <w:sz w:val="20"/>
          <w:szCs w:val="20"/>
          <w:lang w:val="es-ES"/>
        </w:rPr>
      </w:pPr>
      <w:r w:rsidRPr="006065B4">
        <w:rPr>
          <w:rFonts w:ascii="Verdana" w:hAnsi="Verdana" w:cs="Arial"/>
          <w:sz w:val="20"/>
          <w:szCs w:val="20"/>
        </w:rPr>
        <w:t xml:space="preserve">Y se formula </w:t>
      </w:r>
      <w:r w:rsidR="007558ED" w:rsidRPr="006065B4">
        <w:rPr>
          <w:rFonts w:ascii="Verdana" w:hAnsi="Verdana" w:cs="Arial"/>
          <w:sz w:val="20"/>
          <w:szCs w:val="20"/>
        </w:rPr>
        <w:t xml:space="preserve">reiterando lo expuesto en los </w:t>
      </w:r>
      <w:r w:rsidR="00DD3640" w:rsidRPr="006065B4">
        <w:rPr>
          <w:rFonts w:ascii="Verdana" w:hAnsi="Verdana" w:cs="Arial"/>
          <w:sz w:val="20"/>
          <w:szCs w:val="20"/>
        </w:rPr>
        <w:t xml:space="preserve">otros </w:t>
      </w:r>
      <w:r w:rsidR="007558ED" w:rsidRPr="006065B4">
        <w:rPr>
          <w:rFonts w:ascii="Verdana" w:hAnsi="Verdana" w:cs="Arial"/>
          <w:sz w:val="20"/>
          <w:szCs w:val="20"/>
        </w:rPr>
        <w:t>votos individuales emitidos por el suscrito sobre la materia</w:t>
      </w:r>
      <w:r w:rsidR="007558ED" w:rsidRPr="006065B4">
        <w:rPr>
          <w:rStyle w:val="Refdenotaalpie"/>
          <w:rFonts w:ascii="Verdana" w:hAnsi="Verdana" w:cs="Arial"/>
          <w:sz w:val="20"/>
          <w:szCs w:val="20"/>
        </w:rPr>
        <w:footnoteReference w:id="1"/>
      </w:r>
      <w:r w:rsidR="007558ED" w:rsidRPr="006065B4">
        <w:rPr>
          <w:rFonts w:ascii="Verdana" w:hAnsi="Verdana" w:cs="Arial"/>
          <w:sz w:val="20"/>
          <w:szCs w:val="20"/>
        </w:rPr>
        <w:t>, los que, por este acto e instrumento, se ratifican, en especial el emitido en cuanto al</w:t>
      </w:r>
      <w:r w:rsidR="007558ED" w:rsidRPr="006065B4">
        <w:rPr>
          <w:rFonts w:ascii="Verdana" w:hAnsi="Verdana" w:cs="Calibri"/>
          <w:sz w:val="20"/>
          <w:szCs w:val="20"/>
          <w:lang w:val="es-MX"/>
        </w:rPr>
        <w:t xml:space="preserve"> Caso Mack Chang y Otros </w:t>
      </w:r>
      <w:r w:rsidR="007558ED" w:rsidRPr="006065B4">
        <w:rPr>
          <w:rFonts w:ascii="Verdana" w:hAnsi="Verdana" w:cs="Calibri"/>
          <w:i/>
          <w:sz w:val="20"/>
          <w:szCs w:val="20"/>
          <w:lang w:val="es-MX"/>
        </w:rPr>
        <w:t>Vs</w:t>
      </w:r>
      <w:r w:rsidR="007558ED" w:rsidRPr="006065B4">
        <w:rPr>
          <w:rFonts w:ascii="Verdana" w:hAnsi="Verdana"/>
          <w:sz w:val="20"/>
          <w:szCs w:val="20"/>
          <w:lang w:val="es-ES"/>
        </w:rPr>
        <w:t xml:space="preserve">. </w:t>
      </w:r>
      <w:r w:rsidR="007558ED" w:rsidRPr="006065B4">
        <w:rPr>
          <w:rFonts w:ascii="Verdana" w:hAnsi="Verdana"/>
          <w:i/>
          <w:sz w:val="20"/>
          <w:szCs w:val="20"/>
          <w:lang w:val="es-ES"/>
        </w:rPr>
        <w:t>Guatemala</w:t>
      </w:r>
      <w:r w:rsidR="007558ED" w:rsidRPr="006065B4">
        <w:rPr>
          <w:rFonts w:ascii="Verdana" w:hAnsi="Verdana"/>
          <w:sz w:val="20"/>
          <w:szCs w:val="20"/>
          <w:lang w:val="es-ES"/>
        </w:rPr>
        <w:t>, de 26 de enero de 2015</w:t>
      </w:r>
      <w:r w:rsidR="007558ED" w:rsidRPr="006065B4">
        <w:rPr>
          <w:rFonts w:ascii="Verdana" w:hAnsi="Verdana" w:cs="Arial"/>
          <w:sz w:val="20"/>
          <w:szCs w:val="20"/>
        </w:rPr>
        <w:t>.</w:t>
      </w:r>
      <w:r w:rsidR="007558ED" w:rsidRPr="006065B4">
        <w:rPr>
          <w:rFonts w:ascii="Verdana" w:hAnsi="Verdana"/>
          <w:sz w:val="20"/>
          <w:szCs w:val="20"/>
          <w:lang w:val="es-ES"/>
        </w:rPr>
        <w:t xml:space="preserve"> </w:t>
      </w:r>
    </w:p>
    <w:p w:rsidR="00B0410B" w:rsidRPr="006065B4" w:rsidRDefault="00B0410B" w:rsidP="00B0410B">
      <w:pPr>
        <w:autoSpaceDE w:val="0"/>
        <w:autoSpaceDN w:val="0"/>
        <w:adjustRightInd w:val="0"/>
        <w:spacing w:after="0"/>
        <w:jc w:val="both"/>
        <w:rPr>
          <w:rFonts w:ascii="Verdana" w:hAnsi="Verdana" w:cstheme="minorHAnsi"/>
          <w:sz w:val="20"/>
          <w:szCs w:val="20"/>
          <w:lang w:val="es-ES"/>
        </w:rPr>
      </w:pPr>
    </w:p>
    <w:p w:rsidR="00B0410B" w:rsidRPr="006065B4" w:rsidRDefault="00B0410B" w:rsidP="00B0410B">
      <w:pPr>
        <w:autoSpaceDE w:val="0"/>
        <w:autoSpaceDN w:val="0"/>
        <w:adjustRightInd w:val="0"/>
        <w:spacing w:after="0"/>
        <w:jc w:val="both"/>
        <w:rPr>
          <w:rFonts w:ascii="Verdana" w:hAnsi="Verdana" w:cstheme="minorHAnsi"/>
          <w:sz w:val="20"/>
          <w:szCs w:val="20"/>
          <w:lang w:val="es-ES"/>
        </w:rPr>
      </w:pPr>
    </w:p>
    <w:p w:rsidR="00B0410B" w:rsidRPr="006065B4" w:rsidRDefault="00B0410B" w:rsidP="00B0410B">
      <w:pPr>
        <w:spacing w:after="0"/>
        <w:ind w:left="5040" w:firstLine="720"/>
        <w:jc w:val="center"/>
        <w:rPr>
          <w:rFonts w:ascii="Verdana" w:hAnsi="Verdana" w:cstheme="minorHAnsi"/>
          <w:sz w:val="20"/>
          <w:szCs w:val="20"/>
        </w:rPr>
      </w:pPr>
      <w:r w:rsidRPr="006065B4">
        <w:rPr>
          <w:rFonts w:ascii="Verdana" w:hAnsi="Verdana" w:cstheme="minorHAnsi"/>
          <w:sz w:val="20"/>
          <w:szCs w:val="20"/>
        </w:rPr>
        <w:t>Eduardo Vio Grossi</w:t>
      </w:r>
    </w:p>
    <w:p w:rsidR="00B0410B" w:rsidRPr="006065B4" w:rsidRDefault="00B0410B" w:rsidP="00B0410B">
      <w:pPr>
        <w:spacing w:after="0"/>
        <w:ind w:left="5040" w:firstLine="720"/>
        <w:jc w:val="center"/>
        <w:rPr>
          <w:rFonts w:ascii="Verdana" w:hAnsi="Verdana" w:cstheme="minorHAnsi"/>
          <w:sz w:val="20"/>
          <w:szCs w:val="20"/>
        </w:rPr>
      </w:pPr>
      <w:r w:rsidRPr="006065B4">
        <w:rPr>
          <w:rFonts w:ascii="Verdana" w:hAnsi="Verdana" w:cstheme="minorHAnsi"/>
          <w:sz w:val="20"/>
          <w:szCs w:val="20"/>
        </w:rPr>
        <w:t>Juez</w:t>
      </w:r>
    </w:p>
    <w:p w:rsidR="00B0410B" w:rsidRPr="006065B4" w:rsidRDefault="00B0410B" w:rsidP="00B0410B">
      <w:pPr>
        <w:spacing w:after="0"/>
        <w:rPr>
          <w:rFonts w:ascii="Verdana" w:hAnsi="Verdana" w:cstheme="minorHAnsi"/>
          <w:sz w:val="20"/>
          <w:szCs w:val="20"/>
        </w:rPr>
      </w:pPr>
      <w:r w:rsidRPr="006065B4">
        <w:rPr>
          <w:rFonts w:ascii="Verdana" w:hAnsi="Verdana" w:cstheme="minorHAnsi"/>
          <w:sz w:val="20"/>
          <w:szCs w:val="20"/>
        </w:rPr>
        <w:t>Pablo Saavedra Alessandri</w:t>
      </w:r>
    </w:p>
    <w:p w:rsidR="00B0410B" w:rsidRPr="006065B4" w:rsidRDefault="00B0410B" w:rsidP="00B0410B">
      <w:pPr>
        <w:spacing w:after="0"/>
        <w:rPr>
          <w:rFonts w:ascii="Verdana" w:hAnsi="Verdana" w:cstheme="minorHAnsi"/>
          <w:sz w:val="20"/>
          <w:szCs w:val="20"/>
        </w:rPr>
      </w:pPr>
      <w:r w:rsidRPr="006065B4">
        <w:rPr>
          <w:rFonts w:ascii="Verdana" w:hAnsi="Verdana" w:cstheme="minorHAnsi"/>
          <w:sz w:val="20"/>
          <w:szCs w:val="20"/>
        </w:rPr>
        <w:t xml:space="preserve">               Secretario</w:t>
      </w:r>
    </w:p>
    <w:p w:rsidR="007558ED" w:rsidRDefault="007558ED" w:rsidP="00B0410B">
      <w:pPr>
        <w:spacing w:after="0" w:line="240" w:lineRule="auto"/>
        <w:jc w:val="right"/>
      </w:pPr>
    </w:p>
    <w:sectPr w:rsidR="007558ED" w:rsidSect="008704C4">
      <w:foot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77231" w:rsidRDefault="00177231" w:rsidP="003A6B04">
      <w:pPr>
        <w:spacing w:after="0" w:line="240" w:lineRule="auto"/>
      </w:pPr>
      <w:r>
        <w:separator/>
      </w:r>
    </w:p>
  </w:endnote>
  <w:endnote w:type="continuationSeparator" w:id="0">
    <w:p w:rsidR="00177231" w:rsidRDefault="00177231" w:rsidP="003A6B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58ED" w:rsidRDefault="007558ED">
    <w:pPr>
      <w:pStyle w:val="Piedepgina"/>
    </w:pPr>
  </w:p>
  <w:p w:rsidR="00255F9E" w:rsidRDefault="007C43D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77231" w:rsidRDefault="00177231" w:rsidP="003A6B04">
      <w:pPr>
        <w:spacing w:after="0" w:line="240" w:lineRule="auto"/>
      </w:pPr>
      <w:r>
        <w:separator/>
      </w:r>
    </w:p>
  </w:footnote>
  <w:footnote w:type="continuationSeparator" w:id="0">
    <w:p w:rsidR="00177231" w:rsidRDefault="00177231" w:rsidP="003A6B04">
      <w:pPr>
        <w:spacing w:after="0" w:line="240" w:lineRule="auto"/>
      </w:pPr>
      <w:r>
        <w:continuationSeparator/>
      </w:r>
    </w:p>
  </w:footnote>
  <w:footnote w:id="1">
    <w:p w:rsidR="007558ED" w:rsidRPr="007558ED" w:rsidRDefault="007558ED" w:rsidP="007558ED">
      <w:pPr>
        <w:pStyle w:val="Textonotapie"/>
        <w:jc w:val="both"/>
        <w:rPr>
          <w:rFonts w:ascii="Verdana" w:hAnsi="Verdana"/>
          <w:sz w:val="16"/>
          <w:szCs w:val="16"/>
          <w:lang w:val="es-CL"/>
        </w:rPr>
      </w:pPr>
      <w:r>
        <w:rPr>
          <w:rStyle w:val="Refdenotaalpie"/>
        </w:rPr>
        <w:footnoteRef/>
      </w:r>
      <w:r>
        <w:t xml:space="preserve"> </w:t>
      </w:r>
      <w:r w:rsidRPr="007558ED">
        <w:rPr>
          <w:rFonts w:ascii="Verdana" w:hAnsi="Verdana" w:cs="Calibri"/>
          <w:sz w:val="16"/>
          <w:szCs w:val="16"/>
          <w:lang w:val="es-MX"/>
        </w:rPr>
        <w:t>“</w:t>
      </w:r>
      <w:r w:rsidRPr="007558ED">
        <w:rPr>
          <w:rFonts w:ascii="Verdana" w:hAnsi="Verdana" w:cs="Calibri"/>
          <w:i/>
          <w:sz w:val="16"/>
          <w:szCs w:val="16"/>
          <w:lang w:val="es-MX"/>
        </w:rPr>
        <w:t>Medidas Provisionales respecto de la República de Colombia, Caso Gutiérrez Soler Vs. Colombia</w:t>
      </w:r>
      <w:r w:rsidRPr="007558ED">
        <w:rPr>
          <w:rFonts w:ascii="Verdana" w:hAnsi="Verdana" w:cs="Calibri"/>
          <w:sz w:val="16"/>
          <w:szCs w:val="16"/>
          <w:lang w:val="es-MX"/>
        </w:rPr>
        <w:t>”, de 30 de junio de 2011; “</w:t>
      </w:r>
      <w:r w:rsidRPr="007558ED">
        <w:rPr>
          <w:rFonts w:ascii="Verdana" w:hAnsi="Verdana" w:cs="Calibri"/>
          <w:i/>
          <w:sz w:val="16"/>
          <w:szCs w:val="16"/>
          <w:lang w:val="es-MX"/>
        </w:rPr>
        <w:t>Medidas Provisionales respecto de los Estados Unidos Mexicanos, Caso Rosendo Cantú y otra Vs. México</w:t>
      </w:r>
      <w:r w:rsidR="00B2012D">
        <w:rPr>
          <w:rFonts w:ascii="Verdana" w:hAnsi="Verdana" w:cs="Calibri"/>
          <w:sz w:val="16"/>
          <w:szCs w:val="16"/>
          <w:lang w:val="es-MX"/>
        </w:rPr>
        <w:t>”, de 1 de julio de 2011;</w:t>
      </w:r>
      <w:r w:rsidRPr="007558ED">
        <w:rPr>
          <w:rFonts w:ascii="Verdana" w:hAnsi="Verdana" w:cs="Calibri"/>
          <w:sz w:val="16"/>
          <w:szCs w:val="16"/>
          <w:lang w:val="es-MX"/>
        </w:rPr>
        <w:t xml:space="preserve"> “</w:t>
      </w:r>
      <w:r w:rsidRPr="007558ED">
        <w:rPr>
          <w:rFonts w:ascii="Verdana" w:hAnsi="Verdana" w:cs="Calibri"/>
          <w:i/>
          <w:sz w:val="16"/>
          <w:szCs w:val="16"/>
          <w:lang w:val="es-MX"/>
        </w:rPr>
        <w:t>Medidas Provisionales respecto de la República de Honduras, Caso Kawas Fernández Vs. Honduras</w:t>
      </w:r>
      <w:r w:rsidRPr="007558ED">
        <w:rPr>
          <w:rFonts w:ascii="Verdana" w:hAnsi="Verdana" w:cs="Calibri"/>
          <w:sz w:val="16"/>
          <w:szCs w:val="16"/>
          <w:lang w:val="es-MX"/>
        </w:rPr>
        <w:t>”, de 5 de julio de 2011</w:t>
      </w:r>
      <w:r w:rsidR="00B2012D">
        <w:rPr>
          <w:rFonts w:ascii="Verdana" w:hAnsi="Verdana"/>
          <w:sz w:val="16"/>
          <w:szCs w:val="16"/>
          <w:lang w:val="es-ES"/>
        </w:rPr>
        <w:t>;</w:t>
      </w:r>
      <w:r w:rsidRPr="00294427">
        <w:rPr>
          <w:rFonts w:ascii="Verdana" w:hAnsi="Verdana"/>
          <w:sz w:val="16"/>
          <w:szCs w:val="16"/>
          <w:lang w:val="es-ES"/>
        </w:rPr>
        <w:t xml:space="preserve"> </w:t>
      </w:r>
      <w:r w:rsidRPr="007558ED">
        <w:rPr>
          <w:rStyle w:val="Textoennegrita"/>
          <w:rFonts w:ascii="Verdana" w:hAnsi="Verdana"/>
          <w:b w:val="0"/>
          <w:i/>
          <w:color w:val="000000"/>
          <w:sz w:val="16"/>
          <w:szCs w:val="16"/>
          <w:shd w:val="clear" w:color="auto" w:fill="FFFFFF"/>
        </w:rPr>
        <w:t>Caso Pacheco Teruel y otros respecto de Honduras</w:t>
      </w:r>
      <w:r w:rsidRPr="007558ED">
        <w:rPr>
          <w:rStyle w:val="Textoennegrita"/>
          <w:rFonts w:ascii="Verdana" w:hAnsi="Verdana"/>
          <w:b w:val="0"/>
          <w:color w:val="000000"/>
          <w:sz w:val="16"/>
          <w:szCs w:val="16"/>
          <w:shd w:val="clear" w:color="auto" w:fill="FFFFFF"/>
        </w:rPr>
        <w:t>. Reso</w:t>
      </w:r>
      <w:r w:rsidR="00294427">
        <w:rPr>
          <w:rStyle w:val="Textoennegrita"/>
          <w:rFonts w:ascii="Verdana" w:hAnsi="Verdana"/>
          <w:b w:val="0"/>
          <w:color w:val="000000"/>
          <w:sz w:val="16"/>
          <w:szCs w:val="16"/>
          <w:shd w:val="clear" w:color="auto" w:fill="FFFFFF"/>
        </w:rPr>
        <w:t>lución de 13 de febrero de 2013</w:t>
      </w:r>
      <w:r w:rsidR="00B2012D">
        <w:rPr>
          <w:rStyle w:val="Textoennegrita"/>
          <w:rFonts w:ascii="Verdana" w:hAnsi="Verdana"/>
          <w:b w:val="0"/>
          <w:color w:val="000000"/>
          <w:sz w:val="16"/>
          <w:szCs w:val="16"/>
          <w:shd w:val="clear" w:color="auto" w:fill="FFFFFF"/>
          <w:lang w:val="es-CR"/>
        </w:rPr>
        <w:t>;</w:t>
      </w:r>
      <w:r w:rsidR="00294427">
        <w:rPr>
          <w:rStyle w:val="Textoennegrita"/>
          <w:rFonts w:ascii="Verdana" w:hAnsi="Verdana"/>
          <w:b w:val="0"/>
          <w:color w:val="000000"/>
          <w:sz w:val="16"/>
          <w:szCs w:val="16"/>
          <w:shd w:val="clear" w:color="auto" w:fill="FFFFFF"/>
          <w:lang w:val="es-CR"/>
        </w:rPr>
        <w:t xml:space="preserve"> </w:t>
      </w:r>
      <w:r w:rsidRPr="007558ED">
        <w:rPr>
          <w:rStyle w:val="Textoennegrita"/>
          <w:rFonts w:ascii="Verdana" w:hAnsi="Verdana"/>
          <w:b w:val="0"/>
          <w:i/>
          <w:color w:val="000000"/>
          <w:sz w:val="16"/>
          <w:szCs w:val="16"/>
          <w:shd w:val="clear" w:color="auto" w:fill="FFFFFF"/>
        </w:rPr>
        <w:t>Caso Familia Barrios respecto de Venezuela</w:t>
      </w:r>
      <w:r w:rsidR="00B2012D">
        <w:rPr>
          <w:rStyle w:val="Textoennegrita"/>
          <w:rFonts w:ascii="Verdana" w:hAnsi="Verdana"/>
          <w:b w:val="0"/>
          <w:color w:val="000000"/>
          <w:sz w:val="16"/>
          <w:szCs w:val="16"/>
          <w:shd w:val="clear" w:color="auto" w:fill="FFFFFF"/>
        </w:rPr>
        <w:t>, de 13 de febrero de 2013</w:t>
      </w:r>
      <w:r w:rsidR="00B2012D">
        <w:rPr>
          <w:rStyle w:val="Textoennegrita"/>
          <w:rFonts w:ascii="Verdana" w:hAnsi="Verdana"/>
          <w:b w:val="0"/>
          <w:color w:val="000000"/>
          <w:sz w:val="16"/>
          <w:szCs w:val="16"/>
          <w:shd w:val="clear" w:color="auto" w:fill="FFFFFF"/>
          <w:lang w:val="es-CR"/>
        </w:rPr>
        <w:t>;</w:t>
      </w:r>
      <w:r w:rsidRPr="007558ED">
        <w:rPr>
          <w:rStyle w:val="Textoennegrita"/>
          <w:rFonts w:ascii="Verdana" w:hAnsi="Verdana"/>
          <w:b w:val="0"/>
          <w:color w:val="000000"/>
          <w:sz w:val="16"/>
          <w:szCs w:val="16"/>
          <w:shd w:val="clear" w:color="auto" w:fill="FFFFFF"/>
        </w:rPr>
        <w:t xml:space="preserve"> Asunto </w:t>
      </w:r>
      <w:r w:rsidRPr="007558ED">
        <w:rPr>
          <w:rStyle w:val="Textoennegrita"/>
          <w:rFonts w:ascii="Verdana" w:hAnsi="Verdana"/>
          <w:b w:val="0"/>
          <w:i/>
          <w:color w:val="000000"/>
          <w:sz w:val="16"/>
          <w:szCs w:val="16"/>
          <w:shd w:val="clear" w:color="auto" w:fill="FFFFFF"/>
        </w:rPr>
        <w:t>Millacura Llaipén y otros respecto de Argentina</w:t>
      </w:r>
      <w:r w:rsidR="00B2012D">
        <w:rPr>
          <w:rStyle w:val="Textoennegrita"/>
          <w:rFonts w:ascii="Verdana" w:hAnsi="Verdana"/>
          <w:b w:val="0"/>
          <w:color w:val="000000"/>
          <w:sz w:val="16"/>
          <w:szCs w:val="16"/>
          <w:shd w:val="clear" w:color="auto" w:fill="FFFFFF"/>
        </w:rPr>
        <w:t>, de 13 de febrero de 2013</w:t>
      </w:r>
      <w:r w:rsidR="00B2012D">
        <w:rPr>
          <w:rStyle w:val="Textoennegrita"/>
          <w:rFonts w:ascii="Verdana" w:hAnsi="Verdana"/>
          <w:b w:val="0"/>
          <w:color w:val="000000"/>
          <w:sz w:val="16"/>
          <w:szCs w:val="16"/>
          <w:shd w:val="clear" w:color="auto" w:fill="FFFFFF"/>
          <w:lang w:val="es-CR"/>
        </w:rPr>
        <w:t>;</w:t>
      </w:r>
      <w:r w:rsidRPr="007558ED">
        <w:rPr>
          <w:rStyle w:val="Textoennegrita"/>
          <w:rFonts w:ascii="Verdana" w:hAnsi="Verdana"/>
          <w:b w:val="0"/>
          <w:color w:val="000000"/>
          <w:sz w:val="16"/>
          <w:szCs w:val="16"/>
          <w:shd w:val="clear" w:color="auto" w:fill="FFFFFF"/>
        </w:rPr>
        <w:t xml:space="preserve"> </w:t>
      </w:r>
      <w:r w:rsidRPr="007558ED">
        <w:rPr>
          <w:rStyle w:val="Textoennegrita"/>
          <w:rFonts w:ascii="Verdana" w:hAnsi="Verdana"/>
          <w:b w:val="0"/>
          <w:i/>
          <w:color w:val="000000"/>
          <w:sz w:val="16"/>
          <w:szCs w:val="16"/>
          <w:shd w:val="clear" w:color="auto" w:fill="FFFFFF"/>
        </w:rPr>
        <w:t>Caso Familia Barrios respecto de Venezuela</w:t>
      </w:r>
      <w:r w:rsidR="00B2012D">
        <w:rPr>
          <w:rStyle w:val="Textoennegrita"/>
          <w:rFonts w:ascii="Verdana" w:hAnsi="Verdana"/>
          <w:b w:val="0"/>
          <w:color w:val="000000"/>
          <w:sz w:val="16"/>
          <w:szCs w:val="16"/>
          <w:shd w:val="clear" w:color="auto" w:fill="FFFFFF"/>
        </w:rPr>
        <w:t>, de 30 de mayo de 2013</w:t>
      </w:r>
      <w:r w:rsidR="00B2012D">
        <w:rPr>
          <w:rStyle w:val="Textoennegrita"/>
          <w:rFonts w:ascii="Verdana" w:hAnsi="Verdana"/>
          <w:b w:val="0"/>
          <w:color w:val="000000"/>
          <w:sz w:val="16"/>
          <w:szCs w:val="16"/>
          <w:shd w:val="clear" w:color="auto" w:fill="FFFFFF"/>
          <w:lang w:val="es-CR"/>
        </w:rPr>
        <w:t>;</w:t>
      </w:r>
      <w:r w:rsidRPr="007558ED">
        <w:rPr>
          <w:rStyle w:val="Textoennegrita"/>
          <w:rFonts w:ascii="Verdana" w:hAnsi="Verdana"/>
          <w:b w:val="0"/>
          <w:color w:val="000000"/>
          <w:sz w:val="16"/>
          <w:szCs w:val="16"/>
          <w:shd w:val="clear" w:color="auto" w:fill="FFFFFF"/>
        </w:rPr>
        <w:t xml:space="preserve"> </w:t>
      </w:r>
      <w:r w:rsidRPr="007558ED">
        <w:rPr>
          <w:rStyle w:val="Textoennegrita"/>
          <w:rFonts w:ascii="Verdana" w:hAnsi="Verdana"/>
          <w:b w:val="0"/>
          <w:i/>
          <w:color w:val="000000"/>
          <w:sz w:val="16"/>
          <w:szCs w:val="16"/>
          <w:shd w:val="clear" w:color="auto" w:fill="FFFFFF"/>
        </w:rPr>
        <w:t xml:space="preserve">Caso Artavia </w:t>
      </w:r>
      <w:bookmarkStart w:id="0" w:name="_GoBack"/>
      <w:bookmarkEnd w:id="0"/>
      <w:r w:rsidRPr="007558ED">
        <w:rPr>
          <w:rStyle w:val="Textoennegrita"/>
          <w:rFonts w:ascii="Verdana" w:hAnsi="Verdana"/>
          <w:b w:val="0"/>
          <w:i/>
          <w:color w:val="000000"/>
          <w:sz w:val="16"/>
          <w:szCs w:val="16"/>
          <w:shd w:val="clear" w:color="auto" w:fill="FFFFFF"/>
        </w:rPr>
        <w:t>Murillo y otros ("Fecundación in vitro") Vs. Costa Rica,</w:t>
      </w:r>
      <w:r w:rsidRPr="007558ED">
        <w:rPr>
          <w:rStyle w:val="Textoennegrita"/>
          <w:rFonts w:ascii="Verdana" w:hAnsi="Verdana"/>
          <w:b w:val="0"/>
          <w:color w:val="000000"/>
          <w:sz w:val="16"/>
          <w:szCs w:val="16"/>
          <w:shd w:val="clear" w:color="auto" w:fill="FFFFFF"/>
        </w:rPr>
        <w:t xml:space="preserve"> de 31 de marzo de 2014</w:t>
      </w:r>
      <w:r w:rsidR="00B2012D">
        <w:rPr>
          <w:rFonts w:ascii="Verdana" w:hAnsi="Verdana" w:cs="Calibri"/>
          <w:sz w:val="16"/>
          <w:szCs w:val="16"/>
          <w:lang w:val="es-MX"/>
        </w:rPr>
        <w:t>;</w:t>
      </w:r>
      <w:r w:rsidRPr="007558ED">
        <w:rPr>
          <w:rFonts w:ascii="Verdana" w:hAnsi="Verdana" w:cs="Calibri"/>
          <w:sz w:val="16"/>
          <w:szCs w:val="16"/>
          <w:lang w:val="es-MX"/>
        </w:rPr>
        <w:t xml:space="preserve"> </w:t>
      </w:r>
      <w:r w:rsidRPr="00294427">
        <w:rPr>
          <w:rFonts w:ascii="Verdana" w:hAnsi="Verdana" w:cs="Calibri"/>
          <w:i/>
          <w:sz w:val="16"/>
          <w:szCs w:val="16"/>
          <w:lang w:val="es-MX"/>
        </w:rPr>
        <w:t>Caso Mack Chang y Otros Vs</w:t>
      </w:r>
      <w:r w:rsidRPr="00294427">
        <w:rPr>
          <w:rFonts w:ascii="Verdana" w:hAnsi="Verdana"/>
          <w:i/>
          <w:sz w:val="16"/>
          <w:szCs w:val="16"/>
          <w:lang w:val="es-ES"/>
        </w:rPr>
        <w:t>. Guatemala</w:t>
      </w:r>
      <w:r w:rsidRPr="007558ED">
        <w:rPr>
          <w:rFonts w:ascii="Verdana" w:hAnsi="Verdana"/>
          <w:sz w:val="16"/>
          <w:szCs w:val="16"/>
          <w:lang w:val="es-ES"/>
        </w:rPr>
        <w:t>, de 26 de enero de 2015</w:t>
      </w:r>
      <w:r w:rsidR="00B2012D">
        <w:rPr>
          <w:rFonts w:ascii="Verdana" w:hAnsi="Verdana"/>
          <w:sz w:val="16"/>
          <w:szCs w:val="16"/>
          <w:lang w:val="es-ES"/>
        </w:rPr>
        <w:t>;</w:t>
      </w:r>
      <w:r w:rsidRPr="007558ED">
        <w:rPr>
          <w:rFonts w:ascii="Verdana" w:hAnsi="Verdana" w:cs="Calibri"/>
          <w:sz w:val="16"/>
          <w:szCs w:val="16"/>
          <w:lang w:val="es-MX"/>
        </w:rPr>
        <w:t xml:space="preserve"> </w:t>
      </w:r>
      <w:r w:rsidRPr="007558ED">
        <w:rPr>
          <w:rFonts w:ascii="Verdana" w:hAnsi="Verdana" w:cs="Calibri"/>
          <w:i/>
          <w:sz w:val="16"/>
          <w:szCs w:val="16"/>
          <w:lang w:val="es-MX"/>
        </w:rPr>
        <w:t>Caso García Prieto y otros,</w:t>
      </w:r>
      <w:r w:rsidR="00294427">
        <w:rPr>
          <w:rFonts w:ascii="Verdana" w:hAnsi="Verdana" w:cs="Calibri"/>
          <w:sz w:val="16"/>
          <w:szCs w:val="16"/>
          <w:lang w:val="es-MX"/>
        </w:rPr>
        <w:t xml:space="preserve"> de</w:t>
      </w:r>
      <w:r w:rsidR="00B2012D">
        <w:rPr>
          <w:rFonts w:ascii="Verdana" w:hAnsi="Verdana" w:cs="Calibri"/>
          <w:sz w:val="16"/>
          <w:szCs w:val="16"/>
          <w:lang w:val="es-MX"/>
        </w:rPr>
        <w:t xml:space="preserve"> 26 enero de 2015;</w:t>
      </w:r>
      <w:r w:rsidRPr="007558ED">
        <w:rPr>
          <w:rFonts w:ascii="Verdana" w:hAnsi="Verdana" w:cs="Calibri"/>
          <w:sz w:val="16"/>
          <w:szCs w:val="16"/>
          <w:lang w:val="es-MX"/>
        </w:rPr>
        <w:t xml:space="preserve"> </w:t>
      </w:r>
      <w:r w:rsidRPr="007558ED">
        <w:rPr>
          <w:rStyle w:val="Textoennegrita"/>
          <w:rFonts w:ascii="Verdana" w:hAnsi="Verdana"/>
          <w:b w:val="0"/>
          <w:i/>
          <w:color w:val="000000"/>
          <w:sz w:val="16"/>
          <w:szCs w:val="16"/>
          <w:shd w:val="clear" w:color="auto" w:fill="FFFFFF"/>
        </w:rPr>
        <w:t>Caso Bámaca Velásquez Vs. Guatemala</w:t>
      </w:r>
      <w:r w:rsidR="00B2012D">
        <w:rPr>
          <w:rStyle w:val="Textoennegrita"/>
          <w:rFonts w:ascii="Verdana" w:hAnsi="Verdana"/>
          <w:b w:val="0"/>
          <w:color w:val="000000"/>
          <w:sz w:val="16"/>
          <w:szCs w:val="16"/>
          <w:shd w:val="clear" w:color="auto" w:fill="FFFFFF"/>
        </w:rPr>
        <w:t>, de 31 de agosto de 2016</w:t>
      </w:r>
      <w:r w:rsidR="00B2012D" w:rsidRPr="00B2012D">
        <w:rPr>
          <w:rStyle w:val="Textoennegrita"/>
          <w:rFonts w:ascii="Verdana" w:hAnsi="Verdana"/>
          <w:b w:val="0"/>
          <w:color w:val="000000"/>
          <w:sz w:val="16"/>
          <w:szCs w:val="16"/>
          <w:shd w:val="clear" w:color="auto" w:fill="FFFFFF"/>
          <w:lang w:val="es-CR"/>
        </w:rPr>
        <w:t>;</w:t>
      </w:r>
      <w:r w:rsidRPr="00B2012D">
        <w:rPr>
          <w:rFonts w:ascii="Verdana" w:hAnsi="Verdana"/>
          <w:sz w:val="16"/>
          <w:szCs w:val="16"/>
          <w:lang w:val="es-PR"/>
        </w:rPr>
        <w:t xml:space="preserve"> </w:t>
      </w:r>
      <w:r w:rsidRPr="00B2012D">
        <w:rPr>
          <w:rFonts w:ascii="Verdana" w:hAnsi="Verdana"/>
          <w:i/>
          <w:sz w:val="16"/>
          <w:szCs w:val="16"/>
          <w:lang w:val="es-PR"/>
        </w:rPr>
        <w:t>Caso</w:t>
      </w:r>
      <w:r w:rsidRPr="007558ED">
        <w:rPr>
          <w:rFonts w:ascii="Verdana" w:hAnsi="Verdana"/>
          <w:i/>
          <w:sz w:val="16"/>
          <w:szCs w:val="16"/>
          <w:lang w:val="es-PR"/>
        </w:rPr>
        <w:t xml:space="preserve"> Fernández Ortega y Otros Respecto de </w:t>
      </w:r>
      <w:r w:rsidR="00B2012D">
        <w:rPr>
          <w:rFonts w:ascii="Verdana" w:hAnsi="Verdana"/>
          <w:i/>
          <w:sz w:val="16"/>
          <w:szCs w:val="16"/>
          <w:lang w:val="es-PR"/>
        </w:rPr>
        <w:t>México, de 7 de febrero de 2017;</w:t>
      </w:r>
      <w:r w:rsidRPr="007558ED">
        <w:rPr>
          <w:rFonts w:ascii="Verdana" w:hAnsi="Verdana"/>
          <w:i/>
          <w:sz w:val="16"/>
          <w:szCs w:val="16"/>
          <w:lang w:val="es-PR"/>
        </w:rPr>
        <w:t xml:space="preserve"> Asunto Mery Naranjo y Otros Respecto de Colombia</w:t>
      </w:r>
      <w:r w:rsidRPr="007558ED">
        <w:rPr>
          <w:rFonts w:ascii="Verdana" w:hAnsi="Verdana"/>
          <w:sz w:val="16"/>
          <w:szCs w:val="16"/>
          <w:lang w:val="es-PR"/>
        </w:rPr>
        <w:t>, de 22 de agosto de 2017</w:t>
      </w:r>
      <w:r w:rsidR="00B2012D">
        <w:rPr>
          <w:rFonts w:ascii="Verdana" w:hAnsi="Verdana"/>
          <w:sz w:val="16"/>
          <w:szCs w:val="16"/>
          <w:lang w:val="es-ES"/>
        </w:rPr>
        <w:t>;</w:t>
      </w:r>
      <w:r w:rsidRPr="007558ED">
        <w:rPr>
          <w:rFonts w:ascii="Verdana" w:hAnsi="Verdana"/>
          <w:sz w:val="16"/>
          <w:szCs w:val="16"/>
          <w:lang w:val="es-ES"/>
        </w:rPr>
        <w:t xml:space="preserve"> </w:t>
      </w:r>
      <w:r w:rsidRPr="007558ED">
        <w:rPr>
          <w:rFonts w:ascii="Verdana" w:hAnsi="Verdana"/>
          <w:i/>
          <w:sz w:val="16"/>
          <w:szCs w:val="16"/>
          <w:lang w:val="es-PR"/>
        </w:rPr>
        <w:t>Caso Torres Millacura Vs. Argentina de 14 de noviembre de 2017</w:t>
      </w:r>
      <w:r w:rsidR="00B2012D">
        <w:rPr>
          <w:rFonts w:ascii="Verdana" w:hAnsi="Verdana"/>
          <w:sz w:val="16"/>
          <w:szCs w:val="16"/>
          <w:lang w:val="es-PR"/>
        </w:rPr>
        <w:t>;</w:t>
      </w:r>
      <w:r w:rsidRPr="007558ED">
        <w:rPr>
          <w:rFonts w:ascii="Verdana" w:hAnsi="Verdana"/>
          <w:sz w:val="16"/>
          <w:szCs w:val="16"/>
          <w:lang w:val="es-PR"/>
        </w:rPr>
        <w:t xml:space="preserve"> </w:t>
      </w:r>
      <w:r w:rsidRPr="007558ED">
        <w:rPr>
          <w:rStyle w:val="Textoennegrita"/>
          <w:rFonts w:ascii="Verdana" w:hAnsi="Verdana"/>
          <w:b w:val="0"/>
          <w:i/>
          <w:color w:val="000000"/>
          <w:sz w:val="16"/>
          <w:szCs w:val="16"/>
          <w:shd w:val="clear" w:color="auto" w:fill="FFFFFF"/>
        </w:rPr>
        <w:t>Caso Durand y Ugarte Vs. Perú</w:t>
      </w:r>
      <w:r w:rsidR="00B2012D">
        <w:rPr>
          <w:rStyle w:val="Textoennegrita"/>
          <w:rFonts w:ascii="Verdana" w:hAnsi="Verdana"/>
          <w:b w:val="0"/>
          <w:color w:val="000000"/>
          <w:sz w:val="16"/>
          <w:szCs w:val="16"/>
          <w:shd w:val="clear" w:color="auto" w:fill="FFFFFF"/>
        </w:rPr>
        <w:t>, de 8 de febrero de 2018</w:t>
      </w:r>
      <w:r w:rsidR="00B2012D">
        <w:rPr>
          <w:rStyle w:val="Textoennegrita"/>
          <w:rFonts w:ascii="Verdana" w:hAnsi="Verdana"/>
          <w:b w:val="0"/>
          <w:color w:val="000000"/>
          <w:sz w:val="16"/>
          <w:szCs w:val="16"/>
          <w:shd w:val="clear" w:color="auto" w:fill="FFFFFF"/>
          <w:lang w:val="es-CR"/>
        </w:rPr>
        <w:t>;</w:t>
      </w:r>
      <w:r w:rsidRPr="007558ED">
        <w:rPr>
          <w:rStyle w:val="Textoennegrita"/>
          <w:rFonts w:ascii="Verdana" w:hAnsi="Verdana"/>
          <w:b w:val="0"/>
          <w:color w:val="000000"/>
          <w:sz w:val="16"/>
          <w:szCs w:val="16"/>
          <w:shd w:val="clear" w:color="auto" w:fill="FFFFFF"/>
        </w:rPr>
        <w:t xml:space="preserve"> </w:t>
      </w:r>
      <w:r w:rsidRPr="007558ED">
        <w:rPr>
          <w:rStyle w:val="Textoennegrita"/>
          <w:rFonts w:ascii="Verdana" w:hAnsi="Verdana"/>
          <w:b w:val="0"/>
          <w:i/>
          <w:color w:val="000000"/>
          <w:sz w:val="16"/>
          <w:szCs w:val="16"/>
          <w:shd w:val="clear" w:color="auto" w:fill="FFFFFF"/>
        </w:rPr>
        <w:t>Caso Bámaca Velásquez Vs. Guatemala,</w:t>
      </w:r>
      <w:r w:rsidRPr="007558ED">
        <w:rPr>
          <w:rStyle w:val="Textoennegrita"/>
          <w:rFonts w:ascii="Verdana" w:hAnsi="Verdana"/>
          <w:b w:val="0"/>
          <w:color w:val="000000"/>
          <w:sz w:val="16"/>
          <w:szCs w:val="16"/>
          <w:shd w:val="clear" w:color="auto" w:fill="FFFFFF"/>
        </w:rPr>
        <w:t xml:space="preserve"> de 22 de noviembre de 2018</w:t>
      </w:r>
      <w:r w:rsidR="00B2012D" w:rsidRPr="00BB400F">
        <w:rPr>
          <w:rStyle w:val="Textoennegrita"/>
          <w:rFonts w:ascii="Verdana" w:hAnsi="Verdana"/>
          <w:b w:val="0"/>
          <w:color w:val="000000"/>
          <w:sz w:val="16"/>
          <w:szCs w:val="16"/>
          <w:shd w:val="clear" w:color="auto" w:fill="FFFFFF"/>
          <w:lang w:val="es-CR"/>
        </w:rPr>
        <w:t>,</w:t>
      </w:r>
      <w:r w:rsidRPr="00BB400F">
        <w:rPr>
          <w:rFonts w:ascii="Verdana" w:hAnsi="Verdana"/>
          <w:sz w:val="16"/>
          <w:szCs w:val="16"/>
          <w:lang w:val="es-PR"/>
        </w:rPr>
        <w:t xml:space="preserve"> </w:t>
      </w:r>
      <w:r w:rsidRPr="00BB400F">
        <w:rPr>
          <w:rFonts w:ascii="Verdana" w:hAnsi="Verdana" w:cs="Calibri"/>
          <w:sz w:val="16"/>
          <w:szCs w:val="16"/>
          <w:lang w:val="es-MX"/>
        </w:rPr>
        <w:t xml:space="preserve">y </w:t>
      </w:r>
      <w:r w:rsidRPr="00BB400F">
        <w:rPr>
          <w:rFonts w:ascii="Verdana" w:hAnsi="Verdana" w:cs="Calibri"/>
          <w:i/>
          <w:sz w:val="16"/>
          <w:szCs w:val="16"/>
          <w:lang w:val="es-MX"/>
        </w:rPr>
        <w:t>Constancia de Queja</w:t>
      </w:r>
      <w:r w:rsidRPr="00BB400F">
        <w:rPr>
          <w:rFonts w:ascii="Verdana" w:hAnsi="Verdana" w:cs="Calibri"/>
          <w:sz w:val="16"/>
          <w:szCs w:val="16"/>
          <w:lang w:val="es-MX"/>
        </w:rPr>
        <w:t xml:space="preserve"> que, relacionado </w:t>
      </w:r>
      <w:r w:rsidR="00A4030C" w:rsidRPr="00BB400F">
        <w:rPr>
          <w:rFonts w:ascii="Verdana" w:hAnsi="Verdana" w:cs="Calibri"/>
          <w:sz w:val="16"/>
          <w:szCs w:val="16"/>
          <w:lang w:val="es-MX"/>
        </w:rPr>
        <w:t xml:space="preserve">con las primeras  Resoluciones </w:t>
      </w:r>
      <w:r w:rsidRPr="00BB400F">
        <w:rPr>
          <w:rFonts w:ascii="Verdana" w:hAnsi="Verdana" w:cs="Calibri"/>
          <w:sz w:val="16"/>
          <w:szCs w:val="16"/>
          <w:lang w:val="es-MX"/>
        </w:rPr>
        <w:t>mencionadas, presentó ante la Corte el 17 de agosto de 2011.</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A6B04"/>
    <w:rsid w:val="000C268E"/>
    <w:rsid w:val="00132330"/>
    <w:rsid w:val="00147A66"/>
    <w:rsid w:val="00177231"/>
    <w:rsid w:val="00294427"/>
    <w:rsid w:val="002C24DF"/>
    <w:rsid w:val="003A6B04"/>
    <w:rsid w:val="004504E6"/>
    <w:rsid w:val="00565ABA"/>
    <w:rsid w:val="006065B4"/>
    <w:rsid w:val="006455C1"/>
    <w:rsid w:val="007558ED"/>
    <w:rsid w:val="007C43D5"/>
    <w:rsid w:val="00847D66"/>
    <w:rsid w:val="008807EC"/>
    <w:rsid w:val="00A317F9"/>
    <w:rsid w:val="00A4030C"/>
    <w:rsid w:val="00B0410B"/>
    <w:rsid w:val="00B2012D"/>
    <w:rsid w:val="00BB400F"/>
    <w:rsid w:val="00DD3640"/>
    <w:rsid w:val="00FB170E"/>
    <w:rsid w:val="00FC6A53"/>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FB76246-A6CB-4098-80C1-4077AB2E8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76" w:lineRule="auto"/>
        <w:ind w:left="-357"/>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6B04"/>
    <w:pPr>
      <w:spacing w:after="200"/>
      <w:ind w:left="0"/>
      <w:jc w:val="left"/>
    </w:pPr>
    <w:rPr>
      <w:rFonts w:ascii="Calibri" w:eastAsia="Calibri" w:hAnsi="Calibri" w:cs="Times New Roman"/>
      <w:lang w:val="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FA Fu,Footnote Text Char Char Char Char Char,Footnote Text Char Char Char Char,Footnote reference,Footnote Text Char Char Char,Footnote Text Cha,FA Fußnotentext,FA Fuﬂnotentext,Footnote Text Char Char,footnote text,Ca,FA Fu Car1,Ca Car,C"/>
    <w:basedOn w:val="Normal"/>
    <w:link w:val="TextonotapieCar"/>
    <w:unhideWhenUsed/>
    <w:rsid w:val="003A6B04"/>
    <w:pPr>
      <w:spacing w:after="0" w:line="240" w:lineRule="auto"/>
    </w:pPr>
    <w:rPr>
      <w:sz w:val="20"/>
      <w:szCs w:val="20"/>
      <w:lang w:val="x-none" w:eastAsia="x-none"/>
    </w:rPr>
  </w:style>
  <w:style w:type="character" w:customStyle="1" w:styleId="TextonotapieCar">
    <w:name w:val="Texto nota pie Car"/>
    <w:aliases w:val="FA Fu Car,Footnote Text Char Char Char Char Char Car,Footnote Text Char Char Char Char Car,Footnote reference Car,Footnote Text Char Char Char Car,Footnote Text Cha Car,FA Fußnotentext Car,FA Fuﬂnotentext Car,footnote text Car,Ca Car1"/>
    <w:basedOn w:val="Fuentedeprrafopredeter"/>
    <w:link w:val="Textonotapie"/>
    <w:rsid w:val="003A6B04"/>
    <w:rPr>
      <w:rFonts w:ascii="Calibri" w:eastAsia="Calibri" w:hAnsi="Calibri" w:cs="Times New Roman"/>
      <w:sz w:val="20"/>
      <w:szCs w:val="20"/>
      <w:lang w:val="x-none" w:eastAsia="x-none"/>
    </w:rPr>
  </w:style>
  <w:style w:type="character" w:styleId="Refdenotaalpie">
    <w:name w:val="footnote reference"/>
    <w:aliases w:val="Footnotes refss,Texto de nota al pie,Appel note de bas de page,Footnote number,referencia nota al pie,BVI fnr,f"/>
    <w:unhideWhenUsed/>
    <w:rsid w:val="003A6B04"/>
    <w:rPr>
      <w:vertAlign w:val="superscript"/>
    </w:rPr>
  </w:style>
  <w:style w:type="paragraph" w:styleId="NormalWeb">
    <w:name w:val="Normal (Web)"/>
    <w:basedOn w:val="Normal"/>
    <w:uiPriority w:val="99"/>
    <w:rsid w:val="003A6B04"/>
    <w:pPr>
      <w:spacing w:before="100" w:beforeAutospacing="1" w:after="100" w:afterAutospacing="1" w:line="240" w:lineRule="auto"/>
    </w:pPr>
    <w:rPr>
      <w:rFonts w:ascii="Times New Roman" w:eastAsia="Times New Roman" w:hAnsi="Times New Roman"/>
      <w:sz w:val="24"/>
      <w:szCs w:val="24"/>
      <w:lang w:eastAsia="es-CL"/>
    </w:rPr>
  </w:style>
  <w:style w:type="paragraph" w:styleId="Piedepgina">
    <w:name w:val="footer"/>
    <w:basedOn w:val="Normal"/>
    <w:link w:val="PiedepginaCar"/>
    <w:uiPriority w:val="99"/>
    <w:unhideWhenUsed/>
    <w:rsid w:val="003A6B04"/>
    <w:pPr>
      <w:tabs>
        <w:tab w:val="center" w:pos="4419"/>
        <w:tab w:val="right" w:pos="8838"/>
      </w:tabs>
    </w:pPr>
    <w:rPr>
      <w:lang w:val="x-none"/>
    </w:rPr>
  </w:style>
  <w:style w:type="character" w:customStyle="1" w:styleId="PiedepginaCar">
    <w:name w:val="Pie de página Car"/>
    <w:basedOn w:val="Fuentedeprrafopredeter"/>
    <w:link w:val="Piedepgina"/>
    <w:uiPriority w:val="99"/>
    <w:rsid w:val="003A6B04"/>
    <w:rPr>
      <w:rFonts w:ascii="Calibri" w:eastAsia="Calibri" w:hAnsi="Calibri" w:cs="Times New Roman"/>
      <w:lang w:val="x-none"/>
    </w:rPr>
  </w:style>
  <w:style w:type="character" w:styleId="Textoennegrita">
    <w:name w:val="Strong"/>
    <w:uiPriority w:val="22"/>
    <w:qFormat/>
    <w:rsid w:val="003A6B04"/>
    <w:rPr>
      <w:b/>
      <w:bCs/>
    </w:rPr>
  </w:style>
  <w:style w:type="paragraph" w:styleId="Encabezado">
    <w:name w:val="header"/>
    <w:basedOn w:val="Normal"/>
    <w:link w:val="EncabezadoCar"/>
    <w:uiPriority w:val="99"/>
    <w:unhideWhenUsed/>
    <w:rsid w:val="007558E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558ED"/>
    <w:rPr>
      <w:rFonts w:ascii="Calibri" w:eastAsia="Calibri" w:hAnsi="Calibri" w:cs="Times New Roman"/>
      <w:lang w:val="es-CL"/>
    </w:rPr>
  </w:style>
  <w:style w:type="paragraph" w:styleId="Textodeglobo">
    <w:name w:val="Balloon Text"/>
    <w:basedOn w:val="Normal"/>
    <w:link w:val="TextodegloboCar"/>
    <w:uiPriority w:val="99"/>
    <w:semiHidden/>
    <w:unhideWhenUsed/>
    <w:rsid w:val="00FB170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B170E"/>
    <w:rPr>
      <w:rFonts w:ascii="Tahoma" w:eastAsia="Calibri" w:hAnsi="Tahoma" w:cs="Tahoma"/>
      <w:sz w:val="16"/>
      <w:szCs w:val="16"/>
      <w:lang w:val="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018200">
      <w:bodyDiv w:val="1"/>
      <w:marLeft w:val="0"/>
      <w:marRight w:val="0"/>
      <w:marTop w:val="0"/>
      <w:marBottom w:val="0"/>
      <w:divBdr>
        <w:top w:val="none" w:sz="0" w:space="0" w:color="auto"/>
        <w:left w:val="none" w:sz="0" w:space="0" w:color="auto"/>
        <w:bottom w:val="none" w:sz="0" w:space="0" w:color="auto"/>
        <w:right w:val="none" w:sz="0" w:space="0" w:color="auto"/>
      </w:divBdr>
    </w:div>
    <w:div w:id="273906723">
      <w:bodyDiv w:val="1"/>
      <w:marLeft w:val="0"/>
      <w:marRight w:val="0"/>
      <w:marTop w:val="0"/>
      <w:marBottom w:val="0"/>
      <w:divBdr>
        <w:top w:val="none" w:sz="0" w:space="0" w:color="auto"/>
        <w:left w:val="none" w:sz="0" w:space="0" w:color="auto"/>
        <w:bottom w:val="none" w:sz="0" w:space="0" w:color="auto"/>
        <w:right w:val="none" w:sz="0" w:space="0" w:color="auto"/>
      </w:divBdr>
    </w:div>
    <w:div w:id="1832210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BA9E05-A59B-4487-94B2-CB89DAC243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130</Words>
  <Characters>715</Characters>
  <Application>Microsoft Office Word</Application>
  <DocSecurity>0</DocSecurity>
  <Lines>5</Lines>
  <Paragraphs>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Corte IDH</dc:creator>
  <cp:keywords/>
  <dc:description/>
  <cp:lastModifiedBy>Julliana Saborio</cp:lastModifiedBy>
  <cp:revision>4</cp:revision>
  <dcterms:created xsi:type="dcterms:W3CDTF">2019-04-10T15:35:00Z</dcterms:created>
  <dcterms:modified xsi:type="dcterms:W3CDTF">2019-04-10T19:44:00Z</dcterms:modified>
</cp:coreProperties>
</file>