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960" w:rsidRPr="00727D33" w:rsidRDefault="002F5960" w:rsidP="001D1F3C">
      <w:pPr>
        <w:spacing w:before="120" w:after="120" w:line="240" w:lineRule="auto"/>
        <w:jc w:val="center"/>
        <w:rPr>
          <w:rFonts w:ascii="Verdana" w:hAnsi="Verdana"/>
          <w:b/>
          <w:sz w:val="20"/>
          <w:szCs w:val="20"/>
        </w:rPr>
      </w:pPr>
      <w:bookmarkStart w:id="0" w:name="_GoBack"/>
      <w:bookmarkEnd w:id="0"/>
      <w:r w:rsidRPr="00727D33">
        <w:rPr>
          <w:rFonts w:ascii="Verdana" w:hAnsi="Verdana"/>
          <w:b/>
          <w:sz w:val="20"/>
          <w:szCs w:val="20"/>
        </w:rPr>
        <w:t>VOTO DISIDENTE DEL</w:t>
      </w:r>
    </w:p>
    <w:p w:rsidR="002F5960" w:rsidRDefault="002F5960" w:rsidP="001D1F3C">
      <w:pPr>
        <w:spacing w:before="120" w:after="120" w:line="240" w:lineRule="auto"/>
        <w:jc w:val="center"/>
        <w:rPr>
          <w:rFonts w:ascii="Verdana" w:hAnsi="Verdana"/>
          <w:b/>
          <w:sz w:val="20"/>
          <w:szCs w:val="20"/>
        </w:rPr>
      </w:pPr>
      <w:r w:rsidRPr="00727D33">
        <w:rPr>
          <w:rFonts w:ascii="Verdana" w:hAnsi="Verdana"/>
          <w:b/>
          <w:sz w:val="20"/>
          <w:szCs w:val="20"/>
        </w:rPr>
        <w:t>JUEZ L. PATRICIO PAZMIÑO FREIRE</w:t>
      </w:r>
    </w:p>
    <w:p w:rsidR="008B5810" w:rsidRPr="00727D33" w:rsidRDefault="008B5810" w:rsidP="001D1F3C">
      <w:pPr>
        <w:spacing w:before="120" w:after="120" w:line="240" w:lineRule="auto"/>
        <w:jc w:val="center"/>
        <w:rPr>
          <w:rFonts w:ascii="Verdana" w:hAnsi="Verdana"/>
          <w:b/>
          <w:sz w:val="20"/>
          <w:szCs w:val="20"/>
        </w:rPr>
      </w:pPr>
    </w:p>
    <w:p w:rsidR="002F5960" w:rsidRPr="00727D33" w:rsidRDefault="002F5960" w:rsidP="001D1F3C">
      <w:pPr>
        <w:spacing w:before="120" w:after="120" w:line="240" w:lineRule="auto"/>
        <w:jc w:val="center"/>
        <w:rPr>
          <w:rFonts w:ascii="Verdana" w:hAnsi="Verdana"/>
          <w:b/>
          <w:caps/>
          <w:sz w:val="20"/>
          <w:szCs w:val="20"/>
        </w:rPr>
      </w:pPr>
      <w:r w:rsidRPr="00727D33">
        <w:rPr>
          <w:rFonts w:ascii="Verdana" w:hAnsi="Verdana"/>
          <w:b/>
          <w:caps/>
          <w:sz w:val="20"/>
          <w:szCs w:val="20"/>
        </w:rPr>
        <w:t>Opinión Consultiva OC-28/21</w:t>
      </w:r>
    </w:p>
    <w:p w:rsidR="002F5960" w:rsidRPr="00727D33" w:rsidRDefault="00727D33" w:rsidP="001D1F3C">
      <w:pPr>
        <w:spacing w:before="120" w:after="120" w:line="240" w:lineRule="auto"/>
        <w:jc w:val="center"/>
        <w:rPr>
          <w:rFonts w:ascii="Verdana" w:hAnsi="Verdana"/>
          <w:b/>
          <w:caps/>
          <w:sz w:val="20"/>
          <w:szCs w:val="20"/>
        </w:rPr>
      </w:pPr>
      <w:r>
        <w:rPr>
          <w:rFonts w:ascii="Verdana" w:hAnsi="Verdana"/>
          <w:b/>
          <w:caps/>
          <w:sz w:val="20"/>
          <w:szCs w:val="20"/>
        </w:rPr>
        <w:t>de 7</w:t>
      </w:r>
      <w:r w:rsidR="002F5960" w:rsidRPr="00727D33">
        <w:rPr>
          <w:rFonts w:ascii="Verdana" w:hAnsi="Verdana"/>
          <w:b/>
          <w:caps/>
          <w:sz w:val="20"/>
          <w:szCs w:val="20"/>
        </w:rPr>
        <w:t xml:space="preserve"> de JUNIO de 2021</w:t>
      </w:r>
    </w:p>
    <w:p w:rsidR="002F5960" w:rsidRPr="00727D33" w:rsidRDefault="002F5960" w:rsidP="001D1F3C">
      <w:pPr>
        <w:spacing w:before="120" w:after="120" w:line="240" w:lineRule="auto"/>
        <w:jc w:val="center"/>
        <w:rPr>
          <w:rFonts w:ascii="Verdana" w:hAnsi="Verdana"/>
          <w:b/>
          <w:caps/>
          <w:sz w:val="20"/>
          <w:szCs w:val="20"/>
          <w:lang w:val="es-AR"/>
        </w:rPr>
      </w:pPr>
      <w:r w:rsidRPr="00727D33">
        <w:rPr>
          <w:rFonts w:ascii="Verdana" w:hAnsi="Verdana"/>
          <w:b/>
          <w:caps/>
          <w:sz w:val="20"/>
          <w:szCs w:val="20"/>
          <w:lang w:val="es-AR"/>
        </w:rPr>
        <w:t>Solicitada por la República de COLOMBIA</w:t>
      </w:r>
    </w:p>
    <w:p w:rsidR="002F5960" w:rsidRPr="00727D33" w:rsidRDefault="002F5960" w:rsidP="001D1F3C">
      <w:pPr>
        <w:spacing w:before="120" w:after="120" w:line="240" w:lineRule="auto"/>
        <w:rPr>
          <w:rFonts w:ascii="Verdana" w:hAnsi="Verdana"/>
          <w:b/>
          <w:caps/>
          <w:sz w:val="20"/>
          <w:szCs w:val="20"/>
          <w:u w:val="single"/>
          <w:lang w:val="es-AR"/>
        </w:rPr>
      </w:pPr>
    </w:p>
    <w:p w:rsidR="002F5960" w:rsidRDefault="002F5960" w:rsidP="001D1F3C">
      <w:pPr>
        <w:spacing w:before="120" w:after="120" w:line="240" w:lineRule="auto"/>
        <w:jc w:val="center"/>
        <w:rPr>
          <w:rFonts w:ascii="Verdana" w:hAnsi="Verdana"/>
          <w:b/>
          <w:caps/>
          <w:sz w:val="20"/>
          <w:szCs w:val="20"/>
        </w:rPr>
      </w:pPr>
      <w:r w:rsidRPr="00727D33">
        <w:rPr>
          <w:rFonts w:ascii="Verdana" w:hAnsi="Verdana"/>
          <w:b/>
          <w:caps/>
          <w:sz w:val="20"/>
          <w:szCs w:val="20"/>
          <w:lang w:val="es-AR"/>
        </w:rPr>
        <w:t xml:space="preserve">la </w:t>
      </w:r>
      <w:r w:rsidRPr="00727D33">
        <w:rPr>
          <w:rFonts w:ascii="Verdana" w:hAnsi="Verdana"/>
          <w:b/>
          <w:caps/>
          <w:sz w:val="20"/>
          <w:szCs w:val="20"/>
        </w:rPr>
        <w:t xml:space="preserve">figura de la reelección presidencial indefinida en sistemas presidenciales en el contexto del Sistema Interamericano de Derechos Humanos </w:t>
      </w:r>
    </w:p>
    <w:p w:rsidR="008B5810" w:rsidRDefault="008B5810" w:rsidP="001D1F3C">
      <w:pPr>
        <w:spacing w:before="120" w:after="120" w:line="240" w:lineRule="auto"/>
        <w:jc w:val="center"/>
        <w:rPr>
          <w:rFonts w:ascii="Verdana" w:hAnsi="Verdana"/>
          <w:b/>
          <w:caps/>
          <w:sz w:val="20"/>
          <w:szCs w:val="20"/>
        </w:rPr>
      </w:pPr>
    </w:p>
    <w:p w:rsidR="00F245B0" w:rsidRDefault="00F245B0" w:rsidP="001D1F3C">
      <w:pPr>
        <w:spacing w:before="120" w:after="120" w:line="240" w:lineRule="auto"/>
        <w:jc w:val="center"/>
        <w:rPr>
          <w:rFonts w:ascii="Verdana" w:hAnsi="Verdana"/>
          <w:b/>
          <w:caps/>
          <w:sz w:val="20"/>
          <w:szCs w:val="20"/>
        </w:rPr>
      </w:pPr>
    </w:p>
    <w:p w:rsidR="00F245B0" w:rsidRPr="008B5810" w:rsidRDefault="00F245B0" w:rsidP="001D1F3C">
      <w:pPr>
        <w:spacing w:before="120" w:after="120" w:line="240" w:lineRule="auto"/>
        <w:jc w:val="center"/>
        <w:rPr>
          <w:rFonts w:ascii="Verdana" w:hAnsi="Verdana"/>
          <w:b/>
          <w:caps/>
          <w:sz w:val="20"/>
          <w:szCs w:val="20"/>
        </w:rPr>
      </w:pPr>
    </w:p>
    <w:p w:rsidR="005B7B6E" w:rsidRPr="001D1F3C" w:rsidRDefault="005B7B6E" w:rsidP="001D1F3C">
      <w:pPr>
        <w:spacing w:before="120" w:after="120" w:line="240" w:lineRule="auto"/>
        <w:rPr>
          <w:rFonts w:ascii="Verdana" w:hAnsi="Verdana"/>
          <w:b/>
          <w:sz w:val="20"/>
          <w:szCs w:val="20"/>
        </w:rPr>
      </w:pPr>
      <w:r w:rsidRPr="00727D33">
        <w:rPr>
          <w:rFonts w:ascii="Verdana" w:hAnsi="Verdana"/>
          <w:b/>
          <w:sz w:val="20"/>
          <w:szCs w:val="20"/>
        </w:rPr>
        <w:t>Resumen.</w:t>
      </w:r>
    </w:p>
    <w:p w:rsidR="003510D9" w:rsidRPr="001D1F3C" w:rsidRDefault="00D11D1F" w:rsidP="001D1F3C">
      <w:pPr>
        <w:spacing w:before="120" w:after="120" w:line="240" w:lineRule="auto"/>
        <w:jc w:val="both"/>
        <w:rPr>
          <w:rFonts w:ascii="Verdana" w:hAnsi="Verdana"/>
          <w:sz w:val="20"/>
          <w:szCs w:val="20"/>
        </w:rPr>
      </w:pPr>
      <w:r w:rsidRPr="00727D33">
        <w:rPr>
          <w:rFonts w:ascii="Verdana" w:hAnsi="Verdana"/>
          <w:sz w:val="20"/>
          <w:szCs w:val="20"/>
        </w:rPr>
        <w:t xml:space="preserve">Para la argumentación y desarrollo de contenidos del </w:t>
      </w:r>
      <w:r w:rsidR="005B7B6E" w:rsidRPr="00727D33">
        <w:rPr>
          <w:rFonts w:ascii="Verdana" w:hAnsi="Verdana"/>
          <w:sz w:val="20"/>
          <w:szCs w:val="20"/>
        </w:rPr>
        <w:t xml:space="preserve">presente </w:t>
      </w:r>
      <w:r w:rsidR="002E203E" w:rsidRPr="00727D33">
        <w:rPr>
          <w:rFonts w:ascii="Verdana" w:hAnsi="Verdana"/>
          <w:sz w:val="20"/>
          <w:szCs w:val="20"/>
        </w:rPr>
        <w:t>voto disidente</w:t>
      </w:r>
      <w:r w:rsidRPr="00727D33">
        <w:rPr>
          <w:rFonts w:ascii="Verdana" w:hAnsi="Verdana"/>
          <w:sz w:val="20"/>
          <w:szCs w:val="20"/>
        </w:rPr>
        <w:t xml:space="preserve"> se realiza una interpretación y reflexión</w:t>
      </w:r>
      <w:r w:rsidR="002F5960" w:rsidRPr="00727D33">
        <w:rPr>
          <w:rFonts w:ascii="Verdana" w:hAnsi="Verdana"/>
          <w:sz w:val="20"/>
          <w:szCs w:val="20"/>
        </w:rPr>
        <w:t xml:space="preserve"> de los cuatro párrafos no enumerados de la parte de considerandos de la resolución de la IX Conferencia Internacional Americana, el preámbulo y los artículos XX y XXXIII de la Declaración Americana de los Derechos y Deberes del Hombre, los párrafos primero a quinto y séptimo no numerados del preámbulo, y el artículo 3.d) de la Carta de la Organización de los Estados Americanos (en adelante “Carta de la OEA”); el preámbulo y los artículos 1, 2, 23, 24, 29 y 32.2 de la Convención Americana sobre Derechos Humanos, y los párrafos 1, 5, 6, 7, 8, 9, 16, 17, 19 y 20, no numerados del preámbulo, así como los artículos 2 a 7 de la C</w:t>
      </w:r>
      <w:r w:rsidRPr="00727D33">
        <w:rPr>
          <w:rFonts w:ascii="Verdana" w:hAnsi="Verdana"/>
          <w:sz w:val="20"/>
          <w:szCs w:val="20"/>
        </w:rPr>
        <w:t>arta Democrática Interamericana.</w:t>
      </w:r>
    </w:p>
    <w:p w:rsidR="00074219" w:rsidRDefault="00D11D1F" w:rsidP="001D1F3C">
      <w:pPr>
        <w:pStyle w:val="Prrafodelista"/>
        <w:tabs>
          <w:tab w:val="left" w:pos="567"/>
        </w:tabs>
        <w:spacing w:before="120" w:after="120"/>
        <w:ind w:left="0"/>
        <w:contextualSpacing w:val="0"/>
        <w:jc w:val="both"/>
        <w:rPr>
          <w:rFonts w:ascii="Verdana" w:hAnsi="Verdana"/>
          <w:sz w:val="20"/>
          <w:szCs w:val="20"/>
          <w:lang w:val="es-ES_tradnl"/>
        </w:rPr>
      </w:pPr>
      <w:r w:rsidRPr="00727D33">
        <w:rPr>
          <w:rFonts w:ascii="Verdana" w:hAnsi="Verdana"/>
          <w:sz w:val="20"/>
          <w:szCs w:val="20"/>
          <w:lang w:val="es-ES_tradnl"/>
        </w:rPr>
        <w:t xml:space="preserve">El </w:t>
      </w:r>
      <w:r w:rsidR="00991B57" w:rsidRPr="00727D33">
        <w:rPr>
          <w:rFonts w:ascii="Verdana" w:hAnsi="Verdana"/>
          <w:sz w:val="20"/>
          <w:szCs w:val="20"/>
          <w:lang w:val="es-ES_tradnl"/>
        </w:rPr>
        <w:t>presente</w:t>
      </w:r>
      <w:r w:rsidR="003510D9" w:rsidRPr="00727D33">
        <w:rPr>
          <w:rFonts w:ascii="Verdana" w:hAnsi="Verdana"/>
          <w:sz w:val="20"/>
          <w:szCs w:val="20"/>
          <w:lang w:val="es-ES_tradnl"/>
        </w:rPr>
        <w:t xml:space="preserve"> v</w:t>
      </w:r>
      <w:r w:rsidR="007F6EB1" w:rsidRPr="00727D33">
        <w:rPr>
          <w:rFonts w:ascii="Verdana" w:hAnsi="Verdana"/>
          <w:sz w:val="20"/>
          <w:szCs w:val="20"/>
          <w:lang w:val="es-ES_tradnl"/>
        </w:rPr>
        <w:t xml:space="preserve">oto </w:t>
      </w:r>
      <w:r w:rsidRPr="00727D33">
        <w:rPr>
          <w:rFonts w:ascii="Verdana" w:hAnsi="Verdana"/>
          <w:sz w:val="20"/>
          <w:szCs w:val="20"/>
          <w:lang w:val="es-ES_tradnl"/>
        </w:rPr>
        <w:t>desarrolla</w:t>
      </w:r>
      <w:r w:rsidR="003510D9" w:rsidRPr="00727D33">
        <w:rPr>
          <w:rFonts w:ascii="Verdana" w:hAnsi="Verdana"/>
          <w:sz w:val="20"/>
          <w:szCs w:val="20"/>
          <w:lang w:val="es-ES_tradnl"/>
        </w:rPr>
        <w:t xml:space="preserve"> los argumentos por los cuales disiento con respecto a la decisión </w:t>
      </w:r>
      <w:r w:rsidRPr="00727D33">
        <w:rPr>
          <w:rFonts w:ascii="Verdana" w:hAnsi="Verdana"/>
          <w:sz w:val="20"/>
          <w:szCs w:val="20"/>
          <w:lang w:val="es-ES_tradnl"/>
        </w:rPr>
        <w:t xml:space="preserve">de mayoría adoptada </w:t>
      </w:r>
      <w:r w:rsidR="003510D9" w:rsidRPr="00727D33">
        <w:rPr>
          <w:rFonts w:ascii="Verdana" w:hAnsi="Verdana"/>
          <w:sz w:val="20"/>
          <w:szCs w:val="20"/>
          <w:lang w:val="es-ES_tradnl"/>
        </w:rPr>
        <w:t xml:space="preserve">por la Corte </w:t>
      </w:r>
      <w:r w:rsidR="00682A42" w:rsidRPr="00727D33">
        <w:rPr>
          <w:rFonts w:ascii="Verdana" w:hAnsi="Verdana"/>
          <w:sz w:val="20"/>
          <w:szCs w:val="20"/>
          <w:lang w:val="es-ES_tradnl"/>
        </w:rPr>
        <w:t>en la presente Opinión Consultiva</w:t>
      </w:r>
      <w:r w:rsidR="005B7B6E" w:rsidRPr="00727D33">
        <w:rPr>
          <w:rFonts w:ascii="Verdana" w:hAnsi="Verdana"/>
          <w:sz w:val="20"/>
          <w:szCs w:val="20"/>
          <w:lang w:val="es-ES_tradnl"/>
        </w:rPr>
        <w:t xml:space="preserve">, para lo cual expongo </w:t>
      </w:r>
      <w:r w:rsidRPr="00727D33">
        <w:rPr>
          <w:rFonts w:ascii="Verdana" w:hAnsi="Verdana"/>
          <w:sz w:val="20"/>
          <w:szCs w:val="20"/>
          <w:lang w:val="es-ES_tradnl"/>
        </w:rPr>
        <w:t>cuatro compo</w:t>
      </w:r>
      <w:r w:rsidR="007F6EB1" w:rsidRPr="00727D33">
        <w:rPr>
          <w:rFonts w:ascii="Verdana" w:hAnsi="Verdana"/>
          <w:sz w:val="20"/>
          <w:szCs w:val="20"/>
          <w:lang w:val="es-ES_tradnl"/>
        </w:rPr>
        <w:t>nentes:</w:t>
      </w:r>
      <w:r w:rsidRPr="00727D33">
        <w:rPr>
          <w:rFonts w:ascii="Verdana" w:hAnsi="Verdana"/>
          <w:sz w:val="20"/>
          <w:szCs w:val="20"/>
          <w:lang w:val="es-ES_tradnl"/>
        </w:rPr>
        <w:t xml:space="preserve"> </w:t>
      </w:r>
      <w:r w:rsidR="007F6EB1" w:rsidRPr="00727D33">
        <w:rPr>
          <w:rFonts w:ascii="Verdana" w:hAnsi="Verdana"/>
          <w:sz w:val="20"/>
          <w:szCs w:val="20"/>
          <w:lang w:val="es-ES_tradnl"/>
        </w:rPr>
        <w:t>primero</w:t>
      </w:r>
      <w:r w:rsidR="003510D9" w:rsidRPr="00727D33">
        <w:rPr>
          <w:rFonts w:ascii="Verdana" w:hAnsi="Verdana"/>
          <w:sz w:val="20"/>
          <w:szCs w:val="20"/>
          <w:lang w:val="es-ES_tradnl"/>
        </w:rPr>
        <w:t>, considero que la Corte analizó de manera</w:t>
      </w:r>
      <w:r w:rsidRPr="00727D33">
        <w:rPr>
          <w:rFonts w:ascii="Verdana" w:hAnsi="Verdana"/>
          <w:sz w:val="20"/>
          <w:szCs w:val="20"/>
          <w:lang w:val="es-ES_tradnl"/>
        </w:rPr>
        <w:t xml:space="preserve"> insuficiente </w:t>
      </w:r>
      <w:r w:rsidR="00991B57" w:rsidRPr="00727D33">
        <w:rPr>
          <w:rFonts w:ascii="Verdana" w:hAnsi="Verdana"/>
          <w:sz w:val="20"/>
          <w:szCs w:val="20"/>
          <w:lang w:val="es-ES_tradnl"/>
        </w:rPr>
        <w:t>l</w:t>
      </w:r>
      <w:r w:rsidR="003510D9" w:rsidRPr="00727D33">
        <w:rPr>
          <w:rFonts w:ascii="Verdana" w:hAnsi="Verdana"/>
          <w:sz w:val="20"/>
          <w:szCs w:val="20"/>
          <w:lang w:val="es-ES_tradnl"/>
        </w:rPr>
        <w:t>a</w:t>
      </w:r>
      <w:r w:rsidR="00991B57" w:rsidRPr="00727D33">
        <w:rPr>
          <w:rFonts w:ascii="Verdana" w:hAnsi="Verdana"/>
          <w:sz w:val="20"/>
          <w:szCs w:val="20"/>
          <w:lang w:val="es-ES_tradnl"/>
        </w:rPr>
        <w:t>s razones para aprobar la</w:t>
      </w:r>
      <w:r w:rsidR="003510D9" w:rsidRPr="00727D33">
        <w:rPr>
          <w:rFonts w:ascii="Verdana" w:hAnsi="Verdana"/>
          <w:sz w:val="20"/>
          <w:szCs w:val="20"/>
          <w:lang w:val="es-ES_tradnl"/>
        </w:rPr>
        <w:t xml:space="preserve"> admisibilidad de la solicitud de Opinión Consultiva presentada por Colombia,</w:t>
      </w:r>
      <w:r w:rsidRPr="00727D33">
        <w:rPr>
          <w:rFonts w:ascii="Verdana" w:hAnsi="Verdana"/>
          <w:sz w:val="20"/>
          <w:szCs w:val="20"/>
          <w:lang w:val="es-ES_tradnl"/>
        </w:rPr>
        <w:t xml:space="preserve"> al omitir</w:t>
      </w:r>
      <w:r w:rsidR="00991B57" w:rsidRPr="00727D33">
        <w:rPr>
          <w:rFonts w:ascii="Verdana" w:hAnsi="Verdana"/>
          <w:sz w:val="20"/>
          <w:szCs w:val="20"/>
          <w:lang w:val="es-ES_tradnl"/>
        </w:rPr>
        <w:t xml:space="preserve"> y evitar referirse a una parte sustancial</w:t>
      </w:r>
      <w:r w:rsidR="003510D9" w:rsidRPr="00727D33">
        <w:rPr>
          <w:rFonts w:ascii="Verdana" w:hAnsi="Verdana"/>
          <w:sz w:val="20"/>
          <w:szCs w:val="20"/>
          <w:lang w:val="es-ES_tradnl"/>
        </w:rPr>
        <w:t xml:space="preserve"> de su propio desarrollo jurisprudencia</w:t>
      </w:r>
      <w:r w:rsidR="00682A42" w:rsidRPr="00727D33">
        <w:rPr>
          <w:rFonts w:ascii="Verdana" w:hAnsi="Verdana"/>
          <w:sz w:val="20"/>
          <w:szCs w:val="20"/>
          <w:lang w:val="es-ES_tradnl"/>
        </w:rPr>
        <w:t>l</w:t>
      </w:r>
      <w:r w:rsidR="00991B57" w:rsidRPr="00727D33">
        <w:rPr>
          <w:rFonts w:ascii="Verdana" w:hAnsi="Verdana"/>
          <w:sz w:val="20"/>
          <w:szCs w:val="20"/>
          <w:lang w:val="es-ES_tradnl"/>
        </w:rPr>
        <w:t>, por lo cual estimo qu</w:t>
      </w:r>
      <w:r w:rsidRPr="00727D33">
        <w:rPr>
          <w:rFonts w:ascii="Verdana" w:hAnsi="Verdana"/>
          <w:sz w:val="20"/>
          <w:szCs w:val="20"/>
          <w:lang w:val="es-ES_tradnl"/>
        </w:rPr>
        <w:t xml:space="preserve">e </w:t>
      </w:r>
      <w:r w:rsidR="007F6EB1" w:rsidRPr="00727D33">
        <w:rPr>
          <w:rFonts w:ascii="Verdana" w:hAnsi="Verdana"/>
          <w:sz w:val="20"/>
          <w:szCs w:val="20"/>
          <w:lang w:val="es-ES_tradnl"/>
        </w:rPr>
        <w:t xml:space="preserve">en esta fase procesal </w:t>
      </w:r>
      <w:r w:rsidRPr="00727D33">
        <w:rPr>
          <w:rFonts w:ascii="Verdana" w:hAnsi="Verdana"/>
          <w:sz w:val="20"/>
          <w:szCs w:val="20"/>
          <w:lang w:val="es-ES_tradnl"/>
        </w:rPr>
        <w:t>fue inadecuada su</w:t>
      </w:r>
      <w:r w:rsidR="00991B57" w:rsidRPr="00727D33">
        <w:rPr>
          <w:rFonts w:ascii="Verdana" w:hAnsi="Verdana"/>
          <w:sz w:val="20"/>
          <w:szCs w:val="20"/>
          <w:lang w:val="es-ES_tradnl"/>
        </w:rPr>
        <w:t xml:space="preserve"> conclusión</w:t>
      </w:r>
      <w:r w:rsidR="007F6EB1" w:rsidRPr="00727D33">
        <w:rPr>
          <w:rFonts w:ascii="Verdana" w:hAnsi="Verdana"/>
          <w:sz w:val="20"/>
          <w:szCs w:val="20"/>
          <w:lang w:val="es-ES_tradnl"/>
        </w:rPr>
        <w:t>.</w:t>
      </w:r>
      <w:r w:rsidRPr="00727D33">
        <w:rPr>
          <w:rFonts w:ascii="Verdana" w:hAnsi="Verdana"/>
          <w:sz w:val="20"/>
          <w:szCs w:val="20"/>
          <w:lang w:val="es-ES_tradnl"/>
        </w:rPr>
        <w:t xml:space="preserve"> </w:t>
      </w:r>
      <w:r w:rsidR="003510D9" w:rsidRPr="00727D33">
        <w:rPr>
          <w:rFonts w:ascii="Verdana" w:hAnsi="Verdana"/>
          <w:sz w:val="20"/>
          <w:szCs w:val="20"/>
          <w:lang w:val="es-ES_tradnl"/>
        </w:rPr>
        <w:t xml:space="preserve">En segundo lugar, pretendo establecer </w:t>
      </w:r>
      <w:r w:rsidR="007F6EB1" w:rsidRPr="00727D33">
        <w:rPr>
          <w:rFonts w:ascii="Verdana" w:hAnsi="Verdana"/>
          <w:sz w:val="20"/>
          <w:szCs w:val="20"/>
          <w:lang w:val="es-ES_tradnl"/>
        </w:rPr>
        <w:t xml:space="preserve">desde mi razonamiento y fundamentación </w:t>
      </w:r>
      <w:r w:rsidR="003510D9" w:rsidRPr="00727D33">
        <w:rPr>
          <w:rFonts w:ascii="Verdana" w:hAnsi="Verdana"/>
          <w:sz w:val="20"/>
          <w:szCs w:val="20"/>
          <w:lang w:val="es-ES_tradnl"/>
        </w:rPr>
        <w:t>que la Corte excedió su competencia consultiva al interpretar de manera directa provisiones de la Carta Democrática Interamericana, otorgándole</w:t>
      </w:r>
      <w:r w:rsidR="00A47437" w:rsidRPr="00727D33">
        <w:rPr>
          <w:rFonts w:ascii="Verdana" w:hAnsi="Verdana"/>
          <w:sz w:val="20"/>
          <w:szCs w:val="20"/>
          <w:lang w:val="es-ES_tradnl"/>
        </w:rPr>
        <w:t xml:space="preserve"> </w:t>
      </w:r>
      <w:r w:rsidR="003510D9" w:rsidRPr="00727D33">
        <w:rPr>
          <w:rFonts w:ascii="Verdana" w:hAnsi="Verdana"/>
          <w:sz w:val="20"/>
          <w:szCs w:val="20"/>
          <w:lang w:val="es-ES_tradnl"/>
        </w:rPr>
        <w:t>rango de instrumento de derechos humanos</w:t>
      </w:r>
      <w:r w:rsidR="00A47437" w:rsidRPr="00727D33">
        <w:rPr>
          <w:rFonts w:ascii="Verdana" w:hAnsi="Verdana"/>
          <w:sz w:val="20"/>
          <w:szCs w:val="20"/>
          <w:lang w:val="es-ES_tradnl"/>
        </w:rPr>
        <w:t>, sin tener competencia y carecer de</w:t>
      </w:r>
      <w:r w:rsidR="007F6EB1" w:rsidRPr="00727D33">
        <w:rPr>
          <w:rFonts w:ascii="Verdana" w:hAnsi="Verdana"/>
          <w:sz w:val="20"/>
          <w:szCs w:val="20"/>
          <w:lang w:val="es-ES_tradnl"/>
        </w:rPr>
        <w:t xml:space="preserve"> facultad para ello.</w:t>
      </w:r>
      <w:r w:rsidR="00A47437" w:rsidRPr="00727D33">
        <w:rPr>
          <w:rFonts w:ascii="Verdana" w:hAnsi="Verdana"/>
          <w:sz w:val="20"/>
          <w:szCs w:val="20"/>
          <w:lang w:val="es-ES_tradnl"/>
        </w:rPr>
        <w:t xml:space="preserve"> En </w:t>
      </w:r>
      <w:r w:rsidR="001D1F3C">
        <w:rPr>
          <w:rFonts w:ascii="Verdana" w:hAnsi="Verdana"/>
          <w:sz w:val="20"/>
          <w:szCs w:val="20"/>
          <w:lang w:val="es-ES_tradnl"/>
        </w:rPr>
        <w:t>t</w:t>
      </w:r>
      <w:r w:rsidR="00A47437" w:rsidRPr="00727D33">
        <w:rPr>
          <w:rFonts w:ascii="Verdana" w:hAnsi="Verdana"/>
          <w:sz w:val="20"/>
          <w:szCs w:val="20"/>
          <w:lang w:val="es-ES_tradnl"/>
        </w:rPr>
        <w:t>ercer lugar,</w:t>
      </w:r>
      <w:r w:rsidR="003510D9" w:rsidRPr="00727D33">
        <w:rPr>
          <w:rFonts w:ascii="Verdana" w:hAnsi="Verdana"/>
          <w:sz w:val="20"/>
          <w:szCs w:val="20"/>
          <w:lang w:val="es-ES_tradnl"/>
        </w:rPr>
        <w:t xml:space="preserve"> postulo que la recondu</w:t>
      </w:r>
      <w:r w:rsidR="00A47437" w:rsidRPr="00727D33">
        <w:rPr>
          <w:rFonts w:ascii="Verdana" w:hAnsi="Verdana"/>
          <w:sz w:val="20"/>
          <w:szCs w:val="20"/>
          <w:lang w:val="es-ES_tradnl"/>
        </w:rPr>
        <w:t xml:space="preserve">cción </w:t>
      </w:r>
      <w:r w:rsidR="003510D9" w:rsidRPr="00727D33">
        <w:rPr>
          <w:rFonts w:ascii="Verdana" w:hAnsi="Verdana"/>
          <w:sz w:val="20"/>
          <w:szCs w:val="20"/>
          <w:lang w:val="es-ES_tradnl"/>
        </w:rPr>
        <w:t>de la segunda pregunta presentada por Colombia introdujo, de oficio,</w:t>
      </w:r>
      <w:r w:rsidR="00A47437" w:rsidRPr="00727D33">
        <w:rPr>
          <w:rFonts w:ascii="Verdana" w:hAnsi="Verdana"/>
          <w:sz w:val="20"/>
          <w:szCs w:val="20"/>
          <w:lang w:val="es-ES_tradnl"/>
        </w:rPr>
        <w:t xml:space="preserve"> por parte del Tribunal,</w:t>
      </w:r>
      <w:r w:rsidR="003510D9" w:rsidRPr="00727D33">
        <w:rPr>
          <w:rFonts w:ascii="Verdana" w:hAnsi="Verdana"/>
          <w:sz w:val="20"/>
          <w:szCs w:val="20"/>
          <w:lang w:val="es-ES_tradnl"/>
        </w:rPr>
        <w:t xml:space="preserve"> aspectos no contemplados por la solicitud, menoscabando, así, el objeto de la solicitud de Opinión Con</w:t>
      </w:r>
      <w:r w:rsidR="00682A42" w:rsidRPr="00727D33">
        <w:rPr>
          <w:rFonts w:ascii="Verdana" w:hAnsi="Verdana"/>
          <w:sz w:val="20"/>
          <w:szCs w:val="20"/>
          <w:lang w:val="es-ES_tradnl"/>
        </w:rPr>
        <w:t>sultiva. Por último,</w:t>
      </w:r>
      <w:r w:rsidR="00A47437" w:rsidRPr="00727D33">
        <w:rPr>
          <w:rFonts w:ascii="Verdana" w:hAnsi="Verdana"/>
          <w:sz w:val="20"/>
          <w:szCs w:val="20"/>
          <w:lang w:val="es-ES_tradnl"/>
        </w:rPr>
        <w:t xml:space="preserve"> y a manera de conclusión,</w:t>
      </w:r>
      <w:r w:rsidR="00682A42" w:rsidRPr="00727D33">
        <w:rPr>
          <w:rFonts w:ascii="Verdana" w:hAnsi="Verdana"/>
          <w:sz w:val="20"/>
          <w:szCs w:val="20"/>
          <w:lang w:val="es-ES_tradnl"/>
        </w:rPr>
        <w:t xml:space="preserve"> incorporo elementos de reflexión que considero relevantes sobre la </w:t>
      </w:r>
      <w:r w:rsidR="005B7B6E" w:rsidRPr="00727D33">
        <w:rPr>
          <w:rFonts w:ascii="Verdana" w:hAnsi="Verdana"/>
          <w:sz w:val="20"/>
          <w:szCs w:val="20"/>
          <w:lang w:val="es-ES_tradnl"/>
        </w:rPr>
        <w:t>compleja</w:t>
      </w:r>
      <w:r w:rsidR="00A47437" w:rsidRPr="00727D33">
        <w:rPr>
          <w:rFonts w:ascii="Verdana" w:hAnsi="Verdana"/>
          <w:sz w:val="20"/>
          <w:szCs w:val="20"/>
          <w:lang w:val="es-ES_tradnl"/>
        </w:rPr>
        <w:t xml:space="preserve">, diversa y cuando no contradictoria </w:t>
      </w:r>
      <w:r w:rsidR="00682A42" w:rsidRPr="00727D33">
        <w:rPr>
          <w:rFonts w:ascii="Verdana" w:hAnsi="Verdana"/>
          <w:sz w:val="20"/>
          <w:szCs w:val="20"/>
          <w:lang w:val="es-ES_tradnl"/>
        </w:rPr>
        <w:t xml:space="preserve">arquitectura política y constitucional </w:t>
      </w:r>
      <w:r w:rsidR="005B7B6E" w:rsidRPr="00727D33">
        <w:rPr>
          <w:rFonts w:ascii="Verdana" w:hAnsi="Verdana"/>
          <w:sz w:val="20"/>
          <w:szCs w:val="20"/>
          <w:lang w:val="es-ES_tradnl"/>
        </w:rPr>
        <w:t>que hace</w:t>
      </w:r>
      <w:r w:rsidR="00A47437" w:rsidRPr="00727D33">
        <w:rPr>
          <w:rFonts w:ascii="Verdana" w:hAnsi="Verdana"/>
          <w:sz w:val="20"/>
          <w:szCs w:val="20"/>
          <w:lang w:val="es-ES_tradnl"/>
        </w:rPr>
        <w:t xml:space="preserve"> parte sustancial de los estados de derecho de</w:t>
      </w:r>
      <w:r w:rsidR="00682A42" w:rsidRPr="00727D33">
        <w:rPr>
          <w:rFonts w:ascii="Verdana" w:hAnsi="Verdana"/>
          <w:sz w:val="20"/>
          <w:szCs w:val="20"/>
          <w:lang w:val="es-ES_tradnl"/>
        </w:rPr>
        <w:t xml:space="preserve"> nuestra región y</w:t>
      </w:r>
      <w:r w:rsidR="00A47437" w:rsidRPr="00727D33">
        <w:rPr>
          <w:rFonts w:ascii="Verdana" w:hAnsi="Verdana"/>
          <w:sz w:val="20"/>
          <w:szCs w:val="20"/>
          <w:lang w:val="es-ES_tradnl"/>
        </w:rPr>
        <w:t xml:space="preserve">, según mi opinión, </w:t>
      </w:r>
      <w:r w:rsidR="004233B7" w:rsidRPr="00727D33">
        <w:rPr>
          <w:rFonts w:ascii="Verdana" w:hAnsi="Verdana"/>
          <w:sz w:val="20"/>
          <w:szCs w:val="20"/>
          <w:lang w:val="es-ES_tradnl"/>
        </w:rPr>
        <w:t>reflexiono sobre algunos d</w:t>
      </w:r>
      <w:r w:rsidR="00A47437" w:rsidRPr="00727D33">
        <w:rPr>
          <w:rFonts w:ascii="Verdana" w:hAnsi="Verdana"/>
          <w:sz w:val="20"/>
          <w:szCs w:val="20"/>
          <w:lang w:val="es-ES_tradnl"/>
        </w:rPr>
        <w:t xml:space="preserve">e los </w:t>
      </w:r>
      <w:r w:rsidR="00682A42" w:rsidRPr="00727D33">
        <w:rPr>
          <w:rFonts w:ascii="Verdana" w:hAnsi="Verdana"/>
          <w:sz w:val="20"/>
          <w:szCs w:val="20"/>
          <w:lang w:val="es-ES_tradnl"/>
        </w:rPr>
        <w:t>rol</w:t>
      </w:r>
      <w:r w:rsidR="00A47437" w:rsidRPr="00727D33">
        <w:rPr>
          <w:rFonts w:ascii="Verdana" w:hAnsi="Verdana"/>
          <w:sz w:val="20"/>
          <w:szCs w:val="20"/>
          <w:lang w:val="es-ES_tradnl"/>
        </w:rPr>
        <w:t>es</w:t>
      </w:r>
      <w:r w:rsidR="00682A42" w:rsidRPr="00727D33">
        <w:rPr>
          <w:rFonts w:ascii="Verdana" w:hAnsi="Verdana"/>
          <w:sz w:val="20"/>
          <w:szCs w:val="20"/>
          <w:lang w:val="es-ES_tradnl"/>
        </w:rPr>
        <w:t xml:space="preserve"> que deben tener los órganos internacionales a la hora de acompañar su desarrollo</w:t>
      </w:r>
      <w:r w:rsidR="00A47437" w:rsidRPr="00727D33">
        <w:rPr>
          <w:rFonts w:ascii="Verdana" w:hAnsi="Verdana"/>
          <w:sz w:val="20"/>
          <w:szCs w:val="20"/>
          <w:lang w:val="es-ES_tradnl"/>
        </w:rPr>
        <w:t>, fortalecimiento y profundización, siemp</w:t>
      </w:r>
      <w:r w:rsidR="005B7B6E" w:rsidRPr="00727D33">
        <w:rPr>
          <w:rFonts w:ascii="Verdana" w:hAnsi="Verdana"/>
          <w:sz w:val="20"/>
          <w:szCs w:val="20"/>
          <w:lang w:val="es-ES_tradnl"/>
        </w:rPr>
        <w:t xml:space="preserve">re al tenor </w:t>
      </w:r>
      <w:r w:rsidR="00A47437" w:rsidRPr="00727D33">
        <w:rPr>
          <w:rFonts w:ascii="Verdana" w:hAnsi="Verdana"/>
          <w:sz w:val="20"/>
          <w:szCs w:val="20"/>
          <w:lang w:val="es-ES_tradnl"/>
        </w:rPr>
        <w:t>de los princip</w:t>
      </w:r>
      <w:r w:rsidR="005B7B6E" w:rsidRPr="00727D33">
        <w:rPr>
          <w:rFonts w:ascii="Verdana" w:hAnsi="Verdana"/>
          <w:sz w:val="20"/>
          <w:szCs w:val="20"/>
          <w:lang w:val="es-ES_tradnl"/>
        </w:rPr>
        <w:t>ios fundacionales  que aprobaro</w:t>
      </w:r>
      <w:r w:rsidR="00A47437" w:rsidRPr="00727D33">
        <w:rPr>
          <w:rFonts w:ascii="Verdana" w:hAnsi="Verdana"/>
          <w:sz w:val="20"/>
          <w:szCs w:val="20"/>
          <w:lang w:val="es-ES_tradnl"/>
        </w:rPr>
        <w:t xml:space="preserve">n </w:t>
      </w:r>
      <w:r w:rsidR="005B7B6E" w:rsidRPr="00727D33">
        <w:rPr>
          <w:rFonts w:ascii="Verdana" w:hAnsi="Verdana"/>
          <w:sz w:val="20"/>
          <w:szCs w:val="20"/>
          <w:lang w:val="es-ES_tradnl"/>
        </w:rPr>
        <w:t>los</w:t>
      </w:r>
      <w:r w:rsidR="00A47437" w:rsidRPr="00727D33">
        <w:rPr>
          <w:rFonts w:ascii="Verdana" w:hAnsi="Verdana"/>
          <w:sz w:val="20"/>
          <w:szCs w:val="20"/>
          <w:lang w:val="es-ES_tradnl"/>
        </w:rPr>
        <w:t xml:space="preserve"> Estados </w:t>
      </w:r>
      <w:r w:rsidR="005B7B6E" w:rsidRPr="00727D33">
        <w:rPr>
          <w:rFonts w:ascii="Verdana" w:hAnsi="Verdana"/>
          <w:sz w:val="20"/>
          <w:szCs w:val="20"/>
          <w:lang w:val="es-ES_tradnl"/>
        </w:rPr>
        <w:t>fundadores del sistema: l</w:t>
      </w:r>
      <w:r w:rsidR="00A47437" w:rsidRPr="00727D33">
        <w:rPr>
          <w:rFonts w:ascii="Verdana" w:hAnsi="Verdana"/>
          <w:sz w:val="20"/>
          <w:szCs w:val="20"/>
          <w:lang w:val="es-ES_tradnl"/>
        </w:rPr>
        <w:t xml:space="preserve">a libre </w:t>
      </w:r>
      <w:r w:rsidR="005B7B6E" w:rsidRPr="00727D33">
        <w:rPr>
          <w:rFonts w:ascii="Verdana" w:hAnsi="Verdana"/>
          <w:sz w:val="20"/>
          <w:szCs w:val="20"/>
          <w:lang w:val="es-ES_tradnl"/>
        </w:rPr>
        <w:t>auto</w:t>
      </w:r>
      <w:r w:rsidR="00A47437" w:rsidRPr="00727D33">
        <w:rPr>
          <w:rFonts w:ascii="Verdana" w:hAnsi="Verdana"/>
          <w:sz w:val="20"/>
          <w:szCs w:val="20"/>
          <w:lang w:val="es-ES_tradnl"/>
        </w:rPr>
        <w:t>determinación</w:t>
      </w:r>
      <w:r w:rsidR="005B7B6E" w:rsidRPr="00727D33">
        <w:rPr>
          <w:rFonts w:ascii="Verdana" w:hAnsi="Verdana"/>
          <w:sz w:val="20"/>
          <w:szCs w:val="20"/>
          <w:lang w:val="es-ES_tradnl"/>
        </w:rPr>
        <w:t xml:space="preserve"> de los pueblos evitando la </w:t>
      </w:r>
      <w:r w:rsidR="00A47437" w:rsidRPr="00727D33">
        <w:rPr>
          <w:rFonts w:ascii="Verdana" w:hAnsi="Verdana"/>
          <w:sz w:val="20"/>
          <w:szCs w:val="20"/>
          <w:lang w:val="es-ES_tradnl"/>
        </w:rPr>
        <w:t>injerencia ext</w:t>
      </w:r>
      <w:r w:rsidR="005B7B6E" w:rsidRPr="00727D33">
        <w:rPr>
          <w:rFonts w:ascii="Verdana" w:hAnsi="Verdana"/>
          <w:sz w:val="20"/>
          <w:szCs w:val="20"/>
          <w:lang w:val="es-ES_tradnl"/>
        </w:rPr>
        <w:t>erna en lo</w:t>
      </w:r>
      <w:r w:rsidR="00A47437" w:rsidRPr="00727D33">
        <w:rPr>
          <w:rFonts w:ascii="Verdana" w:hAnsi="Verdana"/>
          <w:sz w:val="20"/>
          <w:szCs w:val="20"/>
          <w:lang w:val="es-ES_tradnl"/>
        </w:rPr>
        <w:t>s asuntos internos</w:t>
      </w:r>
      <w:r w:rsidR="005B7B6E" w:rsidRPr="00727D33">
        <w:rPr>
          <w:rFonts w:ascii="Verdana" w:hAnsi="Verdana"/>
          <w:sz w:val="20"/>
          <w:szCs w:val="20"/>
          <w:lang w:val="es-ES_tradnl"/>
        </w:rPr>
        <w:t xml:space="preserve"> de nuestras repúblicas</w:t>
      </w:r>
      <w:r w:rsidR="00682A42" w:rsidRPr="00727D33">
        <w:rPr>
          <w:rFonts w:ascii="Verdana" w:hAnsi="Verdana"/>
          <w:sz w:val="20"/>
          <w:szCs w:val="20"/>
          <w:lang w:val="es-ES_tradnl"/>
        </w:rPr>
        <w:t xml:space="preserve">. </w:t>
      </w:r>
    </w:p>
    <w:p w:rsidR="00F245B0" w:rsidRPr="00727D33" w:rsidRDefault="00F245B0" w:rsidP="001D1F3C">
      <w:pPr>
        <w:pStyle w:val="Prrafodelista"/>
        <w:tabs>
          <w:tab w:val="left" w:pos="567"/>
        </w:tabs>
        <w:spacing w:before="120" w:after="120"/>
        <w:ind w:left="0"/>
        <w:contextualSpacing w:val="0"/>
        <w:jc w:val="both"/>
        <w:rPr>
          <w:rFonts w:ascii="Verdana" w:hAnsi="Verdana"/>
          <w:sz w:val="20"/>
          <w:szCs w:val="20"/>
          <w:lang w:val="es-ES_tradnl"/>
        </w:rPr>
      </w:pPr>
    </w:p>
    <w:p w:rsidR="0062384E" w:rsidRPr="001D1F3C" w:rsidRDefault="003510D9" w:rsidP="00F245B0">
      <w:pPr>
        <w:pStyle w:val="Prrafodelista"/>
        <w:numPr>
          <w:ilvl w:val="0"/>
          <w:numId w:val="3"/>
        </w:numPr>
        <w:tabs>
          <w:tab w:val="left" w:pos="567"/>
        </w:tabs>
        <w:spacing w:before="240" w:after="240"/>
        <w:ind w:left="714" w:hanging="357"/>
        <w:contextualSpacing w:val="0"/>
        <w:jc w:val="both"/>
        <w:rPr>
          <w:rFonts w:ascii="Verdana" w:hAnsi="Verdana"/>
          <w:b/>
          <w:sz w:val="20"/>
          <w:szCs w:val="20"/>
        </w:rPr>
      </w:pPr>
      <w:r w:rsidRPr="00727D33">
        <w:rPr>
          <w:rFonts w:ascii="Verdana" w:hAnsi="Verdana"/>
          <w:b/>
          <w:sz w:val="20"/>
          <w:szCs w:val="20"/>
          <w:lang w:val="es-ES_tradnl"/>
        </w:rPr>
        <w:lastRenderedPageBreak/>
        <w:t xml:space="preserve">Consideraciones formales </w:t>
      </w:r>
    </w:p>
    <w:p w:rsidR="002D0B61" w:rsidRPr="001D1F3C" w:rsidRDefault="004233B7"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Previo a referirme a los aspectos</w:t>
      </w:r>
      <w:r w:rsidR="002F5960" w:rsidRPr="00727D33">
        <w:rPr>
          <w:rFonts w:ascii="Verdana" w:hAnsi="Verdana"/>
          <w:sz w:val="20"/>
          <w:szCs w:val="20"/>
        </w:rPr>
        <w:t xml:space="preserve"> en los que tengo disidencia, considero importante recordar lo que es la función consultiva de la Corte </w:t>
      </w:r>
      <w:r w:rsidR="00F00430" w:rsidRPr="00727D33">
        <w:rPr>
          <w:rFonts w:ascii="Verdana" w:hAnsi="Verdana"/>
          <w:sz w:val="20"/>
          <w:szCs w:val="20"/>
        </w:rPr>
        <w:t>Interamericana</w:t>
      </w:r>
      <w:r w:rsidR="002F5960" w:rsidRPr="00727D33">
        <w:rPr>
          <w:rFonts w:ascii="Verdana" w:hAnsi="Verdana"/>
          <w:sz w:val="20"/>
          <w:szCs w:val="20"/>
        </w:rPr>
        <w:t xml:space="preserve"> de Derechos Humanos </w:t>
      </w:r>
      <w:r w:rsidR="002D0B61" w:rsidRPr="00727D33">
        <w:rPr>
          <w:rFonts w:ascii="Verdana" w:hAnsi="Verdana"/>
          <w:sz w:val="20"/>
          <w:szCs w:val="20"/>
        </w:rPr>
        <w:t xml:space="preserve">(en adelante “la Corte”) </w:t>
      </w:r>
      <w:r w:rsidR="002F5960" w:rsidRPr="00727D33">
        <w:rPr>
          <w:rFonts w:ascii="Verdana" w:hAnsi="Verdana"/>
          <w:sz w:val="20"/>
          <w:szCs w:val="20"/>
        </w:rPr>
        <w:t>y la base Convencio</w:t>
      </w:r>
      <w:r w:rsidRPr="00727D33">
        <w:rPr>
          <w:rFonts w:ascii="Verdana" w:hAnsi="Verdana"/>
          <w:sz w:val="20"/>
          <w:szCs w:val="20"/>
        </w:rPr>
        <w:t>nal y Reglamentaria que le dan sustento</w:t>
      </w:r>
      <w:r w:rsidR="001D1F3C">
        <w:rPr>
          <w:rFonts w:ascii="Verdana" w:hAnsi="Verdana"/>
          <w:sz w:val="20"/>
          <w:szCs w:val="20"/>
        </w:rPr>
        <w:t xml:space="preserve"> y regulan.</w:t>
      </w:r>
    </w:p>
    <w:p w:rsidR="00831628" w:rsidRPr="001D1F3C" w:rsidRDefault="00F00430"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 xml:space="preserve">La Convención Americana </w:t>
      </w:r>
      <w:r w:rsidR="002D0B61" w:rsidRPr="00727D33">
        <w:rPr>
          <w:rFonts w:ascii="Verdana" w:hAnsi="Verdana"/>
          <w:sz w:val="20"/>
          <w:szCs w:val="20"/>
        </w:rPr>
        <w:t>sobre Derechos Humanos (en adelante “la Convención</w:t>
      </w:r>
      <w:r w:rsidR="00F34C53">
        <w:rPr>
          <w:rFonts w:ascii="Verdana" w:hAnsi="Verdana"/>
          <w:sz w:val="20"/>
          <w:szCs w:val="20"/>
        </w:rPr>
        <w:t>”</w:t>
      </w:r>
      <w:r w:rsidR="002D0B61" w:rsidRPr="00727D33">
        <w:rPr>
          <w:rFonts w:ascii="Verdana" w:hAnsi="Verdana"/>
          <w:sz w:val="20"/>
          <w:szCs w:val="20"/>
        </w:rPr>
        <w:t>) otorga a la Corte una gran facultad interpretativa por medio de la cual los Estados y algunos órganos del Sistema Interamericano pueden consultar a la Corte acerca de la interpretación de la Convención o de otros tratados concernientes a la protección de los derechos humanos en los Estados Americano</w:t>
      </w:r>
      <w:r w:rsidR="00F34C53">
        <w:rPr>
          <w:rFonts w:ascii="Verdana" w:hAnsi="Verdana"/>
          <w:sz w:val="20"/>
          <w:szCs w:val="20"/>
        </w:rPr>
        <w:t>s</w:t>
      </w:r>
      <w:r w:rsidR="002D0B61" w:rsidRPr="00727D33">
        <w:rPr>
          <w:rFonts w:ascii="Verdana" w:hAnsi="Verdana"/>
          <w:sz w:val="20"/>
          <w:szCs w:val="20"/>
        </w:rPr>
        <w:t xml:space="preserve">. </w:t>
      </w:r>
      <w:r w:rsidR="004233B7" w:rsidRPr="00727D33">
        <w:rPr>
          <w:rFonts w:ascii="Verdana" w:hAnsi="Verdana"/>
          <w:sz w:val="20"/>
          <w:szCs w:val="20"/>
        </w:rPr>
        <w:t>Adicionalmente, a través del ejercicio de esta facultad, le está permitido emitir</w:t>
      </w:r>
      <w:r w:rsidR="002D0B61" w:rsidRPr="00727D33">
        <w:rPr>
          <w:rFonts w:ascii="Verdana" w:hAnsi="Verdana"/>
          <w:sz w:val="20"/>
          <w:szCs w:val="20"/>
        </w:rPr>
        <w:t xml:space="preserve"> opiniones sobre la compatibilidad entre cualquier ley interna y los instrumentos internacionales, a solicitud de un Estado</w:t>
      </w:r>
      <w:r w:rsidR="002D0B61" w:rsidRPr="00727D33">
        <w:rPr>
          <w:rStyle w:val="Refdenotaalpie"/>
          <w:rFonts w:ascii="Verdana" w:hAnsi="Verdana"/>
          <w:sz w:val="20"/>
          <w:szCs w:val="20"/>
        </w:rPr>
        <w:footnoteReference w:id="1"/>
      </w:r>
      <w:r w:rsidR="002D0B61" w:rsidRPr="00727D33">
        <w:rPr>
          <w:rFonts w:ascii="Verdana" w:hAnsi="Verdana"/>
          <w:sz w:val="20"/>
          <w:szCs w:val="20"/>
        </w:rPr>
        <w:t xml:space="preserve">. </w:t>
      </w:r>
      <w:r w:rsidR="00CA7677" w:rsidRPr="00727D33">
        <w:rPr>
          <w:rFonts w:ascii="Verdana" w:hAnsi="Verdana"/>
          <w:sz w:val="20"/>
          <w:szCs w:val="20"/>
        </w:rPr>
        <w:t>En el mismo sentido, el Reglamento</w:t>
      </w:r>
      <w:r w:rsidR="00CA7677" w:rsidRPr="00727D33">
        <w:rPr>
          <w:rStyle w:val="Refdenotaalpie"/>
          <w:rFonts w:ascii="Verdana" w:hAnsi="Verdana"/>
          <w:sz w:val="20"/>
          <w:szCs w:val="20"/>
        </w:rPr>
        <w:footnoteReference w:id="2"/>
      </w:r>
      <w:r w:rsidR="00CA7677" w:rsidRPr="00727D33">
        <w:rPr>
          <w:rFonts w:ascii="Verdana" w:hAnsi="Verdana"/>
          <w:sz w:val="20"/>
          <w:szCs w:val="20"/>
        </w:rPr>
        <w:t xml:space="preserve"> de la Corte desarrolla los l</w:t>
      </w:r>
      <w:r w:rsidR="00F34C53">
        <w:rPr>
          <w:rFonts w:ascii="Verdana" w:hAnsi="Verdana"/>
          <w:sz w:val="20"/>
          <w:szCs w:val="20"/>
        </w:rPr>
        <w:t xml:space="preserve">ineamientos que se seguirán en </w:t>
      </w:r>
      <w:r w:rsidR="00CA7677" w:rsidRPr="00727D33">
        <w:rPr>
          <w:rFonts w:ascii="Verdana" w:hAnsi="Verdana"/>
          <w:sz w:val="20"/>
          <w:szCs w:val="20"/>
        </w:rPr>
        <w:t>caso de solicitud de Opinión Consultiva, así como algunos requisitos formales que deben seguir</w:t>
      </w:r>
      <w:r w:rsidR="00831628" w:rsidRPr="00727D33">
        <w:rPr>
          <w:rFonts w:ascii="Verdana" w:hAnsi="Verdana"/>
          <w:sz w:val="20"/>
          <w:szCs w:val="20"/>
        </w:rPr>
        <w:t>, como lo son (i) formular con precisión las preguntas; (ii) especificar las disposiciones que deben ser interpretadas; (iii) indicar las consideraciones que la originan, y (iv) suministrar el nombre y dirección del agente.</w:t>
      </w:r>
      <w:r w:rsidR="00CA7677" w:rsidRPr="00727D33">
        <w:rPr>
          <w:rFonts w:ascii="Verdana" w:hAnsi="Verdana"/>
          <w:sz w:val="20"/>
          <w:szCs w:val="20"/>
        </w:rPr>
        <w:t xml:space="preserve"> </w:t>
      </w:r>
    </w:p>
    <w:p w:rsidR="0087086C" w:rsidRPr="001D1F3C" w:rsidRDefault="00831628"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A lo largo de su</w:t>
      </w:r>
      <w:r w:rsidR="004233B7" w:rsidRPr="00727D33">
        <w:rPr>
          <w:rFonts w:ascii="Verdana" w:hAnsi="Verdana"/>
          <w:sz w:val="20"/>
          <w:szCs w:val="20"/>
        </w:rPr>
        <w:t>s</w:t>
      </w:r>
      <w:r w:rsidRPr="00727D33">
        <w:rPr>
          <w:rFonts w:ascii="Verdana" w:hAnsi="Verdana"/>
          <w:sz w:val="20"/>
          <w:szCs w:val="20"/>
        </w:rPr>
        <w:t xml:space="preserve"> </w:t>
      </w:r>
      <w:r w:rsidR="004233B7" w:rsidRPr="00727D33">
        <w:rPr>
          <w:rFonts w:ascii="Verdana" w:hAnsi="Verdana"/>
          <w:sz w:val="20"/>
          <w:szCs w:val="20"/>
        </w:rPr>
        <w:t>consistentes precedentes</w:t>
      </w:r>
      <w:r w:rsidRPr="00727D33">
        <w:rPr>
          <w:rFonts w:ascii="Verdana" w:hAnsi="Verdana"/>
          <w:sz w:val="20"/>
          <w:szCs w:val="20"/>
        </w:rPr>
        <w:t xml:space="preserve">, la Corte ha adoptado criterios interpretativos que dotan de contenido lo establecido por el artículo 64 de la Convención, así como las normas </w:t>
      </w:r>
      <w:r w:rsidR="00F34C53">
        <w:rPr>
          <w:rFonts w:ascii="Verdana" w:hAnsi="Verdana"/>
          <w:sz w:val="20"/>
          <w:szCs w:val="20"/>
        </w:rPr>
        <w:t>r</w:t>
      </w:r>
      <w:r w:rsidRPr="00727D33">
        <w:rPr>
          <w:rFonts w:ascii="Verdana" w:hAnsi="Verdana"/>
          <w:sz w:val="20"/>
          <w:szCs w:val="20"/>
        </w:rPr>
        <w:t xml:space="preserve">eglamentarias que rigen el procedimiento de las </w:t>
      </w:r>
      <w:r w:rsidR="00F34C53">
        <w:rPr>
          <w:rFonts w:ascii="Verdana" w:hAnsi="Verdana"/>
          <w:sz w:val="20"/>
          <w:szCs w:val="20"/>
        </w:rPr>
        <w:t>O</w:t>
      </w:r>
      <w:r w:rsidRPr="00727D33">
        <w:rPr>
          <w:rFonts w:ascii="Verdana" w:hAnsi="Verdana"/>
          <w:sz w:val="20"/>
          <w:szCs w:val="20"/>
        </w:rPr>
        <w:t xml:space="preserve">piniones </w:t>
      </w:r>
      <w:r w:rsidR="00F34C53">
        <w:rPr>
          <w:rFonts w:ascii="Verdana" w:hAnsi="Verdana"/>
          <w:sz w:val="20"/>
          <w:szCs w:val="20"/>
        </w:rPr>
        <w:t>C</w:t>
      </w:r>
      <w:r w:rsidRPr="00727D33">
        <w:rPr>
          <w:rFonts w:ascii="Verdana" w:hAnsi="Verdana"/>
          <w:sz w:val="20"/>
          <w:szCs w:val="20"/>
        </w:rPr>
        <w:t xml:space="preserve">onsultivas. Al respecto, y en lo </w:t>
      </w:r>
      <w:r w:rsidR="00AC2F60" w:rsidRPr="00727D33">
        <w:rPr>
          <w:rFonts w:ascii="Verdana" w:hAnsi="Verdana"/>
          <w:sz w:val="20"/>
          <w:szCs w:val="20"/>
        </w:rPr>
        <w:t xml:space="preserve">que es </w:t>
      </w:r>
      <w:r w:rsidRPr="00727D33">
        <w:rPr>
          <w:rFonts w:ascii="Verdana" w:hAnsi="Verdana"/>
          <w:sz w:val="20"/>
          <w:szCs w:val="20"/>
        </w:rPr>
        <w:t>de interés para este voto, me referiré</w:t>
      </w:r>
      <w:r w:rsidR="00F17AD2" w:rsidRPr="00727D33">
        <w:rPr>
          <w:rFonts w:ascii="Verdana" w:hAnsi="Verdana"/>
          <w:sz w:val="20"/>
          <w:szCs w:val="20"/>
        </w:rPr>
        <w:t>, en primer lugar,</w:t>
      </w:r>
      <w:r w:rsidRPr="00727D33">
        <w:rPr>
          <w:rFonts w:ascii="Verdana" w:hAnsi="Verdana"/>
          <w:sz w:val="20"/>
          <w:szCs w:val="20"/>
        </w:rPr>
        <w:t xml:space="preserve"> a </w:t>
      </w:r>
      <w:r w:rsidR="00F17AD2" w:rsidRPr="00727D33">
        <w:rPr>
          <w:rFonts w:ascii="Verdana" w:hAnsi="Verdana"/>
          <w:sz w:val="20"/>
          <w:szCs w:val="20"/>
        </w:rPr>
        <w:t xml:space="preserve">tres aspectos formales </w:t>
      </w:r>
      <w:r w:rsidR="00AC2F60" w:rsidRPr="00727D33">
        <w:rPr>
          <w:rFonts w:ascii="Verdana" w:hAnsi="Verdana"/>
          <w:sz w:val="20"/>
          <w:szCs w:val="20"/>
        </w:rPr>
        <w:t xml:space="preserve">que </w:t>
      </w:r>
      <w:r w:rsidR="00F17AD2" w:rsidRPr="00727D33">
        <w:rPr>
          <w:rFonts w:ascii="Verdana" w:hAnsi="Verdana"/>
          <w:sz w:val="20"/>
          <w:szCs w:val="20"/>
        </w:rPr>
        <w:t>fueron analizado</w:t>
      </w:r>
      <w:r w:rsidRPr="00727D33">
        <w:rPr>
          <w:rFonts w:ascii="Verdana" w:hAnsi="Verdana"/>
          <w:sz w:val="20"/>
          <w:szCs w:val="20"/>
        </w:rPr>
        <w:t xml:space="preserve">s por la Corte y con las cuales disiento: </w:t>
      </w:r>
      <w:r w:rsidR="0087086C" w:rsidRPr="00727D33">
        <w:rPr>
          <w:rFonts w:ascii="Verdana" w:hAnsi="Verdana"/>
          <w:sz w:val="20"/>
          <w:szCs w:val="20"/>
        </w:rPr>
        <w:t xml:space="preserve">(i) </w:t>
      </w:r>
      <w:r w:rsidR="002E203E" w:rsidRPr="00727D33">
        <w:rPr>
          <w:rFonts w:ascii="Verdana" w:hAnsi="Verdana"/>
          <w:sz w:val="20"/>
          <w:szCs w:val="20"/>
        </w:rPr>
        <w:t xml:space="preserve">respecto de </w:t>
      </w:r>
      <w:r w:rsidR="0087086C" w:rsidRPr="00727D33">
        <w:rPr>
          <w:rFonts w:ascii="Verdana" w:hAnsi="Verdana"/>
          <w:sz w:val="20"/>
          <w:szCs w:val="20"/>
        </w:rPr>
        <w:t xml:space="preserve">la existencia de determinadas peticiones en trámite ante la Comisión Interamericana, (ii) la competencia sobre los instrumentos regionales involucrados, y (iii) el requisito formal de formular preguntas. </w:t>
      </w:r>
    </w:p>
    <w:p w:rsidR="0087086C" w:rsidRPr="001D1F3C" w:rsidRDefault="0087086C" w:rsidP="00F245B0">
      <w:pPr>
        <w:pStyle w:val="Prrafodelista"/>
        <w:numPr>
          <w:ilvl w:val="0"/>
          <w:numId w:val="5"/>
        </w:numPr>
        <w:tabs>
          <w:tab w:val="left" w:pos="567"/>
        </w:tabs>
        <w:spacing w:before="240" w:after="240"/>
        <w:ind w:left="1134" w:hanging="510"/>
        <w:contextualSpacing w:val="0"/>
        <w:jc w:val="both"/>
        <w:rPr>
          <w:rFonts w:ascii="Verdana" w:hAnsi="Verdana"/>
          <w:b/>
          <w:sz w:val="20"/>
          <w:szCs w:val="20"/>
        </w:rPr>
      </w:pPr>
      <w:r w:rsidRPr="00727D33">
        <w:rPr>
          <w:rFonts w:ascii="Verdana" w:hAnsi="Verdana"/>
          <w:b/>
          <w:sz w:val="20"/>
          <w:szCs w:val="20"/>
        </w:rPr>
        <w:t>La existencia de determinadas peticiones en trámite ante la Comisión Interamericana</w:t>
      </w:r>
    </w:p>
    <w:p w:rsidR="00B93027" w:rsidRPr="001D1F3C" w:rsidRDefault="0087086C"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Durante la tramitación de la Solicitud de Opinión Consultiva que da origen a este voto, se puso en conocimiento d</w:t>
      </w:r>
      <w:r w:rsidR="002E203E" w:rsidRPr="00727D33">
        <w:rPr>
          <w:rFonts w:ascii="Verdana" w:hAnsi="Verdana"/>
          <w:sz w:val="20"/>
          <w:szCs w:val="20"/>
        </w:rPr>
        <w:t>e la Corte</w:t>
      </w:r>
      <w:r w:rsidR="00AC2F60" w:rsidRPr="00727D33">
        <w:rPr>
          <w:rFonts w:ascii="Verdana" w:hAnsi="Verdana"/>
          <w:sz w:val="20"/>
          <w:szCs w:val="20"/>
        </w:rPr>
        <w:t>, durante la Audiencia Pública,</w:t>
      </w:r>
      <w:r w:rsidRPr="00727D33">
        <w:rPr>
          <w:rFonts w:ascii="Verdana" w:hAnsi="Verdana"/>
          <w:sz w:val="20"/>
          <w:szCs w:val="20"/>
        </w:rPr>
        <w:t xml:space="preserve"> y </w:t>
      </w:r>
      <w:r w:rsidR="002E203E" w:rsidRPr="00727D33">
        <w:rPr>
          <w:rFonts w:ascii="Verdana" w:hAnsi="Verdana"/>
          <w:sz w:val="20"/>
          <w:szCs w:val="20"/>
        </w:rPr>
        <w:t xml:space="preserve">por parte </w:t>
      </w:r>
      <w:r w:rsidRPr="00727D33">
        <w:rPr>
          <w:rFonts w:ascii="Verdana" w:hAnsi="Verdana"/>
          <w:sz w:val="20"/>
          <w:szCs w:val="20"/>
        </w:rPr>
        <w:t>de la propia Comisión Interamericana</w:t>
      </w:r>
      <w:r w:rsidR="00AC2F60" w:rsidRPr="00727D33">
        <w:rPr>
          <w:rFonts w:ascii="Verdana" w:hAnsi="Verdana"/>
          <w:sz w:val="20"/>
          <w:szCs w:val="20"/>
        </w:rPr>
        <w:t>,</w:t>
      </w:r>
      <w:r w:rsidRPr="00727D33">
        <w:rPr>
          <w:rFonts w:ascii="Verdana" w:hAnsi="Verdana"/>
          <w:sz w:val="20"/>
          <w:szCs w:val="20"/>
        </w:rPr>
        <w:t xml:space="preserve"> la existencia de peticiones que se relacionarían con el </w:t>
      </w:r>
      <w:r w:rsidR="00DB293F" w:rsidRPr="00727D33">
        <w:rPr>
          <w:rFonts w:ascii="Verdana" w:hAnsi="Verdana"/>
          <w:sz w:val="20"/>
          <w:szCs w:val="20"/>
        </w:rPr>
        <w:t>objeto</w:t>
      </w:r>
      <w:r w:rsidRPr="00727D33">
        <w:rPr>
          <w:rFonts w:ascii="Verdana" w:hAnsi="Verdana"/>
          <w:sz w:val="20"/>
          <w:szCs w:val="20"/>
        </w:rPr>
        <w:t xml:space="preserve"> de dicha Opinión Consultiva. Al respecto, la Comisión Interamericana informó de la existencia de tres peticiones en etapa de admisibilidad, y una en la etapa de fondo</w:t>
      </w:r>
      <w:r w:rsidR="00AC2F60" w:rsidRPr="00727D33">
        <w:rPr>
          <w:rFonts w:ascii="Verdana" w:hAnsi="Verdana"/>
          <w:sz w:val="20"/>
          <w:szCs w:val="20"/>
        </w:rPr>
        <w:t>,</w:t>
      </w:r>
      <w:r w:rsidRPr="00727D33">
        <w:rPr>
          <w:rFonts w:ascii="Verdana" w:hAnsi="Verdana"/>
          <w:sz w:val="20"/>
          <w:szCs w:val="20"/>
        </w:rPr>
        <w:t xml:space="preserve"> las cuales tendrían relación con las pr</w:t>
      </w:r>
      <w:r w:rsidR="00682A42" w:rsidRPr="00727D33">
        <w:rPr>
          <w:rFonts w:ascii="Verdana" w:hAnsi="Verdana"/>
          <w:sz w:val="20"/>
          <w:szCs w:val="20"/>
        </w:rPr>
        <w:t xml:space="preserve">eguntas planteadas por </w:t>
      </w:r>
      <w:r w:rsidR="00AC2F60" w:rsidRPr="00727D33">
        <w:rPr>
          <w:rFonts w:ascii="Verdana" w:hAnsi="Verdana"/>
          <w:sz w:val="20"/>
          <w:szCs w:val="20"/>
        </w:rPr>
        <w:t xml:space="preserve">el ilustre Estado de </w:t>
      </w:r>
      <w:r w:rsidR="00682A42" w:rsidRPr="00727D33">
        <w:rPr>
          <w:rFonts w:ascii="Verdana" w:hAnsi="Verdana"/>
          <w:sz w:val="20"/>
          <w:szCs w:val="20"/>
        </w:rPr>
        <w:t>Colombia. A</w:t>
      </w:r>
      <w:r w:rsidRPr="00727D33">
        <w:rPr>
          <w:rFonts w:ascii="Verdana" w:hAnsi="Verdana"/>
          <w:sz w:val="20"/>
          <w:szCs w:val="20"/>
        </w:rPr>
        <w:t>simismo, la Corte recibió una observación escrita en la que se solicitó declarar inadmisible la solicitud en tanto, según la observación, la resolución por parte de la Corte desvirtuaría la jurisdicción contenciosa de la Corte en el caso pendiente</w:t>
      </w:r>
      <w:r w:rsidRPr="00727D33">
        <w:rPr>
          <w:rStyle w:val="Refdenotaalpie"/>
          <w:rFonts w:ascii="Verdana" w:hAnsi="Verdana"/>
          <w:sz w:val="20"/>
          <w:szCs w:val="20"/>
        </w:rPr>
        <w:footnoteReference w:id="3"/>
      </w:r>
      <w:r w:rsidRPr="00727D33">
        <w:rPr>
          <w:rFonts w:ascii="Verdana" w:hAnsi="Verdana"/>
          <w:sz w:val="20"/>
          <w:szCs w:val="20"/>
        </w:rPr>
        <w:t xml:space="preserve">. </w:t>
      </w:r>
    </w:p>
    <w:p w:rsidR="00B93027" w:rsidRPr="001D1F3C" w:rsidRDefault="0087086C"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Sobre lo anterior, aunque la Corte al momento de analizar lo expuesto</w:t>
      </w:r>
      <w:r w:rsidR="008216D0" w:rsidRPr="00727D33">
        <w:rPr>
          <w:rFonts w:ascii="Verdana" w:hAnsi="Verdana"/>
          <w:sz w:val="20"/>
          <w:szCs w:val="20"/>
        </w:rPr>
        <w:t>,</w:t>
      </w:r>
      <w:r w:rsidRPr="00727D33">
        <w:rPr>
          <w:rFonts w:ascii="Verdana" w:hAnsi="Verdana"/>
          <w:sz w:val="20"/>
          <w:szCs w:val="20"/>
        </w:rPr>
        <w:t xml:space="preserve"> llega a concluir que tiene compet</w:t>
      </w:r>
      <w:r w:rsidR="00E70684" w:rsidRPr="00727D33">
        <w:rPr>
          <w:rFonts w:ascii="Verdana" w:hAnsi="Verdana"/>
          <w:sz w:val="20"/>
          <w:szCs w:val="20"/>
        </w:rPr>
        <w:t>encia para pronunciarse sobre la pregunta</w:t>
      </w:r>
      <w:r w:rsidR="008216D0" w:rsidRPr="00727D33">
        <w:rPr>
          <w:rFonts w:ascii="Verdana" w:hAnsi="Verdana"/>
          <w:sz w:val="20"/>
          <w:szCs w:val="20"/>
        </w:rPr>
        <w:t xml:space="preserve"> de</w:t>
      </w:r>
      <w:r w:rsidRPr="00727D33">
        <w:rPr>
          <w:rFonts w:ascii="Verdana" w:hAnsi="Verdana"/>
          <w:sz w:val="20"/>
          <w:szCs w:val="20"/>
        </w:rPr>
        <w:t xml:space="preserve"> Colombia, </w:t>
      </w:r>
      <w:r w:rsidR="002E203E" w:rsidRPr="00727D33">
        <w:rPr>
          <w:rFonts w:ascii="Verdana" w:hAnsi="Verdana"/>
          <w:sz w:val="20"/>
          <w:szCs w:val="20"/>
        </w:rPr>
        <w:t>simplemente haciendo referencia a</w:t>
      </w:r>
      <w:r w:rsidR="008216D0" w:rsidRPr="00727D33">
        <w:rPr>
          <w:rFonts w:ascii="Verdana" w:hAnsi="Verdana"/>
          <w:sz w:val="20"/>
          <w:szCs w:val="20"/>
        </w:rPr>
        <w:t xml:space="preserve"> su jurisprudencia manifestando</w:t>
      </w:r>
      <w:r w:rsidRPr="00727D33">
        <w:rPr>
          <w:rFonts w:ascii="Verdana" w:hAnsi="Verdana"/>
          <w:sz w:val="20"/>
          <w:szCs w:val="20"/>
        </w:rPr>
        <w:t xml:space="preserve"> que </w:t>
      </w:r>
      <w:r w:rsidR="00DB293F" w:rsidRPr="00727D33">
        <w:rPr>
          <w:rFonts w:ascii="Verdana" w:hAnsi="Verdana"/>
          <w:sz w:val="20"/>
          <w:szCs w:val="20"/>
        </w:rPr>
        <w:t xml:space="preserve">“el solo hecho de que existan peticiones ante la Comisión o casos contenciosos relacionados con el tema de la consulta no basta para que la Corte se abstenga de responder las preguntas sometidas </w:t>
      </w:r>
      <w:r w:rsidR="002E203E" w:rsidRPr="00727D33">
        <w:rPr>
          <w:rFonts w:ascii="Verdana" w:hAnsi="Verdana"/>
          <w:sz w:val="20"/>
          <w:szCs w:val="20"/>
        </w:rPr>
        <w:t xml:space="preserve">a consulta”; esta </w:t>
      </w:r>
      <w:r w:rsidR="008216D0" w:rsidRPr="00727D33">
        <w:rPr>
          <w:rFonts w:ascii="Verdana" w:hAnsi="Verdana"/>
          <w:sz w:val="20"/>
          <w:szCs w:val="20"/>
        </w:rPr>
        <w:t xml:space="preserve">sola </w:t>
      </w:r>
      <w:r w:rsidR="002E203E" w:rsidRPr="00727D33">
        <w:rPr>
          <w:rFonts w:ascii="Verdana" w:hAnsi="Verdana"/>
          <w:sz w:val="20"/>
          <w:szCs w:val="20"/>
        </w:rPr>
        <w:t>referencia</w:t>
      </w:r>
      <w:r w:rsidR="00AC2F60" w:rsidRPr="00727D33">
        <w:rPr>
          <w:rFonts w:ascii="Verdana" w:hAnsi="Verdana"/>
          <w:sz w:val="20"/>
          <w:szCs w:val="20"/>
        </w:rPr>
        <w:t xml:space="preserve"> resulta claramente insuficiente</w:t>
      </w:r>
      <w:r w:rsidR="00DB293F" w:rsidRPr="00727D33">
        <w:rPr>
          <w:rFonts w:ascii="Verdana" w:hAnsi="Verdana"/>
          <w:sz w:val="20"/>
          <w:szCs w:val="20"/>
        </w:rPr>
        <w:t xml:space="preserve"> </w:t>
      </w:r>
      <w:r w:rsidR="002E203E" w:rsidRPr="00727D33">
        <w:rPr>
          <w:rFonts w:ascii="Verdana" w:hAnsi="Verdana"/>
          <w:sz w:val="20"/>
          <w:szCs w:val="20"/>
        </w:rPr>
        <w:t xml:space="preserve">puesto que </w:t>
      </w:r>
      <w:r w:rsidR="00DB293F" w:rsidRPr="00727D33">
        <w:rPr>
          <w:rFonts w:ascii="Verdana" w:hAnsi="Verdana"/>
          <w:sz w:val="20"/>
          <w:szCs w:val="20"/>
        </w:rPr>
        <w:t xml:space="preserve">no se </w:t>
      </w:r>
      <w:r w:rsidR="00AC2F60" w:rsidRPr="00727D33">
        <w:rPr>
          <w:rFonts w:ascii="Verdana" w:hAnsi="Verdana"/>
          <w:sz w:val="20"/>
          <w:szCs w:val="20"/>
        </w:rPr>
        <w:t>realizó</w:t>
      </w:r>
      <w:r w:rsidR="00DB293F" w:rsidRPr="00727D33">
        <w:rPr>
          <w:rFonts w:ascii="Verdana" w:hAnsi="Verdana"/>
          <w:sz w:val="20"/>
          <w:szCs w:val="20"/>
        </w:rPr>
        <w:t xml:space="preserve"> un análisis </w:t>
      </w:r>
      <w:r w:rsidR="002E203E" w:rsidRPr="00727D33">
        <w:rPr>
          <w:rFonts w:ascii="Verdana" w:hAnsi="Verdana"/>
          <w:sz w:val="20"/>
          <w:szCs w:val="20"/>
        </w:rPr>
        <w:t xml:space="preserve">específico y particular </w:t>
      </w:r>
      <w:r w:rsidR="00DB293F" w:rsidRPr="00727D33">
        <w:rPr>
          <w:rFonts w:ascii="Verdana" w:hAnsi="Verdana"/>
          <w:sz w:val="20"/>
          <w:szCs w:val="20"/>
        </w:rPr>
        <w:t>más profundo</w:t>
      </w:r>
      <w:r w:rsidR="00AC2F60" w:rsidRPr="00727D33">
        <w:rPr>
          <w:rFonts w:ascii="Verdana" w:hAnsi="Verdana"/>
          <w:sz w:val="20"/>
          <w:szCs w:val="20"/>
        </w:rPr>
        <w:t xml:space="preserve"> y meditado</w:t>
      </w:r>
      <w:r w:rsidR="00DB293F" w:rsidRPr="00727D33">
        <w:rPr>
          <w:rFonts w:ascii="Verdana" w:hAnsi="Verdana"/>
          <w:sz w:val="20"/>
          <w:szCs w:val="20"/>
        </w:rPr>
        <w:t xml:space="preserve"> sobre </w:t>
      </w:r>
      <w:r w:rsidR="002E203E" w:rsidRPr="00727D33">
        <w:rPr>
          <w:rFonts w:ascii="Verdana" w:hAnsi="Verdana"/>
          <w:sz w:val="20"/>
          <w:szCs w:val="20"/>
        </w:rPr>
        <w:t xml:space="preserve">cada uno de </w:t>
      </w:r>
      <w:r w:rsidR="00DB293F" w:rsidRPr="00727D33">
        <w:rPr>
          <w:rFonts w:ascii="Verdana" w:hAnsi="Verdana"/>
          <w:sz w:val="20"/>
          <w:szCs w:val="20"/>
        </w:rPr>
        <w:t xml:space="preserve">estos </w:t>
      </w:r>
      <w:r w:rsidR="008216D0" w:rsidRPr="00727D33">
        <w:rPr>
          <w:rFonts w:ascii="Verdana" w:hAnsi="Verdana"/>
          <w:sz w:val="20"/>
          <w:szCs w:val="20"/>
        </w:rPr>
        <w:t xml:space="preserve">tres </w:t>
      </w:r>
      <w:r w:rsidR="00DB293F" w:rsidRPr="00727D33">
        <w:rPr>
          <w:rFonts w:ascii="Verdana" w:hAnsi="Verdana"/>
          <w:sz w:val="20"/>
          <w:szCs w:val="20"/>
        </w:rPr>
        <w:t>casos puestos en conocimiento de la Corte,</w:t>
      </w:r>
      <w:r w:rsidR="008216D0" w:rsidRPr="00727D33">
        <w:rPr>
          <w:rFonts w:ascii="Verdana" w:hAnsi="Verdana"/>
          <w:sz w:val="20"/>
          <w:szCs w:val="20"/>
        </w:rPr>
        <w:t xml:space="preserve"> principalmente aquel que se encontraba ya bajo su competencia,</w:t>
      </w:r>
      <w:r w:rsidR="00DB293F" w:rsidRPr="00727D33">
        <w:rPr>
          <w:rFonts w:ascii="Verdana" w:hAnsi="Verdana"/>
          <w:sz w:val="20"/>
          <w:szCs w:val="20"/>
        </w:rPr>
        <w:t xml:space="preserve"> máxime considerando que en otras ocasiones han </w:t>
      </w:r>
      <w:r w:rsidR="00F34C53">
        <w:rPr>
          <w:rFonts w:ascii="Verdana" w:hAnsi="Verdana"/>
          <w:sz w:val="20"/>
          <w:szCs w:val="20"/>
        </w:rPr>
        <w:lastRenderedPageBreak/>
        <w:t>sido rechazadas solicitudes de Opinión C</w:t>
      </w:r>
      <w:r w:rsidR="00DB293F" w:rsidRPr="00727D33">
        <w:rPr>
          <w:rFonts w:ascii="Verdana" w:hAnsi="Verdana"/>
          <w:sz w:val="20"/>
          <w:szCs w:val="20"/>
        </w:rPr>
        <w:t xml:space="preserve">onsultiva </w:t>
      </w:r>
      <w:r w:rsidR="00AC2F60" w:rsidRPr="00727D33">
        <w:rPr>
          <w:rFonts w:ascii="Verdana" w:hAnsi="Verdana"/>
          <w:sz w:val="20"/>
          <w:szCs w:val="20"/>
        </w:rPr>
        <w:t xml:space="preserve">justamente </w:t>
      </w:r>
      <w:r w:rsidR="002E203E" w:rsidRPr="00727D33">
        <w:rPr>
          <w:rFonts w:ascii="Verdana" w:hAnsi="Verdana"/>
          <w:sz w:val="20"/>
          <w:szCs w:val="20"/>
        </w:rPr>
        <w:t>amparándose en las</w:t>
      </w:r>
      <w:r w:rsidR="00DB293F" w:rsidRPr="00727D33">
        <w:rPr>
          <w:rFonts w:ascii="Verdana" w:hAnsi="Verdana"/>
          <w:sz w:val="20"/>
          <w:szCs w:val="20"/>
        </w:rPr>
        <w:t xml:space="preserve"> razones </w:t>
      </w:r>
      <w:r w:rsidR="002E203E" w:rsidRPr="00727D33">
        <w:rPr>
          <w:rFonts w:ascii="Verdana" w:hAnsi="Verdana"/>
          <w:sz w:val="20"/>
          <w:szCs w:val="20"/>
        </w:rPr>
        <w:t>ahora utilizadas para su tramitación</w:t>
      </w:r>
      <w:r w:rsidR="008216D0" w:rsidRPr="00727D33">
        <w:rPr>
          <w:rFonts w:ascii="Verdana" w:hAnsi="Verdana"/>
          <w:sz w:val="20"/>
          <w:szCs w:val="20"/>
        </w:rPr>
        <w:t>.</w:t>
      </w:r>
      <w:r w:rsidR="00DB293F" w:rsidRPr="00727D33">
        <w:rPr>
          <w:rFonts w:ascii="Verdana" w:hAnsi="Verdana"/>
          <w:sz w:val="20"/>
          <w:szCs w:val="20"/>
        </w:rPr>
        <w:t xml:space="preserve"> </w:t>
      </w:r>
    </w:p>
    <w:p w:rsidR="00B93027" w:rsidRPr="001D1F3C" w:rsidRDefault="00AC2F60"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 xml:space="preserve">Particularmente, </w:t>
      </w:r>
      <w:r w:rsidR="004E699F" w:rsidRPr="00727D33">
        <w:rPr>
          <w:rFonts w:ascii="Verdana" w:hAnsi="Verdana"/>
          <w:sz w:val="20"/>
          <w:szCs w:val="20"/>
        </w:rPr>
        <w:t>la Corte</w:t>
      </w:r>
      <w:r w:rsidRPr="00727D33">
        <w:rPr>
          <w:rFonts w:ascii="Verdana" w:hAnsi="Verdana"/>
          <w:sz w:val="20"/>
          <w:szCs w:val="20"/>
        </w:rPr>
        <w:t xml:space="preserve"> omitió</w:t>
      </w:r>
      <w:r w:rsidR="004E699F" w:rsidRPr="00727D33">
        <w:rPr>
          <w:rFonts w:ascii="Verdana" w:hAnsi="Verdana"/>
          <w:sz w:val="20"/>
          <w:szCs w:val="20"/>
        </w:rPr>
        <w:t xml:space="preserve"> incluir en su a</w:t>
      </w:r>
      <w:r w:rsidRPr="00727D33">
        <w:rPr>
          <w:rFonts w:ascii="Verdana" w:hAnsi="Verdana"/>
          <w:sz w:val="20"/>
          <w:szCs w:val="20"/>
        </w:rPr>
        <w:t>nálisis sobre la admisibilidad,</w:t>
      </w:r>
      <w:r w:rsidR="00870B78" w:rsidRPr="00727D33">
        <w:rPr>
          <w:rFonts w:ascii="Verdana" w:hAnsi="Verdana"/>
          <w:sz w:val="20"/>
          <w:szCs w:val="20"/>
        </w:rPr>
        <w:t xml:space="preserve"> lo recogido por</w:t>
      </w:r>
      <w:r w:rsidR="00777D7F" w:rsidRPr="00727D33">
        <w:rPr>
          <w:rFonts w:ascii="Verdana" w:hAnsi="Verdana"/>
          <w:sz w:val="20"/>
          <w:szCs w:val="20"/>
        </w:rPr>
        <w:t xml:space="preserve"> parte de </w:t>
      </w:r>
      <w:r w:rsidR="004E699F" w:rsidRPr="00727D33">
        <w:rPr>
          <w:rFonts w:ascii="Verdana" w:hAnsi="Verdana"/>
          <w:sz w:val="20"/>
          <w:szCs w:val="20"/>
        </w:rPr>
        <w:t>su jurisprudencia con respecto a lo que ha denominado “límites genéricos”</w:t>
      </w:r>
      <w:r w:rsidR="00777D7F" w:rsidRPr="00727D33">
        <w:rPr>
          <w:rFonts w:ascii="Verdana" w:hAnsi="Verdana"/>
          <w:sz w:val="20"/>
          <w:szCs w:val="20"/>
        </w:rPr>
        <w:t xml:space="preserve"> a su</w:t>
      </w:r>
      <w:r w:rsidR="004E699F" w:rsidRPr="00727D33">
        <w:rPr>
          <w:rFonts w:ascii="Verdana" w:hAnsi="Verdana"/>
          <w:sz w:val="20"/>
          <w:szCs w:val="20"/>
        </w:rPr>
        <w:t xml:space="preserve"> función consultiva. </w:t>
      </w:r>
      <w:r w:rsidR="00777D7F" w:rsidRPr="00727D33">
        <w:rPr>
          <w:rFonts w:ascii="Verdana" w:hAnsi="Verdana"/>
          <w:sz w:val="20"/>
          <w:szCs w:val="20"/>
        </w:rPr>
        <w:t>Según los cuales, una solicitud de opinión consultiva: a) no debe encubrir un caso contencioso o pretender obtener prematuramente un pronunciamiento sobre un tema o asunto que podría eventualmente ser sometido a la Corte a través de un caso contencioso; b) no debe utilizarse como un mecanismo para obtener un pronunciamiento indirecto de un asunto en litigio o en controversia a nivel interno; c) no debe utilizarse como un instrumento de un debate político interno; d) no debe abarcar, en forma exclusiva, temas sobre los que la Corte ya se ha pronunciado en su jurisprudencia y e) no debe procurar la resolución de cuestiones de hecho, sino que busca desentrañar el sentido, propósito y razón de las normas internacionales sobre derechos humanos y, sobre todo, coadyuvar a los Estados miembros y a los órganos de la OEA para que cumplan de manera cabal y efectiva sus obligaciones internacionales</w:t>
      </w:r>
      <w:r w:rsidR="00777D7F" w:rsidRPr="00727D33">
        <w:rPr>
          <w:rStyle w:val="Refdenotaalpie"/>
          <w:rFonts w:ascii="Verdana" w:hAnsi="Verdana"/>
          <w:sz w:val="20"/>
          <w:szCs w:val="20"/>
        </w:rPr>
        <w:footnoteReference w:id="4"/>
      </w:r>
      <w:r w:rsidR="00777D7F" w:rsidRPr="00727D33">
        <w:rPr>
          <w:rFonts w:ascii="Verdana" w:hAnsi="Verdana"/>
          <w:sz w:val="20"/>
          <w:szCs w:val="20"/>
        </w:rPr>
        <w:t xml:space="preserve">. </w:t>
      </w:r>
      <w:r w:rsidR="00870B78" w:rsidRPr="00727D33">
        <w:rPr>
          <w:rFonts w:ascii="Verdana" w:hAnsi="Verdana"/>
          <w:sz w:val="20"/>
          <w:szCs w:val="20"/>
        </w:rPr>
        <w:t>“</w:t>
      </w:r>
      <w:r w:rsidR="00777D7F" w:rsidRPr="00727D33">
        <w:rPr>
          <w:rFonts w:ascii="Verdana" w:hAnsi="Verdana"/>
          <w:sz w:val="20"/>
          <w:szCs w:val="20"/>
        </w:rPr>
        <w:t>Límites</w:t>
      </w:r>
      <w:r w:rsidR="00870B78" w:rsidRPr="00727D33">
        <w:rPr>
          <w:rFonts w:ascii="Verdana" w:hAnsi="Verdana"/>
          <w:sz w:val="20"/>
          <w:szCs w:val="20"/>
        </w:rPr>
        <w:t xml:space="preserve"> genéricos”</w:t>
      </w:r>
      <w:r w:rsidR="00777D7F" w:rsidRPr="00727D33">
        <w:rPr>
          <w:rFonts w:ascii="Verdana" w:hAnsi="Verdana"/>
          <w:sz w:val="20"/>
          <w:szCs w:val="20"/>
        </w:rPr>
        <w:t xml:space="preserve"> que no solo ha construido, sino </w:t>
      </w:r>
      <w:r w:rsidR="008216D0" w:rsidRPr="00727D33">
        <w:rPr>
          <w:rFonts w:ascii="Verdana" w:hAnsi="Verdana"/>
          <w:sz w:val="20"/>
          <w:szCs w:val="20"/>
        </w:rPr>
        <w:t xml:space="preserve">incluso los ha </w:t>
      </w:r>
      <w:r w:rsidR="00777D7F" w:rsidRPr="00727D33">
        <w:rPr>
          <w:rFonts w:ascii="Verdana" w:hAnsi="Verdana"/>
          <w:sz w:val="20"/>
          <w:szCs w:val="20"/>
        </w:rPr>
        <w:t>aplicado, para rechazar, recientemente, una solicitud de Opinión Consultiva presentada por el Secretario General de la Organización de Estados Americano, bajo el fundamento de estimar que se “podría constituir un pronunciamiento prematuro sobre el tema o asunto en cuestión, el que le podría ser sometido posteriormente en el marco de un caso contencioso”</w:t>
      </w:r>
      <w:r w:rsidR="00777D7F" w:rsidRPr="00727D33">
        <w:rPr>
          <w:rStyle w:val="Refdenotaalpie"/>
          <w:rFonts w:ascii="Verdana" w:hAnsi="Verdana"/>
          <w:sz w:val="20"/>
          <w:szCs w:val="20"/>
        </w:rPr>
        <w:footnoteReference w:id="5"/>
      </w:r>
      <w:r w:rsidR="00777D7F" w:rsidRPr="00727D33">
        <w:rPr>
          <w:rFonts w:ascii="Verdana" w:hAnsi="Verdana"/>
          <w:sz w:val="20"/>
          <w:szCs w:val="20"/>
        </w:rPr>
        <w:t>.</w:t>
      </w:r>
    </w:p>
    <w:p w:rsidR="00B93027" w:rsidRPr="001D1F3C" w:rsidRDefault="00777D7F"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 xml:space="preserve">En la misma línea de los </w:t>
      </w:r>
      <w:r w:rsidR="00870B78" w:rsidRPr="00727D33">
        <w:rPr>
          <w:rFonts w:ascii="Verdana" w:hAnsi="Verdana"/>
          <w:sz w:val="20"/>
          <w:szCs w:val="20"/>
        </w:rPr>
        <w:t>“</w:t>
      </w:r>
      <w:r w:rsidRPr="00727D33">
        <w:rPr>
          <w:rFonts w:ascii="Verdana" w:hAnsi="Verdana"/>
          <w:sz w:val="20"/>
          <w:szCs w:val="20"/>
        </w:rPr>
        <w:t>límites genéricos</w:t>
      </w:r>
      <w:r w:rsidR="00870B78" w:rsidRPr="00727D33">
        <w:rPr>
          <w:rFonts w:ascii="Verdana" w:hAnsi="Verdana"/>
          <w:sz w:val="20"/>
          <w:szCs w:val="20"/>
        </w:rPr>
        <w:t>”</w:t>
      </w:r>
      <w:r w:rsidRPr="00727D33">
        <w:rPr>
          <w:rFonts w:ascii="Verdana" w:hAnsi="Verdana"/>
          <w:sz w:val="20"/>
          <w:szCs w:val="20"/>
        </w:rPr>
        <w:t xml:space="preserve"> desarrollados por la jurisprudencia del Tribunal, la Corte</w:t>
      </w:r>
      <w:r w:rsidR="00870B78" w:rsidRPr="00727D33">
        <w:rPr>
          <w:rFonts w:ascii="Verdana" w:hAnsi="Verdana"/>
          <w:sz w:val="20"/>
          <w:szCs w:val="20"/>
        </w:rPr>
        <w:t>,</w:t>
      </w:r>
      <w:r w:rsidRPr="00727D33">
        <w:rPr>
          <w:rFonts w:ascii="Verdana" w:hAnsi="Verdana"/>
          <w:sz w:val="20"/>
          <w:szCs w:val="20"/>
        </w:rPr>
        <w:t xml:space="preserve"> al momento de emitir la Resolución que da origen a este voto, no solo omitió analizar los ya mencionados</w:t>
      </w:r>
      <w:r w:rsidR="00870B78" w:rsidRPr="00727D33">
        <w:rPr>
          <w:rFonts w:ascii="Verdana" w:hAnsi="Verdana"/>
          <w:sz w:val="20"/>
          <w:szCs w:val="20"/>
        </w:rPr>
        <w:t xml:space="preserve"> límites</w:t>
      </w:r>
      <w:r w:rsidRPr="00727D33">
        <w:rPr>
          <w:rFonts w:ascii="Verdana" w:hAnsi="Verdana"/>
          <w:sz w:val="20"/>
          <w:szCs w:val="20"/>
        </w:rPr>
        <w:t xml:space="preserve">, sino que omitió </w:t>
      </w:r>
      <w:r w:rsidR="00CC188D" w:rsidRPr="00727D33">
        <w:rPr>
          <w:rFonts w:ascii="Verdana" w:hAnsi="Verdana"/>
          <w:sz w:val="20"/>
          <w:szCs w:val="20"/>
        </w:rPr>
        <w:t>pronunciarse respecto d</w:t>
      </w:r>
      <w:r w:rsidRPr="00727D33">
        <w:rPr>
          <w:rFonts w:ascii="Verdana" w:hAnsi="Verdana"/>
          <w:sz w:val="20"/>
          <w:szCs w:val="20"/>
        </w:rPr>
        <w:t>el hecho de que el caso</w:t>
      </w:r>
      <w:r w:rsidR="00DB4F06" w:rsidRPr="00727D33">
        <w:rPr>
          <w:rFonts w:ascii="Verdana" w:hAnsi="Verdana"/>
          <w:sz w:val="20"/>
          <w:szCs w:val="20"/>
        </w:rPr>
        <w:t xml:space="preserve"> “Fabio Gadea Mantilla respecto de Nicaragua”</w:t>
      </w:r>
      <w:r w:rsidR="00870B78" w:rsidRPr="00727D33">
        <w:rPr>
          <w:rFonts w:ascii="Verdana" w:hAnsi="Verdana"/>
          <w:sz w:val="20"/>
          <w:szCs w:val="20"/>
        </w:rPr>
        <w:t>,</w:t>
      </w:r>
      <w:r w:rsidR="00CC188D" w:rsidRPr="00727D33">
        <w:rPr>
          <w:rFonts w:ascii="Verdana" w:hAnsi="Verdana"/>
          <w:sz w:val="20"/>
          <w:szCs w:val="20"/>
        </w:rPr>
        <w:t xml:space="preserve"> en su momento expuesto</w:t>
      </w:r>
      <w:r w:rsidRPr="00727D33">
        <w:rPr>
          <w:rFonts w:ascii="Verdana" w:hAnsi="Verdana"/>
          <w:sz w:val="20"/>
          <w:szCs w:val="20"/>
        </w:rPr>
        <w:t xml:space="preserve"> por la </w:t>
      </w:r>
      <w:r w:rsidR="00870B78" w:rsidRPr="00727D33">
        <w:rPr>
          <w:rFonts w:ascii="Verdana" w:hAnsi="Verdana"/>
          <w:sz w:val="20"/>
          <w:szCs w:val="20"/>
        </w:rPr>
        <w:t xml:space="preserve">propia </w:t>
      </w:r>
      <w:r w:rsidRPr="00727D33">
        <w:rPr>
          <w:rFonts w:ascii="Verdana" w:hAnsi="Verdana"/>
          <w:sz w:val="20"/>
          <w:szCs w:val="20"/>
        </w:rPr>
        <w:t>Comisión Interamericana</w:t>
      </w:r>
      <w:r w:rsidR="00870B78" w:rsidRPr="00727D33">
        <w:rPr>
          <w:rFonts w:ascii="Verdana" w:hAnsi="Verdana"/>
          <w:sz w:val="20"/>
          <w:szCs w:val="20"/>
        </w:rPr>
        <w:t>,</w:t>
      </w:r>
      <w:r w:rsidRPr="00727D33">
        <w:rPr>
          <w:rFonts w:ascii="Verdana" w:hAnsi="Verdana"/>
          <w:sz w:val="20"/>
          <w:szCs w:val="20"/>
        </w:rPr>
        <w:t xml:space="preserve"> como </w:t>
      </w:r>
      <w:r w:rsidR="00DB4F06" w:rsidRPr="00727D33">
        <w:rPr>
          <w:rFonts w:ascii="Verdana" w:hAnsi="Verdana"/>
          <w:sz w:val="20"/>
          <w:szCs w:val="20"/>
        </w:rPr>
        <w:t xml:space="preserve">un caso </w:t>
      </w:r>
      <w:r w:rsidRPr="00727D33">
        <w:rPr>
          <w:rFonts w:ascii="Verdana" w:hAnsi="Verdana"/>
          <w:sz w:val="20"/>
          <w:szCs w:val="20"/>
        </w:rPr>
        <w:t xml:space="preserve">en etapa de fondo, y sobre el cual una </w:t>
      </w:r>
      <w:r w:rsidR="001D1F3C">
        <w:rPr>
          <w:rFonts w:ascii="Verdana" w:hAnsi="Verdana"/>
          <w:sz w:val="20"/>
          <w:szCs w:val="20"/>
        </w:rPr>
        <w:t>de las observaciones recibidas</w:t>
      </w:r>
      <w:r w:rsidRPr="00727D33">
        <w:rPr>
          <w:rFonts w:ascii="Verdana" w:hAnsi="Verdana"/>
          <w:sz w:val="20"/>
          <w:szCs w:val="20"/>
        </w:rPr>
        <w:t xml:space="preserve"> pidió declarar inadmisible la </w:t>
      </w:r>
      <w:r w:rsidR="00DB4F06" w:rsidRPr="00727D33">
        <w:rPr>
          <w:rFonts w:ascii="Verdana" w:hAnsi="Verdana"/>
          <w:sz w:val="20"/>
          <w:szCs w:val="20"/>
        </w:rPr>
        <w:t xml:space="preserve">solicitud </w:t>
      </w:r>
      <w:r w:rsidR="00C86DFE" w:rsidRPr="00727D33">
        <w:rPr>
          <w:rFonts w:ascii="Verdana" w:hAnsi="Verdana"/>
          <w:sz w:val="20"/>
          <w:szCs w:val="20"/>
        </w:rPr>
        <w:t>de opinión consultiva;</w:t>
      </w:r>
      <w:r w:rsidR="00C61D10" w:rsidRPr="00727D33">
        <w:rPr>
          <w:rFonts w:ascii="Verdana" w:hAnsi="Verdana"/>
          <w:sz w:val="20"/>
          <w:szCs w:val="20"/>
        </w:rPr>
        <w:t xml:space="preserve"> </w:t>
      </w:r>
      <w:r w:rsidR="00CC188D" w:rsidRPr="00727D33">
        <w:rPr>
          <w:rFonts w:ascii="Verdana" w:hAnsi="Verdana"/>
          <w:sz w:val="20"/>
          <w:szCs w:val="20"/>
        </w:rPr>
        <w:t>ya era parte y se encontraba</w:t>
      </w:r>
      <w:r w:rsidR="00C61D10" w:rsidRPr="00727D33">
        <w:rPr>
          <w:rFonts w:ascii="Verdana" w:hAnsi="Verdana"/>
          <w:sz w:val="20"/>
          <w:szCs w:val="20"/>
        </w:rPr>
        <w:t xml:space="preserve"> sometido</w:t>
      </w:r>
      <w:r w:rsidR="00CC188D" w:rsidRPr="00727D33">
        <w:rPr>
          <w:rFonts w:ascii="Verdana" w:hAnsi="Verdana"/>
          <w:sz w:val="20"/>
          <w:szCs w:val="20"/>
        </w:rPr>
        <w:t>, como un caso contencioso,</w:t>
      </w:r>
      <w:r w:rsidR="00C61D10" w:rsidRPr="00727D33">
        <w:rPr>
          <w:rFonts w:ascii="Verdana" w:hAnsi="Verdana"/>
          <w:sz w:val="20"/>
          <w:szCs w:val="20"/>
        </w:rPr>
        <w:t xml:space="preserve"> a la jurisdicción de la Corte por parte de la Comisión Interamericana</w:t>
      </w:r>
      <w:r w:rsidR="00870B78" w:rsidRPr="00727D33">
        <w:rPr>
          <w:rFonts w:ascii="Verdana" w:hAnsi="Verdana"/>
          <w:sz w:val="20"/>
          <w:szCs w:val="20"/>
        </w:rPr>
        <w:t>,</w:t>
      </w:r>
      <w:r w:rsidR="00CC188D" w:rsidRPr="00727D33">
        <w:rPr>
          <w:rFonts w:ascii="Verdana" w:hAnsi="Verdana"/>
          <w:sz w:val="20"/>
          <w:szCs w:val="20"/>
        </w:rPr>
        <w:t xml:space="preserve"> </w:t>
      </w:r>
      <w:r w:rsidR="00CC188D" w:rsidRPr="00727D33">
        <w:rPr>
          <w:rFonts w:ascii="Verdana" w:hAnsi="Verdana"/>
          <w:b/>
          <w:sz w:val="20"/>
          <w:szCs w:val="20"/>
          <w:u w:val="single"/>
        </w:rPr>
        <w:t>a partir de</w:t>
      </w:r>
      <w:r w:rsidR="00C61D10" w:rsidRPr="00727D33">
        <w:rPr>
          <w:rFonts w:ascii="Verdana" w:hAnsi="Verdana"/>
          <w:b/>
          <w:sz w:val="20"/>
          <w:szCs w:val="20"/>
          <w:u w:val="single"/>
        </w:rPr>
        <w:t>l 5 de junio de 2021, fecha anterior al inicio de la deliberación de la presente Resolución de Opinión Consultiva</w:t>
      </w:r>
      <w:r w:rsidR="00C61D10" w:rsidRPr="00727D33">
        <w:rPr>
          <w:rStyle w:val="Refdenotaalpie"/>
          <w:rFonts w:ascii="Verdana" w:hAnsi="Verdana"/>
          <w:b/>
          <w:sz w:val="20"/>
          <w:szCs w:val="20"/>
          <w:u w:val="single"/>
        </w:rPr>
        <w:footnoteReference w:id="6"/>
      </w:r>
      <w:r w:rsidR="00C61D10" w:rsidRPr="00727D33">
        <w:rPr>
          <w:rFonts w:ascii="Verdana" w:hAnsi="Verdana"/>
          <w:b/>
          <w:sz w:val="20"/>
          <w:szCs w:val="20"/>
        </w:rPr>
        <w:t>.</w:t>
      </w:r>
      <w:r w:rsidR="00C61D10" w:rsidRPr="00727D33">
        <w:rPr>
          <w:rFonts w:ascii="Verdana" w:hAnsi="Verdana"/>
          <w:sz w:val="20"/>
          <w:szCs w:val="20"/>
        </w:rPr>
        <w:t xml:space="preserve">  </w:t>
      </w:r>
    </w:p>
    <w:p w:rsidR="00E92134" w:rsidRPr="001D1F3C" w:rsidRDefault="00C61D10"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Siendo que el caso “Fabio Gadea Mantilla respecto de Nicaragua”, nombre bajo el cual fue presentado por la Comisión Interamericana, ya se encontraba en conocimiento de la Corte,</w:t>
      </w:r>
      <w:r w:rsidR="00870B78" w:rsidRPr="00727D33">
        <w:rPr>
          <w:rFonts w:ascii="Verdana" w:hAnsi="Verdana"/>
          <w:sz w:val="20"/>
          <w:szCs w:val="20"/>
        </w:rPr>
        <w:t xml:space="preserve"> soy de la opinión que </w:t>
      </w:r>
      <w:r w:rsidRPr="00727D33">
        <w:rPr>
          <w:rFonts w:ascii="Verdana" w:hAnsi="Verdana"/>
          <w:sz w:val="20"/>
          <w:szCs w:val="20"/>
        </w:rPr>
        <w:t>el Tribunal</w:t>
      </w:r>
      <w:r w:rsidR="00870B78" w:rsidRPr="00727D33">
        <w:rPr>
          <w:rFonts w:ascii="Verdana" w:hAnsi="Verdana"/>
          <w:sz w:val="20"/>
          <w:szCs w:val="20"/>
        </w:rPr>
        <w:t xml:space="preserve"> estaba en la obligación de </w:t>
      </w:r>
      <w:r w:rsidRPr="00727D33">
        <w:rPr>
          <w:rFonts w:ascii="Verdana" w:hAnsi="Verdana"/>
          <w:sz w:val="20"/>
          <w:szCs w:val="20"/>
        </w:rPr>
        <w:t xml:space="preserve">incluir en su argumentación un análisis </w:t>
      </w:r>
      <w:r w:rsidR="00870B78" w:rsidRPr="00727D33">
        <w:rPr>
          <w:rFonts w:ascii="Verdana" w:hAnsi="Verdana"/>
          <w:sz w:val="20"/>
          <w:szCs w:val="20"/>
        </w:rPr>
        <w:t xml:space="preserve">meticuloso y suficiente que esclarezca </w:t>
      </w:r>
      <w:r w:rsidRPr="00727D33">
        <w:rPr>
          <w:rFonts w:ascii="Verdana" w:hAnsi="Verdana"/>
          <w:sz w:val="20"/>
          <w:szCs w:val="20"/>
        </w:rPr>
        <w:t>sobre los límites genéricos a la función consultiva de la Corte a la luz del objeto de la controversia</w:t>
      </w:r>
      <w:r w:rsidR="00E92134" w:rsidRPr="00727D33">
        <w:rPr>
          <w:rFonts w:ascii="Verdana" w:hAnsi="Verdana"/>
          <w:sz w:val="20"/>
          <w:szCs w:val="20"/>
        </w:rPr>
        <w:t xml:space="preserve"> del mencionado caso, para así poder determinar de manera objetiva</w:t>
      </w:r>
      <w:r w:rsidR="00EF476A" w:rsidRPr="00727D33">
        <w:rPr>
          <w:rFonts w:ascii="Verdana" w:hAnsi="Verdana"/>
          <w:sz w:val="20"/>
          <w:szCs w:val="20"/>
        </w:rPr>
        <w:t>,</w:t>
      </w:r>
      <w:r w:rsidR="00E92134" w:rsidRPr="00727D33">
        <w:rPr>
          <w:rFonts w:ascii="Verdana" w:hAnsi="Verdana"/>
          <w:sz w:val="20"/>
          <w:szCs w:val="20"/>
        </w:rPr>
        <w:t xml:space="preserve"> certera </w:t>
      </w:r>
      <w:r w:rsidR="00EF476A" w:rsidRPr="00727D33">
        <w:rPr>
          <w:rFonts w:ascii="Verdana" w:hAnsi="Verdana"/>
          <w:sz w:val="20"/>
          <w:szCs w:val="20"/>
        </w:rPr>
        <w:t xml:space="preserve">y clara, </w:t>
      </w:r>
      <w:r w:rsidR="00E92134" w:rsidRPr="00727D33">
        <w:rPr>
          <w:rFonts w:ascii="Verdana" w:hAnsi="Verdana"/>
          <w:sz w:val="20"/>
          <w:szCs w:val="20"/>
        </w:rPr>
        <w:t>si emitir una resolución de Opinión Consultiva sobre el tema que nos ocupa</w:t>
      </w:r>
      <w:r w:rsidR="00EF476A" w:rsidRPr="00727D33">
        <w:rPr>
          <w:rFonts w:ascii="Verdana" w:hAnsi="Verdana"/>
          <w:sz w:val="20"/>
          <w:szCs w:val="20"/>
        </w:rPr>
        <w:t>,</w:t>
      </w:r>
      <w:r w:rsidR="00E92134" w:rsidRPr="00727D33">
        <w:rPr>
          <w:rFonts w:ascii="Verdana" w:hAnsi="Verdana"/>
          <w:sz w:val="20"/>
          <w:szCs w:val="20"/>
        </w:rPr>
        <w:t xml:space="preserve"> </w:t>
      </w:r>
      <w:r w:rsidR="00DB4F06" w:rsidRPr="00727D33">
        <w:rPr>
          <w:rFonts w:ascii="Verdana" w:hAnsi="Verdana"/>
          <w:sz w:val="20"/>
          <w:szCs w:val="20"/>
        </w:rPr>
        <w:t xml:space="preserve">incurre o no en una o más de las limitaciones genéricas de las que la Corte ya ha definido sus contenidos, y, particularmente, habría sido de interés para el esclarecimiento y consolidación de la competencia y facultad de la Corte, que se manifieste si la admisión y </w:t>
      </w:r>
      <w:r w:rsidR="00E4458D" w:rsidRPr="00727D33">
        <w:rPr>
          <w:rFonts w:ascii="Verdana" w:hAnsi="Verdana"/>
          <w:sz w:val="20"/>
          <w:szCs w:val="20"/>
        </w:rPr>
        <w:t>eventual decisión</w:t>
      </w:r>
      <w:r w:rsidR="00DB4F06" w:rsidRPr="00727D33">
        <w:rPr>
          <w:rFonts w:ascii="Verdana" w:hAnsi="Verdana"/>
          <w:sz w:val="20"/>
          <w:szCs w:val="20"/>
        </w:rPr>
        <w:t xml:space="preserve">, </w:t>
      </w:r>
      <w:r w:rsidR="00E92134" w:rsidRPr="00727D33">
        <w:rPr>
          <w:rFonts w:ascii="Verdana" w:hAnsi="Verdana"/>
          <w:sz w:val="20"/>
          <w:szCs w:val="20"/>
        </w:rPr>
        <w:t>representaría o no un pr</w:t>
      </w:r>
      <w:r w:rsidR="00C86DFE" w:rsidRPr="00727D33">
        <w:rPr>
          <w:rFonts w:ascii="Verdana" w:hAnsi="Verdana"/>
          <w:sz w:val="20"/>
          <w:szCs w:val="20"/>
        </w:rPr>
        <w:t xml:space="preserve">ematuro pronunciamiento sobre un expediente </w:t>
      </w:r>
      <w:r w:rsidR="00CC188D" w:rsidRPr="00727D33">
        <w:rPr>
          <w:rFonts w:ascii="Verdana" w:hAnsi="Verdana"/>
          <w:sz w:val="20"/>
          <w:szCs w:val="20"/>
        </w:rPr>
        <w:t xml:space="preserve">que, a todas luces, estaba ya </w:t>
      </w:r>
      <w:r w:rsidR="00E92134" w:rsidRPr="00727D33">
        <w:rPr>
          <w:rFonts w:ascii="Verdana" w:hAnsi="Verdana"/>
          <w:sz w:val="20"/>
          <w:szCs w:val="20"/>
        </w:rPr>
        <w:t xml:space="preserve">sometido a la Corte </w:t>
      </w:r>
      <w:r w:rsidR="00CC188D" w:rsidRPr="00727D33">
        <w:rPr>
          <w:rFonts w:ascii="Verdana" w:hAnsi="Verdana"/>
          <w:sz w:val="20"/>
          <w:szCs w:val="20"/>
        </w:rPr>
        <w:t xml:space="preserve">como </w:t>
      </w:r>
      <w:r w:rsidR="00E92134" w:rsidRPr="00727D33">
        <w:rPr>
          <w:rFonts w:ascii="Verdana" w:hAnsi="Verdana"/>
          <w:sz w:val="20"/>
          <w:szCs w:val="20"/>
        </w:rPr>
        <w:t xml:space="preserve">un caso contencioso. </w:t>
      </w:r>
    </w:p>
    <w:p w:rsidR="00E92134" w:rsidRPr="001D1F3C" w:rsidRDefault="00E92134" w:rsidP="00F245B0">
      <w:pPr>
        <w:pStyle w:val="Prrafodelista"/>
        <w:numPr>
          <w:ilvl w:val="0"/>
          <w:numId w:val="6"/>
        </w:numPr>
        <w:spacing w:before="240" w:after="240"/>
        <w:ind w:left="1134" w:hanging="567"/>
        <w:contextualSpacing w:val="0"/>
        <w:jc w:val="both"/>
        <w:rPr>
          <w:rFonts w:ascii="Verdana" w:hAnsi="Verdana"/>
          <w:b/>
          <w:sz w:val="20"/>
          <w:szCs w:val="20"/>
        </w:rPr>
      </w:pPr>
      <w:r w:rsidRPr="00727D33">
        <w:rPr>
          <w:rFonts w:ascii="Verdana" w:hAnsi="Verdana"/>
          <w:b/>
          <w:sz w:val="20"/>
          <w:szCs w:val="20"/>
        </w:rPr>
        <w:lastRenderedPageBreak/>
        <w:t>La competencia sobre los instrumentos regionales involucrados</w:t>
      </w:r>
    </w:p>
    <w:p w:rsidR="00B93027" w:rsidRPr="001D1F3C" w:rsidRDefault="00EF476A"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Est</w:t>
      </w:r>
      <w:r w:rsidR="00F34C53">
        <w:rPr>
          <w:rFonts w:ascii="Verdana" w:hAnsi="Verdana"/>
          <w:sz w:val="20"/>
          <w:szCs w:val="20"/>
        </w:rPr>
        <w:t>á</w:t>
      </w:r>
      <w:r w:rsidRPr="00727D33">
        <w:rPr>
          <w:rFonts w:ascii="Verdana" w:hAnsi="Verdana"/>
          <w:sz w:val="20"/>
          <w:szCs w:val="20"/>
        </w:rPr>
        <w:t xml:space="preserve"> fuera de discusión en el foro jurídico interamericano la</w:t>
      </w:r>
      <w:r w:rsidR="00E92134" w:rsidRPr="00727D33">
        <w:rPr>
          <w:rFonts w:ascii="Verdana" w:hAnsi="Verdana"/>
          <w:sz w:val="20"/>
          <w:szCs w:val="20"/>
        </w:rPr>
        <w:t xml:space="preserve"> facultad que tiene la Corte para interpretar cualquier n</w:t>
      </w:r>
      <w:r w:rsidR="005227C4" w:rsidRPr="00727D33">
        <w:rPr>
          <w:rFonts w:ascii="Verdana" w:hAnsi="Verdana"/>
          <w:sz w:val="20"/>
          <w:szCs w:val="20"/>
        </w:rPr>
        <w:t>orma de la Convención Americana. T</w:t>
      </w:r>
      <w:r w:rsidR="00E92134" w:rsidRPr="00727D33">
        <w:rPr>
          <w:rFonts w:ascii="Verdana" w:hAnsi="Verdana"/>
          <w:sz w:val="20"/>
          <w:szCs w:val="20"/>
        </w:rPr>
        <w:t xml:space="preserve">ampoco pretendo controvertir la competencia que tiene el Tribunal para interpretar la Declaración Americana y para ejercer su competencia consultiva respecto de la Carta de la OEA. Sin embargo, </w:t>
      </w:r>
      <w:r w:rsidR="00A00DB5" w:rsidRPr="00727D33">
        <w:rPr>
          <w:rFonts w:ascii="Verdana" w:hAnsi="Verdana"/>
          <w:sz w:val="20"/>
          <w:szCs w:val="20"/>
        </w:rPr>
        <w:t xml:space="preserve">llama mi atención el protagonismo que </w:t>
      </w:r>
      <w:r w:rsidR="005227C4" w:rsidRPr="00727D33">
        <w:rPr>
          <w:rFonts w:ascii="Verdana" w:hAnsi="Verdana"/>
          <w:sz w:val="20"/>
          <w:szCs w:val="20"/>
        </w:rPr>
        <w:t>se pretende otorgar a l</w:t>
      </w:r>
      <w:r w:rsidR="00A00DB5" w:rsidRPr="00727D33">
        <w:rPr>
          <w:rFonts w:ascii="Verdana" w:hAnsi="Verdana"/>
          <w:sz w:val="20"/>
          <w:szCs w:val="20"/>
        </w:rPr>
        <w:t>a Carta Democráti</w:t>
      </w:r>
      <w:r w:rsidR="00F34C53">
        <w:rPr>
          <w:rFonts w:ascii="Verdana" w:hAnsi="Verdana"/>
          <w:sz w:val="20"/>
          <w:szCs w:val="20"/>
        </w:rPr>
        <w:t>ca dentro de la r</w:t>
      </w:r>
      <w:r w:rsidR="00A00DB5" w:rsidRPr="00727D33">
        <w:rPr>
          <w:rFonts w:ascii="Verdana" w:hAnsi="Verdana"/>
          <w:sz w:val="20"/>
          <w:szCs w:val="20"/>
        </w:rPr>
        <w:t>esolución que da origen a este voto, y las consideraciones a las que llega la Corte con respecto a dicho in</w:t>
      </w:r>
      <w:r w:rsidR="00802237" w:rsidRPr="00727D33">
        <w:rPr>
          <w:rFonts w:ascii="Verdana" w:hAnsi="Verdana"/>
          <w:sz w:val="20"/>
          <w:szCs w:val="20"/>
        </w:rPr>
        <w:t xml:space="preserve">strumento, así como </w:t>
      </w:r>
      <w:r w:rsidR="00A00DB5" w:rsidRPr="00727D33">
        <w:rPr>
          <w:rFonts w:ascii="Verdana" w:hAnsi="Verdana"/>
          <w:sz w:val="20"/>
          <w:szCs w:val="20"/>
        </w:rPr>
        <w:t xml:space="preserve">la interpretación que realiza. </w:t>
      </w:r>
    </w:p>
    <w:p w:rsidR="00B93027" w:rsidRPr="001D1F3C" w:rsidRDefault="00A00DB5"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Si bien la resoluci</w:t>
      </w:r>
      <w:r w:rsidR="00EF476A" w:rsidRPr="00727D33">
        <w:rPr>
          <w:rFonts w:ascii="Verdana" w:hAnsi="Verdana"/>
          <w:sz w:val="20"/>
          <w:szCs w:val="20"/>
        </w:rPr>
        <w:t>ón establece</w:t>
      </w:r>
      <w:r w:rsidRPr="00727D33">
        <w:rPr>
          <w:rFonts w:ascii="Verdana" w:hAnsi="Verdana"/>
          <w:sz w:val="20"/>
          <w:szCs w:val="20"/>
        </w:rPr>
        <w:t xml:space="preserve"> que la Corte ha determinado anteriormente que la </w:t>
      </w:r>
      <w:r w:rsidR="00802237" w:rsidRPr="00727D33">
        <w:rPr>
          <w:rFonts w:ascii="Verdana" w:hAnsi="Verdana"/>
          <w:sz w:val="20"/>
          <w:szCs w:val="20"/>
        </w:rPr>
        <w:t>Carta D</w:t>
      </w:r>
      <w:r w:rsidRPr="00727D33">
        <w:rPr>
          <w:rFonts w:ascii="Verdana" w:hAnsi="Verdana"/>
          <w:sz w:val="20"/>
          <w:szCs w:val="20"/>
        </w:rPr>
        <w:t xml:space="preserve">emocrática constituye un texto interpretativo de la Carta de la OEA </w:t>
      </w:r>
      <w:r w:rsidR="00802237" w:rsidRPr="00727D33">
        <w:rPr>
          <w:rFonts w:ascii="Verdana" w:hAnsi="Verdana"/>
          <w:sz w:val="20"/>
          <w:szCs w:val="20"/>
        </w:rPr>
        <w:t xml:space="preserve">y </w:t>
      </w:r>
      <w:r w:rsidRPr="00727D33">
        <w:rPr>
          <w:rFonts w:ascii="Verdana" w:hAnsi="Verdana"/>
          <w:sz w:val="20"/>
          <w:szCs w:val="20"/>
        </w:rPr>
        <w:t xml:space="preserve">de la Convención Americana, razón por la cual recurrirá a sus disposiciones para abordar las preguntas planteadas por Colombia, </w:t>
      </w:r>
      <w:r w:rsidR="00EF476A" w:rsidRPr="00727D33">
        <w:rPr>
          <w:rFonts w:ascii="Verdana" w:hAnsi="Verdana"/>
          <w:sz w:val="20"/>
          <w:szCs w:val="20"/>
        </w:rPr>
        <w:t xml:space="preserve">es mi opinión que </w:t>
      </w:r>
      <w:r w:rsidRPr="00727D33">
        <w:rPr>
          <w:rFonts w:ascii="Verdana" w:hAnsi="Verdana"/>
          <w:sz w:val="20"/>
          <w:szCs w:val="20"/>
        </w:rPr>
        <w:t>excede el Tribunal su propia consideración, y competencia, al interpretar directamente las dispos</w:t>
      </w:r>
      <w:r w:rsidR="00C77977" w:rsidRPr="00727D33">
        <w:rPr>
          <w:rFonts w:ascii="Verdana" w:hAnsi="Verdana"/>
          <w:sz w:val="20"/>
          <w:szCs w:val="20"/>
        </w:rPr>
        <w:t>iciones de la Carta Democrática.</w:t>
      </w:r>
      <w:r w:rsidRPr="00727D33">
        <w:rPr>
          <w:rFonts w:ascii="Verdana" w:hAnsi="Verdana"/>
          <w:sz w:val="20"/>
          <w:szCs w:val="20"/>
        </w:rPr>
        <w:t xml:space="preserve"> </w:t>
      </w:r>
    </w:p>
    <w:p w:rsidR="00B93027" w:rsidRPr="001D1F3C" w:rsidRDefault="00A00DB5"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 xml:space="preserve">Desde su primera Opinión Consultiva, la Corte ha reconocido que la amplitud de la función consultiva de la Corte no puede confundirse con la ausencia de límites a la misma en lo que se refiere a las materias que pueden </w:t>
      </w:r>
      <w:r w:rsidR="00802237" w:rsidRPr="00727D33">
        <w:rPr>
          <w:rFonts w:ascii="Verdana" w:hAnsi="Verdana"/>
          <w:sz w:val="20"/>
          <w:szCs w:val="20"/>
        </w:rPr>
        <w:t xml:space="preserve">ser </w:t>
      </w:r>
      <w:r w:rsidRPr="00727D33">
        <w:rPr>
          <w:rFonts w:ascii="Verdana" w:hAnsi="Verdana"/>
          <w:sz w:val="20"/>
          <w:szCs w:val="20"/>
        </w:rPr>
        <w:t xml:space="preserve">objeto de consultas </w:t>
      </w:r>
      <w:r w:rsidR="0062384E" w:rsidRPr="00727D33">
        <w:rPr>
          <w:rFonts w:ascii="Verdana" w:hAnsi="Verdana"/>
          <w:sz w:val="20"/>
          <w:szCs w:val="20"/>
        </w:rPr>
        <w:t>y de los tratados que pueden ser interpretados</w:t>
      </w:r>
      <w:r w:rsidR="0062384E" w:rsidRPr="00727D33">
        <w:rPr>
          <w:rStyle w:val="Refdenotaalpie"/>
          <w:rFonts w:ascii="Verdana" w:hAnsi="Verdana"/>
          <w:sz w:val="20"/>
          <w:szCs w:val="20"/>
        </w:rPr>
        <w:footnoteReference w:id="7"/>
      </w:r>
      <w:r w:rsidR="0062384E" w:rsidRPr="00727D33">
        <w:rPr>
          <w:rFonts w:ascii="Verdana" w:hAnsi="Verdana"/>
          <w:sz w:val="20"/>
          <w:szCs w:val="20"/>
        </w:rPr>
        <w:t xml:space="preserve">. </w:t>
      </w:r>
      <w:r w:rsidR="00C77977" w:rsidRPr="00727D33">
        <w:rPr>
          <w:rFonts w:ascii="Verdana" w:hAnsi="Verdana"/>
          <w:sz w:val="20"/>
          <w:szCs w:val="20"/>
        </w:rPr>
        <w:t xml:space="preserve">Además, incluso partiendo de una interpretación literal del artículo 64 de la Convención, no sería posible la interpretación de la Carta Democrática por parte de la Corte toda vez que su competencia se limita a la Convención y a “otros tratados concernientes a la protección de los derechos humanos”, por lo que interpretar dentro de la función consultiva dicho instrumento supondría elevarlo a un rango de </w:t>
      </w:r>
      <w:r w:rsidR="00E92BE1" w:rsidRPr="00727D33">
        <w:rPr>
          <w:rFonts w:ascii="Verdana" w:hAnsi="Verdana"/>
          <w:sz w:val="20"/>
          <w:szCs w:val="20"/>
        </w:rPr>
        <w:t>“tratado” de</w:t>
      </w:r>
      <w:r w:rsidR="00C77977" w:rsidRPr="00727D33">
        <w:rPr>
          <w:rFonts w:ascii="Verdana" w:hAnsi="Verdana"/>
          <w:sz w:val="20"/>
          <w:szCs w:val="20"/>
        </w:rPr>
        <w:t xml:space="preserve"> derechos humanos, lo cual, debido a su </w:t>
      </w:r>
      <w:r w:rsidR="00802237" w:rsidRPr="00727D33">
        <w:rPr>
          <w:rFonts w:ascii="Verdana" w:hAnsi="Verdana"/>
          <w:sz w:val="20"/>
          <w:szCs w:val="20"/>
        </w:rPr>
        <w:t>naturaleza</w:t>
      </w:r>
      <w:r w:rsidR="00C77977" w:rsidRPr="00727D33">
        <w:rPr>
          <w:rFonts w:ascii="Verdana" w:hAnsi="Verdana"/>
          <w:sz w:val="20"/>
          <w:szCs w:val="20"/>
        </w:rPr>
        <w:t xml:space="preserve"> y ob</w:t>
      </w:r>
      <w:r w:rsidR="00EF476A" w:rsidRPr="00727D33">
        <w:rPr>
          <w:rFonts w:ascii="Verdana" w:hAnsi="Verdana"/>
          <w:sz w:val="20"/>
          <w:szCs w:val="20"/>
        </w:rPr>
        <w:t>jeto, resulta inadecuado</w:t>
      </w:r>
      <w:r w:rsidR="00E92BE1" w:rsidRPr="00727D33">
        <w:rPr>
          <w:rFonts w:ascii="Verdana" w:hAnsi="Verdana"/>
          <w:sz w:val="20"/>
          <w:szCs w:val="20"/>
        </w:rPr>
        <w:t xml:space="preserve"> e inexacto ya que se le otorgaría un estatus jurídico no contemplado en el propio texto de la Carta.</w:t>
      </w:r>
      <w:r w:rsidR="00C77977" w:rsidRPr="00727D33">
        <w:rPr>
          <w:rFonts w:ascii="Verdana" w:hAnsi="Verdana"/>
          <w:sz w:val="20"/>
          <w:szCs w:val="20"/>
        </w:rPr>
        <w:t xml:space="preserve"> </w:t>
      </w:r>
    </w:p>
    <w:p w:rsidR="00B93027" w:rsidRPr="001D1F3C" w:rsidRDefault="00C77977"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L</w:t>
      </w:r>
      <w:r w:rsidR="00B93027" w:rsidRPr="00727D33">
        <w:rPr>
          <w:rFonts w:ascii="Verdana" w:hAnsi="Verdana"/>
          <w:sz w:val="20"/>
          <w:szCs w:val="20"/>
        </w:rPr>
        <w:t xml:space="preserve">a Carta Democrática se creó y constituye como un documento de derecho internacional público dirigido a promover el desarrollo democrático de los Estados de la </w:t>
      </w:r>
      <w:r w:rsidR="00F34C53">
        <w:rPr>
          <w:rFonts w:ascii="Verdana" w:hAnsi="Verdana"/>
          <w:sz w:val="20"/>
          <w:szCs w:val="20"/>
        </w:rPr>
        <w:t>r</w:t>
      </w:r>
      <w:r w:rsidR="00B93027" w:rsidRPr="00727D33">
        <w:rPr>
          <w:rFonts w:ascii="Verdana" w:hAnsi="Verdana"/>
          <w:sz w:val="20"/>
          <w:szCs w:val="20"/>
        </w:rPr>
        <w:t>egión. Los sujetos involucrados en sus disposiciones son estrictamente Estados y Organizaciones Internacional</w:t>
      </w:r>
      <w:r w:rsidR="00802237" w:rsidRPr="00727D33">
        <w:rPr>
          <w:rFonts w:ascii="Verdana" w:hAnsi="Verdana"/>
          <w:sz w:val="20"/>
          <w:szCs w:val="20"/>
        </w:rPr>
        <w:t>es</w:t>
      </w:r>
      <w:r w:rsidR="00B93027" w:rsidRPr="00727D33">
        <w:rPr>
          <w:rFonts w:ascii="Verdana" w:hAnsi="Verdana"/>
          <w:sz w:val="20"/>
          <w:szCs w:val="20"/>
        </w:rPr>
        <w:t>,</w:t>
      </w:r>
      <w:r w:rsidR="00E92BE1" w:rsidRPr="00727D33">
        <w:rPr>
          <w:rFonts w:ascii="Verdana" w:hAnsi="Verdana"/>
          <w:sz w:val="20"/>
          <w:szCs w:val="20"/>
        </w:rPr>
        <w:t xml:space="preserve"> siendo </w:t>
      </w:r>
      <w:r w:rsidR="00B93027" w:rsidRPr="00727D33">
        <w:rPr>
          <w:rFonts w:ascii="Verdana" w:hAnsi="Verdana"/>
          <w:sz w:val="20"/>
          <w:szCs w:val="20"/>
        </w:rPr>
        <w:t>reconocido como uno de los instrumento</w:t>
      </w:r>
      <w:r w:rsidR="00E92BE1" w:rsidRPr="00727D33">
        <w:rPr>
          <w:rFonts w:ascii="Verdana" w:hAnsi="Verdana"/>
          <w:sz w:val="20"/>
          <w:szCs w:val="20"/>
        </w:rPr>
        <w:t xml:space="preserve">s interamericanos </w:t>
      </w:r>
      <w:r w:rsidR="00B93027" w:rsidRPr="00727D33">
        <w:rPr>
          <w:rFonts w:ascii="Verdana" w:hAnsi="Verdana"/>
          <w:sz w:val="20"/>
          <w:szCs w:val="20"/>
        </w:rPr>
        <w:t>promulgado para la “promoción y fortalecimiento de los principios, prácticas y Cultura democráticas entre los Estados de las Américas”</w:t>
      </w:r>
      <w:r w:rsidR="00B93027" w:rsidRPr="00727D33">
        <w:rPr>
          <w:rStyle w:val="Refdenotaalpie"/>
          <w:rFonts w:ascii="Verdana" w:hAnsi="Verdana"/>
          <w:sz w:val="20"/>
          <w:szCs w:val="20"/>
        </w:rPr>
        <w:footnoteReference w:id="8"/>
      </w:r>
      <w:r w:rsidR="00B93027" w:rsidRPr="00727D33">
        <w:rPr>
          <w:rFonts w:ascii="Verdana" w:hAnsi="Verdana"/>
          <w:sz w:val="20"/>
          <w:szCs w:val="20"/>
        </w:rPr>
        <w:t>. De forma</w:t>
      </w:r>
      <w:r w:rsidR="00E92BE1" w:rsidRPr="00727D33">
        <w:rPr>
          <w:rFonts w:ascii="Verdana" w:hAnsi="Verdana"/>
          <w:sz w:val="20"/>
          <w:szCs w:val="20"/>
        </w:rPr>
        <w:t xml:space="preserve"> tal </w:t>
      </w:r>
      <w:r w:rsidR="00B93027" w:rsidRPr="00727D33">
        <w:rPr>
          <w:rFonts w:ascii="Verdana" w:hAnsi="Verdana"/>
          <w:sz w:val="20"/>
          <w:szCs w:val="20"/>
        </w:rPr>
        <w:t xml:space="preserve"> que al ser un instrumento de aplicación</w:t>
      </w:r>
      <w:r w:rsidR="00802237" w:rsidRPr="00727D33">
        <w:rPr>
          <w:rFonts w:ascii="Verdana" w:hAnsi="Verdana"/>
          <w:sz w:val="20"/>
          <w:szCs w:val="20"/>
        </w:rPr>
        <w:t xml:space="preserve"> </w:t>
      </w:r>
      <w:r w:rsidR="00B93027" w:rsidRPr="00727D33">
        <w:rPr>
          <w:rFonts w:ascii="Verdana" w:hAnsi="Verdana"/>
          <w:sz w:val="20"/>
          <w:szCs w:val="20"/>
        </w:rPr>
        <w:t xml:space="preserve">“entre los </w:t>
      </w:r>
      <w:r w:rsidR="00E92BE1" w:rsidRPr="00727D33">
        <w:rPr>
          <w:rFonts w:ascii="Verdana" w:hAnsi="Verdana"/>
          <w:sz w:val="20"/>
          <w:szCs w:val="20"/>
        </w:rPr>
        <w:t xml:space="preserve">Estados de las Américas”, implicaría una grave distorsión interpretativa el tratar de equipararlo o asignarle </w:t>
      </w:r>
      <w:r w:rsidR="00B93027" w:rsidRPr="00727D33">
        <w:rPr>
          <w:rFonts w:ascii="Verdana" w:hAnsi="Verdana"/>
          <w:sz w:val="20"/>
          <w:szCs w:val="20"/>
        </w:rPr>
        <w:t xml:space="preserve">un rango </w:t>
      </w:r>
      <w:r w:rsidR="00E92BE1" w:rsidRPr="00727D33">
        <w:rPr>
          <w:rFonts w:ascii="Verdana" w:hAnsi="Verdana"/>
          <w:sz w:val="20"/>
          <w:szCs w:val="20"/>
        </w:rPr>
        <w:t xml:space="preserve">o categoría </w:t>
      </w:r>
      <w:r w:rsidR="00B93027" w:rsidRPr="00727D33">
        <w:rPr>
          <w:rFonts w:ascii="Verdana" w:hAnsi="Verdana"/>
          <w:sz w:val="20"/>
          <w:szCs w:val="20"/>
        </w:rPr>
        <w:t xml:space="preserve">de instrumento </w:t>
      </w:r>
      <w:r w:rsidR="00E92BE1" w:rsidRPr="00727D33">
        <w:rPr>
          <w:rFonts w:ascii="Verdana" w:hAnsi="Verdana"/>
          <w:sz w:val="20"/>
          <w:szCs w:val="20"/>
        </w:rPr>
        <w:t xml:space="preserve">internacional </w:t>
      </w:r>
      <w:r w:rsidR="00B93027" w:rsidRPr="00727D33">
        <w:rPr>
          <w:rFonts w:ascii="Verdana" w:hAnsi="Verdana"/>
          <w:sz w:val="20"/>
          <w:szCs w:val="20"/>
        </w:rPr>
        <w:t>de derechos humanos, los cuales, por su naturaleza</w:t>
      </w:r>
      <w:r w:rsidR="00E92BE1" w:rsidRPr="00727D33">
        <w:rPr>
          <w:rFonts w:ascii="Verdana" w:hAnsi="Verdana"/>
          <w:sz w:val="20"/>
          <w:szCs w:val="20"/>
        </w:rPr>
        <w:t xml:space="preserve"> </w:t>
      </w:r>
      <w:r w:rsidR="00896F53" w:rsidRPr="00727D33">
        <w:rPr>
          <w:rFonts w:ascii="Verdana" w:hAnsi="Verdana"/>
          <w:sz w:val="20"/>
          <w:szCs w:val="20"/>
        </w:rPr>
        <w:t>intrínseca</w:t>
      </w:r>
      <w:r w:rsidR="00B93027" w:rsidRPr="00727D33">
        <w:rPr>
          <w:rFonts w:ascii="Verdana" w:hAnsi="Verdana"/>
          <w:sz w:val="20"/>
          <w:szCs w:val="20"/>
        </w:rPr>
        <w:t>,</w:t>
      </w:r>
      <w:r w:rsidR="00896F53" w:rsidRPr="00727D33">
        <w:rPr>
          <w:rFonts w:ascii="Verdana" w:hAnsi="Verdana"/>
          <w:sz w:val="20"/>
          <w:szCs w:val="20"/>
        </w:rPr>
        <w:t xml:space="preserve"> reconocida</w:t>
      </w:r>
      <w:r w:rsidR="00E92BE1" w:rsidRPr="00727D33">
        <w:rPr>
          <w:rFonts w:ascii="Verdana" w:hAnsi="Verdana"/>
          <w:sz w:val="20"/>
          <w:szCs w:val="20"/>
        </w:rPr>
        <w:t xml:space="preserve"> por la Carta Internacional de los derechos humanos,</w:t>
      </w:r>
      <w:r w:rsidR="00B93027" w:rsidRPr="00727D33">
        <w:rPr>
          <w:rFonts w:ascii="Verdana" w:hAnsi="Verdana"/>
          <w:sz w:val="20"/>
          <w:szCs w:val="20"/>
        </w:rPr>
        <w:t xml:space="preserve"> son </w:t>
      </w:r>
      <w:r w:rsidR="00896F53" w:rsidRPr="00727D33">
        <w:rPr>
          <w:rFonts w:ascii="Verdana" w:hAnsi="Verdana"/>
          <w:sz w:val="20"/>
          <w:szCs w:val="20"/>
        </w:rPr>
        <w:t xml:space="preserve">instrumentos internacionales </w:t>
      </w:r>
      <w:r w:rsidR="00B93027" w:rsidRPr="00727D33">
        <w:rPr>
          <w:rFonts w:ascii="Verdana" w:hAnsi="Verdana"/>
          <w:sz w:val="20"/>
          <w:szCs w:val="20"/>
        </w:rPr>
        <w:t>creados</w:t>
      </w:r>
      <w:r w:rsidR="00896F53" w:rsidRPr="00727D33">
        <w:rPr>
          <w:rFonts w:ascii="Verdana" w:hAnsi="Verdana"/>
          <w:sz w:val="20"/>
          <w:szCs w:val="20"/>
        </w:rPr>
        <w:t xml:space="preserve"> y aprobados como</w:t>
      </w:r>
      <w:r w:rsidR="00B93027" w:rsidRPr="00727D33">
        <w:rPr>
          <w:rFonts w:ascii="Verdana" w:hAnsi="Verdana"/>
          <w:sz w:val="20"/>
          <w:szCs w:val="20"/>
        </w:rPr>
        <w:t xml:space="preserve"> disposiciones</w:t>
      </w:r>
      <w:r w:rsidR="00802237" w:rsidRPr="00727D33">
        <w:rPr>
          <w:rFonts w:ascii="Verdana" w:hAnsi="Verdana"/>
          <w:sz w:val="20"/>
          <w:szCs w:val="20"/>
        </w:rPr>
        <w:t xml:space="preserve"> dirigidas específicamente</w:t>
      </w:r>
      <w:r w:rsidR="00B93027" w:rsidRPr="00727D33">
        <w:rPr>
          <w:rFonts w:ascii="Verdana" w:hAnsi="Verdana"/>
          <w:sz w:val="20"/>
          <w:szCs w:val="20"/>
        </w:rPr>
        <w:t xml:space="preserve"> </w:t>
      </w:r>
      <w:r w:rsidR="00802237" w:rsidRPr="00727D33">
        <w:rPr>
          <w:rFonts w:ascii="Verdana" w:hAnsi="Verdana"/>
          <w:sz w:val="20"/>
          <w:szCs w:val="20"/>
        </w:rPr>
        <w:t>a la protecci</w:t>
      </w:r>
      <w:r w:rsidR="00896F53" w:rsidRPr="00727D33">
        <w:rPr>
          <w:rFonts w:ascii="Verdana" w:hAnsi="Verdana"/>
          <w:sz w:val="20"/>
          <w:szCs w:val="20"/>
        </w:rPr>
        <w:t>ón de los derechos humanos</w:t>
      </w:r>
      <w:r w:rsidR="00802237" w:rsidRPr="00727D33">
        <w:rPr>
          <w:rFonts w:ascii="Verdana" w:hAnsi="Verdana"/>
          <w:sz w:val="20"/>
          <w:szCs w:val="20"/>
        </w:rPr>
        <w:t xml:space="preserve"> de las personas, donde los sujetos involucrados </w:t>
      </w:r>
      <w:r w:rsidR="00D64CF8" w:rsidRPr="00727D33">
        <w:rPr>
          <w:rFonts w:ascii="Verdana" w:hAnsi="Verdana"/>
          <w:sz w:val="20"/>
          <w:szCs w:val="20"/>
        </w:rPr>
        <w:t xml:space="preserve">y obligados </w:t>
      </w:r>
      <w:r w:rsidR="00802237" w:rsidRPr="00727D33">
        <w:rPr>
          <w:rFonts w:ascii="Verdana" w:hAnsi="Verdana"/>
          <w:sz w:val="20"/>
          <w:szCs w:val="20"/>
        </w:rPr>
        <w:t>en el cumplimiento del objeto de di</w:t>
      </w:r>
      <w:r w:rsidR="00896F53" w:rsidRPr="00727D33">
        <w:rPr>
          <w:rFonts w:ascii="Verdana" w:hAnsi="Verdana"/>
          <w:sz w:val="20"/>
          <w:szCs w:val="20"/>
        </w:rPr>
        <w:t>chos tratados en las dimensiones de garantía y protección son, justamente, los</w:t>
      </w:r>
      <w:r w:rsidR="00802237" w:rsidRPr="00727D33">
        <w:rPr>
          <w:rFonts w:ascii="Verdana" w:hAnsi="Verdana"/>
          <w:sz w:val="20"/>
          <w:szCs w:val="20"/>
        </w:rPr>
        <w:t xml:space="preserve"> Estado</w:t>
      </w:r>
      <w:r w:rsidR="00896F53" w:rsidRPr="00727D33">
        <w:rPr>
          <w:rFonts w:ascii="Verdana" w:hAnsi="Verdana"/>
          <w:sz w:val="20"/>
          <w:szCs w:val="20"/>
        </w:rPr>
        <w:t>s y sus agentes estatales.</w:t>
      </w:r>
      <w:r w:rsidR="00802237" w:rsidRPr="00727D33">
        <w:rPr>
          <w:rFonts w:ascii="Verdana" w:hAnsi="Verdana"/>
          <w:sz w:val="20"/>
          <w:szCs w:val="20"/>
        </w:rPr>
        <w:t xml:space="preserve"> </w:t>
      </w:r>
      <w:r w:rsidR="00B93027" w:rsidRPr="00727D33">
        <w:rPr>
          <w:rFonts w:ascii="Verdana" w:hAnsi="Verdana"/>
          <w:sz w:val="20"/>
          <w:szCs w:val="20"/>
        </w:rPr>
        <w:t xml:space="preserve"> </w:t>
      </w:r>
    </w:p>
    <w:p w:rsidR="00065B5D" w:rsidRPr="001D1F3C" w:rsidRDefault="00896F53"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En</w:t>
      </w:r>
      <w:r w:rsidR="00B93027" w:rsidRPr="00727D33">
        <w:rPr>
          <w:rFonts w:ascii="Verdana" w:hAnsi="Verdana"/>
          <w:sz w:val="20"/>
          <w:szCs w:val="20"/>
        </w:rPr>
        <w:t xml:space="preserve"> virtud de lo anterior, es mi opinión que el análisis realizado por la Corte a lo largo de </w:t>
      </w:r>
      <w:r w:rsidR="00065B5D" w:rsidRPr="00727D33">
        <w:rPr>
          <w:rFonts w:ascii="Verdana" w:hAnsi="Verdana"/>
          <w:sz w:val="20"/>
          <w:szCs w:val="20"/>
        </w:rPr>
        <w:t>la Resolución interpreta de manera expresa y directa disposiciones de la Ca</w:t>
      </w:r>
      <w:r w:rsidRPr="00727D33">
        <w:rPr>
          <w:rFonts w:ascii="Verdana" w:hAnsi="Verdana"/>
          <w:sz w:val="20"/>
          <w:szCs w:val="20"/>
        </w:rPr>
        <w:t xml:space="preserve">rta Democrática, excediendo </w:t>
      </w:r>
      <w:r w:rsidR="00D64CF8" w:rsidRPr="00727D33">
        <w:rPr>
          <w:rFonts w:ascii="Verdana" w:hAnsi="Verdana"/>
          <w:sz w:val="20"/>
          <w:szCs w:val="20"/>
        </w:rPr>
        <w:t xml:space="preserve">equívocamente </w:t>
      </w:r>
      <w:r w:rsidRPr="00727D33">
        <w:rPr>
          <w:rFonts w:ascii="Verdana" w:hAnsi="Verdana"/>
          <w:sz w:val="20"/>
          <w:szCs w:val="20"/>
        </w:rPr>
        <w:t xml:space="preserve">de esta manera </w:t>
      </w:r>
      <w:r w:rsidR="00065B5D" w:rsidRPr="00727D33">
        <w:rPr>
          <w:rFonts w:ascii="Verdana" w:hAnsi="Verdana"/>
          <w:sz w:val="20"/>
          <w:szCs w:val="20"/>
        </w:rPr>
        <w:t xml:space="preserve">su competencia consultiva. </w:t>
      </w:r>
    </w:p>
    <w:p w:rsidR="00065B5D" w:rsidRPr="001D1F3C" w:rsidRDefault="00065B5D" w:rsidP="00F245B0">
      <w:pPr>
        <w:pStyle w:val="Prrafodelista"/>
        <w:numPr>
          <w:ilvl w:val="0"/>
          <w:numId w:val="6"/>
        </w:numPr>
        <w:spacing w:before="240" w:after="240"/>
        <w:ind w:left="1134" w:hanging="567"/>
        <w:contextualSpacing w:val="0"/>
        <w:jc w:val="both"/>
        <w:rPr>
          <w:rFonts w:ascii="Verdana" w:hAnsi="Verdana"/>
          <w:b/>
          <w:sz w:val="20"/>
          <w:szCs w:val="20"/>
        </w:rPr>
      </w:pPr>
      <w:r w:rsidRPr="00727D33">
        <w:rPr>
          <w:rFonts w:ascii="Verdana" w:hAnsi="Verdana"/>
          <w:b/>
          <w:sz w:val="20"/>
          <w:szCs w:val="20"/>
        </w:rPr>
        <w:lastRenderedPageBreak/>
        <w:t xml:space="preserve">El requisito de formular preguntas </w:t>
      </w:r>
    </w:p>
    <w:p w:rsidR="00F17AD2" w:rsidRPr="001D1F3C" w:rsidRDefault="00065B5D" w:rsidP="001D1F3C">
      <w:pPr>
        <w:pStyle w:val="Prrafodelista"/>
        <w:numPr>
          <w:ilvl w:val="0"/>
          <w:numId w:val="12"/>
        </w:numPr>
        <w:tabs>
          <w:tab w:val="left" w:pos="567"/>
        </w:tabs>
        <w:spacing w:before="120" w:after="120"/>
        <w:ind w:left="0" w:hanging="11"/>
        <w:contextualSpacing w:val="0"/>
        <w:jc w:val="both"/>
        <w:rPr>
          <w:rFonts w:ascii="Verdana" w:hAnsi="Verdana"/>
          <w:b/>
          <w:sz w:val="20"/>
          <w:szCs w:val="20"/>
        </w:rPr>
      </w:pPr>
      <w:r w:rsidRPr="00727D33">
        <w:rPr>
          <w:rFonts w:ascii="Verdana" w:hAnsi="Verdana"/>
          <w:sz w:val="20"/>
          <w:szCs w:val="20"/>
        </w:rPr>
        <w:t>No es controvertida la facultad que tiene la Corte para precisar, esclarecer o reformular las preguntas que se plantean con el fin de determinar con claridad e</w:t>
      </w:r>
      <w:r w:rsidR="00D64CF8" w:rsidRPr="00727D33">
        <w:rPr>
          <w:rFonts w:ascii="Verdana" w:hAnsi="Verdana"/>
          <w:sz w:val="20"/>
          <w:szCs w:val="20"/>
        </w:rPr>
        <w:t>l objeto sustancial de su labor</w:t>
      </w:r>
      <w:r w:rsidRPr="00727D33">
        <w:rPr>
          <w:rFonts w:ascii="Verdana" w:hAnsi="Verdana"/>
          <w:sz w:val="20"/>
          <w:szCs w:val="20"/>
        </w:rPr>
        <w:t xml:space="preserve"> interpretativa. Al momento de realizar la solicitud de Opinión Consultiva, Colombia formuló dos preguntas, de las cuales una de ella fue considerada por la Corte como “fácticamente condicionada” razón por la cual fue reformulada. La pregunta sometida fue la siguiente: </w:t>
      </w:r>
    </w:p>
    <w:p w:rsidR="00065B5D" w:rsidRPr="001D1F3C" w:rsidRDefault="00065B5D" w:rsidP="001D1F3C">
      <w:pPr>
        <w:pStyle w:val="Textoindependiente"/>
        <w:numPr>
          <w:ilvl w:val="0"/>
          <w:numId w:val="8"/>
        </w:numPr>
        <w:tabs>
          <w:tab w:val="left" w:pos="1134"/>
        </w:tabs>
        <w:spacing w:before="120"/>
        <w:ind w:left="567" w:firstLine="0"/>
        <w:jc w:val="both"/>
        <w:rPr>
          <w:rFonts w:ascii="Verdana" w:eastAsia="Times New Roman" w:hAnsi="Verdana" w:cs="Verdana"/>
          <w:lang w:val="es-CR"/>
        </w:rPr>
      </w:pPr>
      <w:r w:rsidRPr="00727D33">
        <w:rPr>
          <w:rFonts w:ascii="Verdana" w:eastAsia="Times New Roman" w:hAnsi="Verdana" w:cs="Verdana"/>
          <w:lang w:val="es-CR"/>
        </w:rPr>
        <w:t>En el evento en que un Estado modifique o busque modificar su ordenamiento jurídico para asegurar, promover, propiciar o prolongar la permanencia de un gobernante en el poder mediante la reelección presidencial indefinida, ¿Cuáles son los efectos de dicha modificación sobre las obligaciones que ese Estado tiene en materia de respeto y garantía de los derechos humanos? ¿Resulta dicha modificación contraria a las obligaciones internacionales del Estado en materia de derechos humanos y, particularmente, a su obligación de garantizar el ejercicio efectivo de los derechos a a) participar en la dirección de los asuntos públicos, directamente o por medio de representantes libremente elegidos; b) votar y ser elegidos en elecciones periódicas auténticas, realizadas por sufragio universal e igual y por voto secreto que garantice la libre expresión de la voluntad de los electores, y c) tener acceso, en condiciones generales de igualdad, a las funciones públicas de su país?</w:t>
      </w:r>
    </w:p>
    <w:p w:rsidR="00895622" w:rsidRPr="00727D33" w:rsidRDefault="00065B5D" w:rsidP="001D1F3C">
      <w:pPr>
        <w:pStyle w:val="Prrafodelista"/>
        <w:numPr>
          <w:ilvl w:val="0"/>
          <w:numId w:val="12"/>
        </w:numPr>
        <w:tabs>
          <w:tab w:val="left" w:pos="567"/>
        </w:tabs>
        <w:spacing w:before="120" w:after="120"/>
        <w:ind w:left="0" w:firstLine="0"/>
        <w:contextualSpacing w:val="0"/>
        <w:jc w:val="both"/>
        <w:rPr>
          <w:rFonts w:ascii="Verdana" w:hAnsi="Verdana"/>
          <w:sz w:val="20"/>
          <w:szCs w:val="20"/>
        </w:rPr>
      </w:pPr>
      <w:r w:rsidRPr="00727D33">
        <w:rPr>
          <w:rFonts w:ascii="Verdana" w:hAnsi="Verdana"/>
          <w:sz w:val="20"/>
          <w:szCs w:val="20"/>
        </w:rPr>
        <w:t xml:space="preserve">La Corte, </w:t>
      </w:r>
      <w:r w:rsidR="00D64CF8" w:rsidRPr="00727D33">
        <w:rPr>
          <w:rFonts w:ascii="Verdana" w:hAnsi="Verdana"/>
          <w:sz w:val="20"/>
          <w:szCs w:val="20"/>
        </w:rPr>
        <w:t xml:space="preserve">justificando su accionar en </w:t>
      </w:r>
      <w:r w:rsidR="00695F04" w:rsidRPr="00727D33">
        <w:rPr>
          <w:rFonts w:ascii="Verdana" w:hAnsi="Verdana"/>
          <w:sz w:val="20"/>
          <w:szCs w:val="20"/>
        </w:rPr>
        <w:t>función de “</w:t>
      </w:r>
      <w:r w:rsidR="00695F04" w:rsidRPr="00727D33">
        <w:rPr>
          <w:rFonts w:ascii="Verdana" w:hAnsi="Verdana"/>
          <w:sz w:val="20"/>
          <w:szCs w:val="20"/>
          <w:lang w:val="es-CR"/>
        </w:rPr>
        <w:t>desentrañar el sentido, propósito y razón de las normas internacionales sobre derechos humanos</w:t>
      </w:r>
      <w:r w:rsidR="00695F04" w:rsidRPr="00727D33">
        <w:rPr>
          <w:rFonts w:ascii="Verdana" w:hAnsi="Verdana"/>
          <w:sz w:val="20"/>
          <w:szCs w:val="20"/>
        </w:rPr>
        <w:t xml:space="preserve">”, decide reconducir la pregunta a </w:t>
      </w:r>
      <w:r w:rsidR="00896F53" w:rsidRPr="00727D33">
        <w:rPr>
          <w:rFonts w:ascii="Verdana" w:hAnsi="Verdana"/>
          <w:sz w:val="20"/>
          <w:szCs w:val="20"/>
        </w:rPr>
        <w:t xml:space="preserve">la </w:t>
      </w:r>
      <w:r w:rsidR="00695F04" w:rsidRPr="00727D33">
        <w:rPr>
          <w:rFonts w:ascii="Verdana" w:hAnsi="Verdana"/>
          <w:sz w:val="20"/>
          <w:szCs w:val="20"/>
        </w:rPr>
        <w:t>“</w:t>
      </w:r>
      <w:r w:rsidR="00695F04" w:rsidRPr="00727D33">
        <w:rPr>
          <w:rFonts w:ascii="Verdana" w:hAnsi="Verdana"/>
          <w:sz w:val="20"/>
          <w:szCs w:val="20"/>
          <w:lang w:val="es-CR"/>
        </w:rPr>
        <w:t>compatibilidad de la reelección presidencial indefinida con la existencia de la democracia representativa en el sistema interamericano de protección de derechos humanos</w:t>
      </w:r>
      <w:r w:rsidR="00C42384" w:rsidRPr="00727D33">
        <w:rPr>
          <w:rFonts w:ascii="Verdana" w:hAnsi="Verdana"/>
          <w:sz w:val="20"/>
          <w:szCs w:val="20"/>
        </w:rPr>
        <w:t>”. Es mi sentir que al introducir el concepto de “compatibilidad” de la denominada “reelección presidencial indefinida”</w:t>
      </w:r>
      <w:r w:rsidR="00D64CF8" w:rsidRPr="00727D33">
        <w:rPr>
          <w:rFonts w:ascii="Verdana" w:hAnsi="Verdana"/>
          <w:sz w:val="20"/>
          <w:szCs w:val="20"/>
        </w:rPr>
        <w:t>,</w:t>
      </w:r>
      <w:r w:rsidR="00C42384" w:rsidRPr="00727D33">
        <w:rPr>
          <w:rFonts w:ascii="Verdana" w:hAnsi="Verdana"/>
          <w:sz w:val="20"/>
          <w:szCs w:val="20"/>
        </w:rPr>
        <w:t xml:space="preserve"> la Corte</w:t>
      </w:r>
      <w:r w:rsidR="0024235A" w:rsidRPr="00727D33">
        <w:rPr>
          <w:rFonts w:ascii="Verdana" w:hAnsi="Verdana"/>
          <w:sz w:val="20"/>
          <w:szCs w:val="20"/>
        </w:rPr>
        <w:t>,</w:t>
      </w:r>
      <w:r w:rsidR="00C42384" w:rsidRPr="00727D33">
        <w:rPr>
          <w:rFonts w:ascii="Verdana" w:hAnsi="Verdana"/>
          <w:sz w:val="20"/>
          <w:szCs w:val="20"/>
        </w:rPr>
        <w:t xml:space="preserve"> decidió, por su cuenta y parte, abordar e incluso configurar, los limites, perfiles y contenidos de la </w:t>
      </w:r>
      <w:r w:rsidR="00C42384" w:rsidRPr="00F245B0">
        <w:rPr>
          <w:rFonts w:ascii="Verdana" w:hAnsi="Verdana"/>
          <w:i/>
          <w:sz w:val="20"/>
          <w:szCs w:val="20"/>
        </w:rPr>
        <w:t>sui generis</w:t>
      </w:r>
      <w:r w:rsidR="00C42384" w:rsidRPr="00727D33">
        <w:rPr>
          <w:rFonts w:ascii="Verdana" w:hAnsi="Verdana"/>
          <w:sz w:val="20"/>
          <w:szCs w:val="20"/>
        </w:rPr>
        <w:t xml:space="preserve"> calificación</w:t>
      </w:r>
      <w:r w:rsidR="00D64CF8" w:rsidRPr="00727D33">
        <w:rPr>
          <w:rFonts w:ascii="Verdana" w:hAnsi="Verdana"/>
          <w:sz w:val="20"/>
          <w:szCs w:val="20"/>
        </w:rPr>
        <w:t>, no de un derecho, sino</w:t>
      </w:r>
      <w:r w:rsidR="00C42384" w:rsidRPr="00727D33">
        <w:rPr>
          <w:rFonts w:ascii="Verdana" w:hAnsi="Verdana"/>
          <w:sz w:val="20"/>
          <w:szCs w:val="20"/>
        </w:rPr>
        <w:t xml:space="preserve"> de un término,</w:t>
      </w:r>
      <w:r w:rsidR="00B5316E" w:rsidRPr="00727D33">
        <w:rPr>
          <w:rFonts w:ascii="Verdana" w:hAnsi="Verdana"/>
          <w:sz w:val="20"/>
          <w:szCs w:val="20"/>
        </w:rPr>
        <w:t xml:space="preserve"> una figura, un concepto, esto es, la denominada “reelección presidencial indefinida”</w:t>
      </w:r>
      <w:r w:rsidR="00202F65" w:rsidRPr="00727D33">
        <w:rPr>
          <w:rFonts w:ascii="Verdana" w:hAnsi="Verdana"/>
          <w:sz w:val="20"/>
          <w:szCs w:val="20"/>
        </w:rPr>
        <w:t>,</w:t>
      </w:r>
      <w:r w:rsidR="00B5316E" w:rsidRPr="00727D33">
        <w:rPr>
          <w:rFonts w:ascii="Verdana" w:hAnsi="Verdana"/>
          <w:sz w:val="20"/>
          <w:szCs w:val="20"/>
        </w:rPr>
        <w:t xml:space="preserve"> de cuyo origen, naturaleza, características, y presupuestos teóricos, al menos en mi opinión, son de tal amplitud e indefinición doctrinaria, sea en la ciencia política</w:t>
      </w:r>
      <w:r w:rsidR="006708DA" w:rsidRPr="00727D33">
        <w:rPr>
          <w:rFonts w:ascii="Verdana" w:hAnsi="Verdana"/>
          <w:sz w:val="20"/>
          <w:szCs w:val="20"/>
        </w:rPr>
        <w:t>, en la dimensión de las ciencias sociales y las mismas ciencias jurídicas,</w:t>
      </w:r>
      <w:r w:rsidR="00110295" w:rsidRPr="00727D33">
        <w:rPr>
          <w:rFonts w:ascii="Verdana" w:hAnsi="Verdana"/>
          <w:sz w:val="20"/>
          <w:szCs w:val="20"/>
        </w:rPr>
        <w:t xml:space="preserve"> </w:t>
      </w:r>
      <w:r w:rsidR="006708DA" w:rsidRPr="00727D33">
        <w:rPr>
          <w:rFonts w:ascii="Verdana" w:hAnsi="Verdana"/>
          <w:sz w:val="20"/>
          <w:szCs w:val="20"/>
        </w:rPr>
        <w:t>so</w:t>
      </w:r>
      <w:r w:rsidR="00695F04" w:rsidRPr="00727D33">
        <w:rPr>
          <w:rFonts w:ascii="Verdana" w:hAnsi="Verdana"/>
          <w:sz w:val="20"/>
          <w:szCs w:val="20"/>
        </w:rPr>
        <w:t xml:space="preserve">bre el cual no existe un consenso </w:t>
      </w:r>
      <w:r w:rsidR="006708DA" w:rsidRPr="00727D33">
        <w:rPr>
          <w:rFonts w:ascii="Verdana" w:hAnsi="Verdana"/>
          <w:sz w:val="20"/>
          <w:szCs w:val="20"/>
        </w:rPr>
        <w:t xml:space="preserve">de rigor o </w:t>
      </w:r>
      <w:r w:rsidR="00D64CF8" w:rsidRPr="00727D33">
        <w:rPr>
          <w:rFonts w:ascii="Verdana" w:hAnsi="Verdana"/>
          <w:sz w:val="20"/>
          <w:szCs w:val="20"/>
        </w:rPr>
        <w:t xml:space="preserve"> doctrina;</w:t>
      </w:r>
      <w:r w:rsidR="006708DA" w:rsidRPr="00727D33">
        <w:rPr>
          <w:rFonts w:ascii="Verdana" w:hAnsi="Verdana"/>
          <w:sz w:val="20"/>
          <w:szCs w:val="20"/>
        </w:rPr>
        <w:t xml:space="preserve"> </w:t>
      </w:r>
      <w:r w:rsidR="00D51927" w:rsidRPr="00727D33">
        <w:rPr>
          <w:rFonts w:ascii="Verdana" w:hAnsi="Verdana"/>
          <w:sz w:val="20"/>
          <w:szCs w:val="20"/>
        </w:rPr>
        <w:t xml:space="preserve">más, justamente, con esta decisión, el Tribunal decidió abordar </w:t>
      </w:r>
      <w:r w:rsidR="0024235A" w:rsidRPr="00727D33">
        <w:rPr>
          <w:rFonts w:ascii="Verdana" w:hAnsi="Verdana"/>
          <w:sz w:val="20"/>
          <w:szCs w:val="20"/>
        </w:rPr>
        <w:t>la delicada, compleja y no poco controversial arquitectura y estructura democrática y las formas de gobierno que deciden soberanamente los estados en ejercicio de su soberanía</w:t>
      </w:r>
      <w:r w:rsidR="00D51927" w:rsidRPr="00727D33">
        <w:rPr>
          <w:rFonts w:ascii="Verdana" w:hAnsi="Verdana"/>
          <w:sz w:val="20"/>
          <w:szCs w:val="20"/>
        </w:rPr>
        <w:t xml:space="preserve">. </w:t>
      </w:r>
      <w:r w:rsidR="00D64CF8" w:rsidRPr="00727D33">
        <w:rPr>
          <w:rFonts w:ascii="Verdana" w:hAnsi="Verdana"/>
          <w:sz w:val="20"/>
          <w:szCs w:val="20"/>
        </w:rPr>
        <w:t xml:space="preserve">Más allá de las motivaciones y convicciones legítimas </w:t>
      </w:r>
      <w:r w:rsidR="00202F65" w:rsidRPr="00727D33">
        <w:rPr>
          <w:rFonts w:ascii="Verdana" w:hAnsi="Verdana"/>
          <w:sz w:val="20"/>
          <w:szCs w:val="20"/>
        </w:rPr>
        <w:t>que alienta</w:t>
      </w:r>
      <w:r w:rsidR="005877F8" w:rsidRPr="00727D33">
        <w:rPr>
          <w:rFonts w:ascii="Verdana" w:hAnsi="Verdana"/>
          <w:sz w:val="20"/>
          <w:szCs w:val="20"/>
        </w:rPr>
        <w:t>n</w:t>
      </w:r>
      <w:r w:rsidR="00202F65" w:rsidRPr="00727D33">
        <w:rPr>
          <w:rFonts w:ascii="Verdana" w:hAnsi="Verdana"/>
          <w:sz w:val="20"/>
          <w:szCs w:val="20"/>
        </w:rPr>
        <w:t xml:space="preserve"> a mis colegas, </w:t>
      </w:r>
      <w:r w:rsidR="005877F8" w:rsidRPr="00727D33">
        <w:rPr>
          <w:rFonts w:ascii="Verdana" w:hAnsi="Verdana"/>
          <w:sz w:val="20"/>
          <w:szCs w:val="20"/>
        </w:rPr>
        <w:t xml:space="preserve">esta decisión consultiva, trasformada en dictamen de alegado obligatorio cumplimiento para los Estados Partes, </w:t>
      </w:r>
      <w:r w:rsidR="00D64CF8" w:rsidRPr="00727D33">
        <w:rPr>
          <w:rFonts w:ascii="Verdana" w:hAnsi="Verdana"/>
          <w:sz w:val="20"/>
          <w:szCs w:val="20"/>
        </w:rPr>
        <w:t>es una intención jurídica cuyo animus</w:t>
      </w:r>
      <w:r w:rsidR="00202F65" w:rsidRPr="00727D33">
        <w:rPr>
          <w:rFonts w:ascii="Verdana" w:hAnsi="Verdana"/>
          <w:sz w:val="20"/>
          <w:szCs w:val="20"/>
        </w:rPr>
        <w:t xml:space="preserve"> difícilmente logrará homogeneizar la conducta, tradición, valores y actuaciones de los pueblos de la región centro y sur americana que si de algo no dejan de sorprenderno</w:t>
      </w:r>
      <w:r w:rsidR="00D51927" w:rsidRPr="00727D33">
        <w:rPr>
          <w:rFonts w:ascii="Verdana" w:hAnsi="Verdana"/>
          <w:sz w:val="20"/>
          <w:szCs w:val="20"/>
        </w:rPr>
        <w:t>s</w:t>
      </w:r>
      <w:r w:rsidR="00202F65" w:rsidRPr="00727D33">
        <w:rPr>
          <w:rFonts w:ascii="Verdana" w:hAnsi="Verdana"/>
          <w:sz w:val="20"/>
          <w:szCs w:val="20"/>
        </w:rPr>
        <w:t xml:space="preserve"> es de su vitalidad vibra</w:t>
      </w:r>
      <w:r w:rsidR="00D51927" w:rsidRPr="00727D33">
        <w:rPr>
          <w:rFonts w:ascii="Verdana" w:hAnsi="Verdana"/>
          <w:sz w:val="20"/>
          <w:szCs w:val="20"/>
        </w:rPr>
        <w:t>nte y movimiento constante en la</w:t>
      </w:r>
      <w:r w:rsidR="00202F65" w:rsidRPr="00727D33">
        <w:rPr>
          <w:rFonts w:ascii="Verdana" w:hAnsi="Verdana"/>
          <w:sz w:val="20"/>
          <w:szCs w:val="20"/>
        </w:rPr>
        <w:t xml:space="preserve"> búsqueda de los mejores horizontes que puedan brindar a sus pueblos.</w:t>
      </w:r>
      <w:r w:rsidR="00895622" w:rsidRPr="00727D33">
        <w:rPr>
          <w:rFonts w:ascii="Verdana" w:hAnsi="Verdana"/>
          <w:sz w:val="20"/>
          <w:szCs w:val="20"/>
        </w:rPr>
        <w:t xml:space="preserve"> </w:t>
      </w:r>
    </w:p>
    <w:p w:rsidR="003510D9" w:rsidRPr="00F245B0" w:rsidRDefault="00895622" w:rsidP="00F245B0">
      <w:pPr>
        <w:pStyle w:val="Prrafodelista"/>
        <w:numPr>
          <w:ilvl w:val="0"/>
          <w:numId w:val="12"/>
        </w:numPr>
        <w:tabs>
          <w:tab w:val="left" w:pos="567"/>
        </w:tabs>
        <w:spacing w:before="120" w:after="120"/>
        <w:ind w:left="0" w:firstLine="0"/>
        <w:contextualSpacing w:val="0"/>
        <w:jc w:val="both"/>
        <w:rPr>
          <w:rFonts w:ascii="Verdana" w:hAnsi="Verdana"/>
          <w:sz w:val="20"/>
          <w:szCs w:val="20"/>
        </w:rPr>
      </w:pPr>
      <w:r w:rsidRPr="00727D33">
        <w:rPr>
          <w:rFonts w:ascii="Verdana" w:hAnsi="Verdana"/>
          <w:sz w:val="20"/>
          <w:szCs w:val="20"/>
        </w:rPr>
        <w:t xml:space="preserve">Lejos de mi interés está en oponerme a la </w:t>
      </w:r>
      <w:r w:rsidR="00695F04" w:rsidRPr="00727D33">
        <w:rPr>
          <w:rFonts w:ascii="Verdana" w:hAnsi="Verdana"/>
          <w:sz w:val="20"/>
          <w:szCs w:val="20"/>
        </w:rPr>
        <w:t xml:space="preserve">facultad que tiene la Corte para reformular o precisar preguntas que sean sometidas a su conocimiento en el marco de una solicitud de Opinión Consultiva, </w:t>
      </w:r>
      <w:r w:rsidRPr="00727D33">
        <w:rPr>
          <w:rFonts w:ascii="Verdana" w:hAnsi="Verdana"/>
          <w:sz w:val="20"/>
          <w:szCs w:val="20"/>
        </w:rPr>
        <w:t xml:space="preserve">más, en esta reformulación específica, a más de la reflexión del párrafo precedente, técnicamente </w:t>
      </w:r>
      <w:r w:rsidR="00695F04" w:rsidRPr="00727D33">
        <w:rPr>
          <w:rFonts w:ascii="Verdana" w:hAnsi="Verdana"/>
          <w:sz w:val="20"/>
          <w:szCs w:val="20"/>
        </w:rPr>
        <w:t xml:space="preserve">disiento sobre la forma en que </w:t>
      </w:r>
      <w:r w:rsidR="008F454D" w:rsidRPr="00727D33">
        <w:rPr>
          <w:rFonts w:ascii="Verdana" w:hAnsi="Verdana"/>
          <w:sz w:val="20"/>
          <w:szCs w:val="20"/>
        </w:rPr>
        <w:t xml:space="preserve">la mayoría resolvió </w:t>
      </w:r>
      <w:r w:rsidR="00695F04" w:rsidRPr="00727D33">
        <w:rPr>
          <w:rFonts w:ascii="Verdana" w:hAnsi="Verdana"/>
          <w:sz w:val="20"/>
          <w:szCs w:val="20"/>
        </w:rPr>
        <w:t>reco</w:t>
      </w:r>
      <w:r w:rsidR="008F454D" w:rsidRPr="00727D33">
        <w:rPr>
          <w:rFonts w:ascii="Verdana" w:hAnsi="Verdana"/>
          <w:sz w:val="20"/>
          <w:szCs w:val="20"/>
        </w:rPr>
        <w:t>nducir</w:t>
      </w:r>
      <w:r w:rsidRPr="00727D33">
        <w:rPr>
          <w:rFonts w:ascii="Verdana" w:hAnsi="Verdana"/>
          <w:sz w:val="20"/>
          <w:szCs w:val="20"/>
        </w:rPr>
        <w:t xml:space="preserve"> la </w:t>
      </w:r>
      <w:r w:rsidR="00695F04" w:rsidRPr="00727D33">
        <w:rPr>
          <w:rFonts w:ascii="Verdana" w:hAnsi="Verdana"/>
          <w:sz w:val="20"/>
          <w:szCs w:val="20"/>
        </w:rPr>
        <w:t>pregunta.</w:t>
      </w:r>
      <w:r w:rsidRPr="00727D33">
        <w:rPr>
          <w:rFonts w:ascii="Verdana" w:hAnsi="Verdana"/>
          <w:sz w:val="20"/>
          <w:szCs w:val="20"/>
        </w:rPr>
        <w:t xml:space="preserve"> No solo </w:t>
      </w:r>
      <w:r w:rsidR="008F454D" w:rsidRPr="00727D33">
        <w:rPr>
          <w:rFonts w:ascii="Verdana" w:hAnsi="Verdana"/>
          <w:sz w:val="20"/>
          <w:szCs w:val="20"/>
        </w:rPr>
        <w:t xml:space="preserve">que la reformula </w:t>
      </w:r>
      <w:r w:rsidRPr="00727D33">
        <w:rPr>
          <w:rFonts w:ascii="Verdana" w:hAnsi="Verdana"/>
          <w:sz w:val="20"/>
          <w:szCs w:val="20"/>
        </w:rPr>
        <w:t>de oficio, ya que en ningún momento fue mencionado</w:t>
      </w:r>
      <w:r w:rsidR="00110295" w:rsidRPr="00727D33">
        <w:rPr>
          <w:rFonts w:ascii="Verdana" w:hAnsi="Verdana"/>
          <w:sz w:val="20"/>
          <w:szCs w:val="20"/>
        </w:rPr>
        <w:t xml:space="preserve">, referido o solicitado </w:t>
      </w:r>
      <w:r w:rsidRPr="00727D33">
        <w:rPr>
          <w:rFonts w:ascii="Verdana" w:hAnsi="Verdana"/>
          <w:sz w:val="20"/>
          <w:szCs w:val="20"/>
        </w:rPr>
        <w:t xml:space="preserve">por Colombia, sino que </w:t>
      </w:r>
      <w:r w:rsidR="008F454D" w:rsidRPr="00727D33">
        <w:rPr>
          <w:rFonts w:ascii="Verdana" w:hAnsi="Verdana"/>
          <w:sz w:val="20"/>
          <w:szCs w:val="20"/>
        </w:rPr>
        <w:t xml:space="preserve">construye y </w:t>
      </w:r>
      <w:r w:rsidRPr="00727D33">
        <w:rPr>
          <w:rFonts w:ascii="Verdana" w:hAnsi="Verdana"/>
          <w:sz w:val="20"/>
          <w:szCs w:val="20"/>
        </w:rPr>
        <w:t xml:space="preserve">le otorga una definición </w:t>
      </w:r>
      <w:r w:rsidR="008F454D" w:rsidRPr="00727D33">
        <w:rPr>
          <w:rFonts w:ascii="Verdana" w:hAnsi="Verdana"/>
          <w:sz w:val="20"/>
          <w:szCs w:val="20"/>
        </w:rPr>
        <w:t xml:space="preserve">y una caracterización </w:t>
      </w:r>
      <w:r w:rsidRPr="00727D33">
        <w:rPr>
          <w:rFonts w:ascii="Verdana" w:hAnsi="Verdana"/>
          <w:sz w:val="20"/>
          <w:szCs w:val="20"/>
        </w:rPr>
        <w:t xml:space="preserve">propia, </w:t>
      </w:r>
      <w:r w:rsidR="008F454D" w:rsidRPr="00727D33">
        <w:rPr>
          <w:rFonts w:ascii="Verdana" w:hAnsi="Verdana"/>
          <w:sz w:val="20"/>
          <w:szCs w:val="20"/>
        </w:rPr>
        <w:t xml:space="preserve">actuación </w:t>
      </w:r>
      <w:r w:rsidRPr="00727D33">
        <w:rPr>
          <w:rFonts w:ascii="Verdana" w:hAnsi="Verdana"/>
          <w:sz w:val="20"/>
          <w:szCs w:val="20"/>
        </w:rPr>
        <w:t>para la cual</w:t>
      </w:r>
      <w:r w:rsidR="008F454D" w:rsidRPr="00727D33">
        <w:rPr>
          <w:rFonts w:ascii="Verdana" w:hAnsi="Verdana"/>
          <w:sz w:val="20"/>
          <w:szCs w:val="20"/>
        </w:rPr>
        <w:t xml:space="preserve">, en mi opinión, </w:t>
      </w:r>
      <w:r w:rsidR="008C3430" w:rsidRPr="00727D33">
        <w:rPr>
          <w:rFonts w:ascii="Verdana" w:hAnsi="Verdana"/>
          <w:sz w:val="20"/>
          <w:szCs w:val="20"/>
        </w:rPr>
        <w:t xml:space="preserve">no ofrece </w:t>
      </w:r>
      <w:r w:rsidR="008F454D" w:rsidRPr="00727D33">
        <w:rPr>
          <w:rFonts w:ascii="Verdana" w:hAnsi="Verdana"/>
          <w:sz w:val="20"/>
          <w:szCs w:val="20"/>
        </w:rPr>
        <w:t xml:space="preserve">sustento jurídico o doctrinario </w:t>
      </w:r>
      <w:r w:rsidR="008C3430" w:rsidRPr="00727D33">
        <w:rPr>
          <w:rFonts w:ascii="Verdana" w:hAnsi="Verdana"/>
          <w:sz w:val="20"/>
          <w:szCs w:val="20"/>
        </w:rPr>
        <w:t>que le faculte tomar dicha decisión</w:t>
      </w:r>
      <w:r w:rsidR="005877F8" w:rsidRPr="00727D33">
        <w:rPr>
          <w:rFonts w:ascii="Verdana" w:hAnsi="Verdana"/>
          <w:sz w:val="20"/>
          <w:szCs w:val="20"/>
        </w:rPr>
        <w:t>,</w:t>
      </w:r>
      <w:r w:rsidR="008F454D" w:rsidRPr="00727D33">
        <w:rPr>
          <w:rFonts w:ascii="Verdana" w:hAnsi="Verdana"/>
          <w:sz w:val="20"/>
          <w:szCs w:val="20"/>
        </w:rPr>
        <w:t xml:space="preserve"> puesto que la Corte</w:t>
      </w:r>
      <w:r w:rsidR="00695F04" w:rsidRPr="00727D33">
        <w:rPr>
          <w:rFonts w:ascii="Verdana" w:hAnsi="Verdana"/>
          <w:sz w:val="20"/>
          <w:szCs w:val="20"/>
        </w:rPr>
        <w:t xml:space="preserve"> cambia el objeto de la pregunta origin</w:t>
      </w:r>
      <w:r w:rsidR="008C3430" w:rsidRPr="00727D33">
        <w:rPr>
          <w:rFonts w:ascii="Verdana" w:hAnsi="Verdana"/>
          <w:sz w:val="20"/>
          <w:szCs w:val="20"/>
        </w:rPr>
        <w:t>almente presentada por Colombia</w:t>
      </w:r>
      <w:r w:rsidR="00695F04" w:rsidRPr="00727D33">
        <w:rPr>
          <w:rFonts w:ascii="Verdana" w:hAnsi="Verdana"/>
          <w:sz w:val="20"/>
          <w:szCs w:val="20"/>
        </w:rPr>
        <w:t xml:space="preserve"> e </w:t>
      </w:r>
      <w:r w:rsidR="00695F04" w:rsidRPr="00727D33">
        <w:rPr>
          <w:rFonts w:ascii="Verdana" w:hAnsi="Verdana"/>
          <w:sz w:val="20"/>
          <w:szCs w:val="20"/>
        </w:rPr>
        <w:lastRenderedPageBreak/>
        <w:t>introduce al análisis elementos jurídicamente indeterminados</w:t>
      </w:r>
      <w:r w:rsidR="008C3430" w:rsidRPr="00727D33">
        <w:rPr>
          <w:rFonts w:ascii="Verdana" w:hAnsi="Verdana"/>
          <w:sz w:val="20"/>
          <w:szCs w:val="20"/>
        </w:rPr>
        <w:t xml:space="preserve">, propiciando una </w:t>
      </w:r>
      <w:r w:rsidR="008C3430" w:rsidRPr="00F34C53">
        <w:rPr>
          <w:rFonts w:ascii="Verdana" w:hAnsi="Verdana"/>
          <w:i/>
          <w:sz w:val="20"/>
          <w:szCs w:val="20"/>
        </w:rPr>
        <w:t>sui generis</w:t>
      </w:r>
      <w:r w:rsidR="008C3430" w:rsidRPr="00727D33">
        <w:rPr>
          <w:rFonts w:ascii="Verdana" w:hAnsi="Verdana"/>
          <w:sz w:val="20"/>
          <w:szCs w:val="20"/>
        </w:rPr>
        <w:t xml:space="preserve"> uniformidad y codificación de las legislaciones de los estados del Continente, de trascendentales</w:t>
      </w:r>
      <w:r w:rsidR="005877F8" w:rsidRPr="00727D33">
        <w:rPr>
          <w:rFonts w:ascii="Verdana" w:hAnsi="Verdana"/>
          <w:sz w:val="20"/>
          <w:szCs w:val="20"/>
        </w:rPr>
        <w:t xml:space="preserve"> consecuencias</w:t>
      </w:r>
      <w:r w:rsidR="008C3430" w:rsidRPr="00727D33">
        <w:rPr>
          <w:rFonts w:ascii="Verdana" w:hAnsi="Verdana"/>
          <w:sz w:val="20"/>
          <w:szCs w:val="20"/>
        </w:rPr>
        <w:t xml:space="preserve">, </w:t>
      </w:r>
      <w:r w:rsidR="005877F8" w:rsidRPr="00727D33">
        <w:rPr>
          <w:rFonts w:ascii="Verdana" w:hAnsi="Verdana"/>
          <w:sz w:val="20"/>
          <w:szCs w:val="20"/>
        </w:rPr>
        <w:t>políticas</w:t>
      </w:r>
      <w:r w:rsidR="008C3430" w:rsidRPr="00727D33">
        <w:rPr>
          <w:rFonts w:ascii="Verdana" w:hAnsi="Verdana"/>
          <w:sz w:val="20"/>
          <w:szCs w:val="20"/>
        </w:rPr>
        <w:t xml:space="preserve"> y jurídicas</w:t>
      </w:r>
      <w:r w:rsidR="005877F8" w:rsidRPr="00727D33">
        <w:rPr>
          <w:rFonts w:ascii="Verdana" w:hAnsi="Verdana"/>
          <w:sz w:val="20"/>
          <w:szCs w:val="20"/>
        </w:rPr>
        <w:t xml:space="preserve"> para </w:t>
      </w:r>
      <w:r w:rsidR="00E76132" w:rsidRPr="00727D33">
        <w:rPr>
          <w:rFonts w:ascii="Verdana" w:hAnsi="Verdana"/>
          <w:sz w:val="20"/>
          <w:szCs w:val="20"/>
        </w:rPr>
        <w:t xml:space="preserve">las democracias y </w:t>
      </w:r>
      <w:r w:rsidR="005877F8" w:rsidRPr="00727D33">
        <w:rPr>
          <w:rFonts w:ascii="Verdana" w:hAnsi="Verdana"/>
          <w:sz w:val="20"/>
          <w:szCs w:val="20"/>
        </w:rPr>
        <w:t xml:space="preserve">los </w:t>
      </w:r>
      <w:r w:rsidR="00F34C53">
        <w:rPr>
          <w:rFonts w:ascii="Verdana" w:hAnsi="Verdana"/>
          <w:sz w:val="20"/>
          <w:szCs w:val="20"/>
        </w:rPr>
        <w:t>E</w:t>
      </w:r>
      <w:r w:rsidR="005877F8" w:rsidRPr="00727D33">
        <w:rPr>
          <w:rFonts w:ascii="Verdana" w:hAnsi="Verdana"/>
          <w:sz w:val="20"/>
          <w:szCs w:val="20"/>
        </w:rPr>
        <w:t>stados de la región</w:t>
      </w:r>
      <w:r w:rsidR="008C3430" w:rsidRPr="00727D33">
        <w:rPr>
          <w:rFonts w:ascii="Verdana" w:hAnsi="Verdana"/>
          <w:sz w:val="20"/>
          <w:szCs w:val="20"/>
        </w:rPr>
        <w:t xml:space="preserve">; </w:t>
      </w:r>
      <w:r w:rsidR="005877F8" w:rsidRPr="00727D33">
        <w:rPr>
          <w:rFonts w:ascii="Verdana" w:hAnsi="Verdana"/>
          <w:sz w:val="20"/>
          <w:szCs w:val="20"/>
        </w:rPr>
        <w:t>ámbitos de reflexión, discusión y proposición</w:t>
      </w:r>
      <w:r w:rsidR="00E76132" w:rsidRPr="00727D33">
        <w:rPr>
          <w:rFonts w:ascii="Verdana" w:hAnsi="Verdana"/>
          <w:sz w:val="20"/>
          <w:szCs w:val="20"/>
        </w:rPr>
        <w:t xml:space="preserve"> que </w:t>
      </w:r>
      <w:r w:rsidR="005877F8" w:rsidRPr="00727D33">
        <w:rPr>
          <w:rFonts w:ascii="Verdana" w:hAnsi="Verdana"/>
          <w:sz w:val="20"/>
          <w:szCs w:val="20"/>
        </w:rPr>
        <w:t xml:space="preserve">eventualmente pueden ser atendidos y </w:t>
      </w:r>
      <w:r w:rsidR="008F454D" w:rsidRPr="00727D33">
        <w:rPr>
          <w:rFonts w:ascii="Verdana" w:hAnsi="Verdana"/>
          <w:sz w:val="20"/>
          <w:szCs w:val="20"/>
        </w:rPr>
        <w:t xml:space="preserve">probablemente </w:t>
      </w:r>
      <w:r w:rsidR="00E76132" w:rsidRPr="00727D33">
        <w:rPr>
          <w:rFonts w:ascii="Verdana" w:hAnsi="Verdana"/>
          <w:sz w:val="20"/>
          <w:szCs w:val="20"/>
        </w:rPr>
        <w:t>resueltos por</w:t>
      </w:r>
      <w:r w:rsidR="00695F04" w:rsidRPr="00727D33">
        <w:rPr>
          <w:rFonts w:ascii="Verdana" w:hAnsi="Verdana"/>
          <w:sz w:val="20"/>
          <w:szCs w:val="20"/>
        </w:rPr>
        <w:t xml:space="preserve"> otras instancias</w:t>
      </w:r>
      <w:r w:rsidR="008F454D" w:rsidRPr="00727D33">
        <w:rPr>
          <w:rFonts w:ascii="Verdana" w:hAnsi="Verdana"/>
          <w:sz w:val="20"/>
          <w:szCs w:val="20"/>
        </w:rPr>
        <w:t xml:space="preserve"> del sistema</w:t>
      </w:r>
      <w:r w:rsidR="00695F04" w:rsidRPr="00727D33">
        <w:rPr>
          <w:rFonts w:ascii="Verdana" w:hAnsi="Verdana"/>
          <w:sz w:val="20"/>
          <w:szCs w:val="20"/>
        </w:rPr>
        <w:t>,</w:t>
      </w:r>
      <w:r w:rsidR="008F454D" w:rsidRPr="00727D33">
        <w:rPr>
          <w:rFonts w:ascii="Verdana" w:hAnsi="Verdana"/>
          <w:sz w:val="20"/>
          <w:szCs w:val="20"/>
        </w:rPr>
        <w:t xml:space="preserve"> como el Comité </w:t>
      </w:r>
      <w:r w:rsidR="00110295" w:rsidRPr="00727D33">
        <w:rPr>
          <w:rFonts w:ascii="Verdana" w:hAnsi="Verdana"/>
          <w:sz w:val="20"/>
          <w:szCs w:val="20"/>
        </w:rPr>
        <w:t>Jurídico</w:t>
      </w:r>
      <w:r w:rsidR="008F454D" w:rsidRPr="00727D33">
        <w:rPr>
          <w:rFonts w:ascii="Verdana" w:hAnsi="Verdana"/>
          <w:sz w:val="20"/>
          <w:szCs w:val="20"/>
        </w:rPr>
        <w:t xml:space="preserve"> Interamericano,</w:t>
      </w:r>
      <w:r w:rsidR="00E76132" w:rsidRPr="00727D33">
        <w:rPr>
          <w:rFonts w:ascii="Verdana" w:hAnsi="Verdana"/>
          <w:sz w:val="20"/>
          <w:szCs w:val="20"/>
        </w:rPr>
        <w:t xml:space="preserve"> organismo que </w:t>
      </w:r>
      <w:r w:rsidR="003C5D13" w:rsidRPr="00727D33">
        <w:rPr>
          <w:rFonts w:ascii="Verdana" w:hAnsi="Verdana"/>
          <w:sz w:val="20"/>
          <w:szCs w:val="20"/>
        </w:rPr>
        <w:t xml:space="preserve">conforme lo señala en su página web (comité jurídico interamericano.oas.org): “… es uno de los Órganos principales de la organización de los Estados Americanos (OEA). </w:t>
      </w:r>
      <w:r w:rsidR="003C5D13" w:rsidRPr="00727D33">
        <w:rPr>
          <w:rFonts w:ascii="Verdana" w:hAnsi="Verdana"/>
          <w:b/>
          <w:sz w:val="20"/>
          <w:szCs w:val="20"/>
          <w:u w:val="single"/>
        </w:rPr>
        <w:t>Es el cuerpo consultivo de la organización en asuntos jurídicos</w:t>
      </w:r>
      <w:r w:rsidR="00F245B0" w:rsidRPr="00F245B0">
        <w:rPr>
          <w:rFonts w:ascii="Verdana" w:hAnsi="Verdana"/>
          <w:sz w:val="20"/>
          <w:szCs w:val="20"/>
          <w:u w:val="single"/>
        </w:rPr>
        <w:t xml:space="preserve"> </w:t>
      </w:r>
      <w:r w:rsidR="003C5D13" w:rsidRPr="00727D33">
        <w:rPr>
          <w:rFonts w:ascii="Verdana" w:hAnsi="Verdana"/>
          <w:b/>
          <w:sz w:val="20"/>
          <w:szCs w:val="20"/>
          <w:u w:val="single"/>
        </w:rPr>
        <w:t>encargado de promover el desarrollo progresivo y la codificación del derecho internacional y de estudiar la posibilidad de uniformar las legislacion</w:t>
      </w:r>
      <w:r w:rsidR="00F34C53">
        <w:rPr>
          <w:rFonts w:ascii="Verdana" w:hAnsi="Verdana"/>
          <w:b/>
          <w:sz w:val="20"/>
          <w:szCs w:val="20"/>
          <w:u w:val="single"/>
        </w:rPr>
        <w:t xml:space="preserve">es de los países del Continente” </w:t>
      </w:r>
      <w:r w:rsidR="003C5D13" w:rsidRPr="00727D33">
        <w:rPr>
          <w:rFonts w:ascii="Verdana" w:hAnsi="Verdana"/>
          <w:sz w:val="20"/>
          <w:szCs w:val="20"/>
        </w:rPr>
        <w:t>(negrillas y subrayado me corresponden)</w:t>
      </w:r>
      <w:r w:rsidR="008F454D" w:rsidRPr="00727D33">
        <w:rPr>
          <w:rFonts w:ascii="Verdana" w:hAnsi="Verdana"/>
          <w:sz w:val="20"/>
          <w:szCs w:val="20"/>
        </w:rPr>
        <w:t xml:space="preserve">. </w:t>
      </w:r>
      <w:r w:rsidR="003C5D13" w:rsidRPr="00727D33">
        <w:rPr>
          <w:rFonts w:ascii="Verdana" w:hAnsi="Verdana"/>
          <w:sz w:val="20"/>
          <w:szCs w:val="20"/>
        </w:rPr>
        <w:t xml:space="preserve">Finalmente, considero, </w:t>
      </w:r>
      <w:r w:rsidR="00695F04" w:rsidRPr="00727D33">
        <w:rPr>
          <w:rFonts w:ascii="Verdana" w:hAnsi="Verdana"/>
          <w:sz w:val="20"/>
          <w:szCs w:val="20"/>
        </w:rPr>
        <w:t xml:space="preserve">que la pregunta originalmente formulada sí debía ser precisada y reformulada, pero siempre que se mantuviera su esencia y objeto, lo cual no sucedió </w:t>
      </w:r>
      <w:r w:rsidR="003C5D13" w:rsidRPr="00727D33">
        <w:rPr>
          <w:rFonts w:ascii="Verdana" w:hAnsi="Verdana"/>
          <w:sz w:val="20"/>
          <w:szCs w:val="20"/>
        </w:rPr>
        <w:t>de la manera como lo decidió</w:t>
      </w:r>
      <w:r w:rsidR="00695F04" w:rsidRPr="00727D33">
        <w:rPr>
          <w:rFonts w:ascii="Verdana" w:hAnsi="Verdana"/>
          <w:sz w:val="20"/>
          <w:szCs w:val="20"/>
        </w:rPr>
        <w:t xml:space="preserve"> la Corte. </w:t>
      </w:r>
    </w:p>
    <w:p w:rsidR="003510D9" w:rsidRPr="001D1F3C" w:rsidRDefault="003510D9" w:rsidP="00F245B0">
      <w:pPr>
        <w:pStyle w:val="Prrafodelista"/>
        <w:numPr>
          <w:ilvl w:val="0"/>
          <w:numId w:val="10"/>
        </w:numPr>
        <w:spacing w:before="240" w:after="240"/>
        <w:ind w:left="1134" w:hanging="567"/>
        <w:contextualSpacing w:val="0"/>
        <w:jc w:val="both"/>
        <w:rPr>
          <w:rFonts w:ascii="Verdana" w:hAnsi="Verdana"/>
          <w:b/>
          <w:sz w:val="20"/>
          <w:szCs w:val="20"/>
        </w:rPr>
      </w:pPr>
      <w:r w:rsidRPr="00727D33">
        <w:rPr>
          <w:rFonts w:ascii="Verdana" w:hAnsi="Verdana"/>
          <w:b/>
          <w:sz w:val="20"/>
          <w:szCs w:val="20"/>
        </w:rPr>
        <w:t>Consideracione</w:t>
      </w:r>
      <w:r w:rsidR="003C5D13" w:rsidRPr="00727D33">
        <w:rPr>
          <w:rFonts w:ascii="Verdana" w:hAnsi="Verdana"/>
          <w:b/>
          <w:sz w:val="20"/>
          <w:szCs w:val="20"/>
        </w:rPr>
        <w:t xml:space="preserve">s sustanciales </w:t>
      </w:r>
    </w:p>
    <w:p w:rsidR="003510D9" w:rsidRPr="001D1F3C" w:rsidRDefault="003510D9"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Una vez sentada mi posición sobre algunos de los</w:t>
      </w:r>
      <w:r w:rsidR="00110295" w:rsidRPr="00727D33">
        <w:rPr>
          <w:rFonts w:ascii="Verdana" w:hAnsi="Verdana"/>
          <w:sz w:val="20"/>
          <w:szCs w:val="20"/>
        </w:rPr>
        <w:t xml:space="preserve"> aspectos formales </w:t>
      </w:r>
      <w:r w:rsidRPr="00727D33">
        <w:rPr>
          <w:rFonts w:ascii="Verdana" w:hAnsi="Verdana"/>
          <w:sz w:val="20"/>
          <w:szCs w:val="20"/>
        </w:rPr>
        <w:t xml:space="preserve">analizados por la Corte, me permito realizar algunas precisiones con respecto a la democracia representativa y los derechos políticos, que resultan relevantes no solo en virtud de la resolución adoptada por la Corte en el presente caso, sino también para el contexto actual de la </w:t>
      </w:r>
      <w:r w:rsidR="00F34C53">
        <w:rPr>
          <w:rFonts w:ascii="Verdana" w:hAnsi="Verdana"/>
          <w:sz w:val="20"/>
          <w:szCs w:val="20"/>
        </w:rPr>
        <w:t>r</w:t>
      </w:r>
      <w:r w:rsidRPr="00727D33">
        <w:rPr>
          <w:rFonts w:ascii="Verdana" w:hAnsi="Verdana"/>
          <w:sz w:val="20"/>
          <w:szCs w:val="20"/>
        </w:rPr>
        <w:t>egión</w:t>
      </w:r>
      <w:r w:rsidR="00110295" w:rsidRPr="00727D33">
        <w:rPr>
          <w:rFonts w:ascii="Verdana" w:hAnsi="Verdana"/>
          <w:sz w:val="20"/>
          <w:szCs w:val="20"/>
        </w:rPr>
        <w:t xml:space="preserve"> y las prospectivas que devendrán de la Opinión</w:t>
      </w:r>
      <w:r w:rsidRPr="00727D33">
        <w:rPr>
          <w:rFonts w:ascii="Verdana" w:hAnsi="Verdana"/>
          <w:sz w:val="20"/>
          <w:szCs w:val="20"/>
        </w:rPr>
        <w:t xml:space="preserve">.  </w:t>
      </w:r>
    </w:p>
    <w:p w:rsidR="003510D9" w:rsidRPr="001D1F3C" w:rsidRDefault="003510D9" w:rsidP="00F245B0">
      <w:pPr>
        <w:pStyle w:val="Prrafodelista"/>
        <w:numPr>
          <w:ilvl w:val="0"/>
          <w:numId w:val="11"/>
        </w:numPr>
        <w:spacing w:before="240" w:after="240"/>
        <w:ind w:left="1077" w:hanging="510"/>
        <w:contextualSpacing w:val="0"/>
        <w:jc w:val="both"/>
        <w:rPr>
          <w:rFonts w:ascii="Verdana" w:hAnsi="Verdana"/>
          <w:b/>
          <w:sz w:val="20"/>
          <w:szCs w:val="20"/>
          <w:lang w:val="es-ES"/>
        </w:rPr>
      </w:pPr>
      <w:r w:rsidRPr="00727D33">
        <w:rPr>
          <w:rFonts w:ascii="Verdana" w:hAnsi="Verdana"/>
          <w:b/>
          <w:sz w:val="20"/>
          <w:szCs w:val="20"/>
          <w:lang w:val="es-ES"/>
        </w:rPr>
        <w:t xml:space="preserve">El camino a la democracia </w:t>
      </w:r>
      <w:r w:rsidR="00643B29" w:rsidRPr="00727D33">
        <w:rPr>
          <w:rFonts w:ascii="Verdana" w:hAnsi="Verdana"/>
          <w:b/>
          <w:sz w:val="20"/>
          <w:szCs w:val="20"/>
          <w:lang w:val="es-ES"/>
        </w:rPr>
        <w:t xml:space="preserve">representativa y </w:t>
      </w:r>
      <w:r w:rsidRPr="00727D33">
        <w:rPr>
          <w:rFonts w:ascii="Verdana" w:hAnsi="Verdana"/>
          <w:b/>
          <w:sz w:val="20"/>
          <w:szCs w:val="20"/>
          <w:lang w:val="es-ES"/>
        </w:rPr>
        <w:t>participativa</w:t>
      </w:r>
    </w:p>
    <w:p w:rsidR="00074219" w:rsidRPr="001D1F3C" w:rsidRDefault="003510D9" w:rsidP="001D1F3C">
      <w:pPr>
        <w:pStyle w:val="Prrafodelista"/>
        <w:numPr>
          <w:ilvl w:val="0"/>
          <w:numId w:val="12"/>
        </w:numPr>
        <w:tabs>
          <w:tab w:val="left" w:pos="567"/>
        </w:tabs>
        <w:spacing w:before="120" w:after="120"/>
        <w:ind w:left="0" w:hanging="11"/>
        <w:contextualSpacing w:val="0"/>
        <w:jc w:val="both"/>
        <w:rPr>
          <w:rFonts w:ascii="Verdana" w:hAnsi="Verdana"/>
          <w:sz w:val="20"/>
          <w:szCs w:val="20"/>
          <w:lang w:val="es-ES"/>
        </w:rPr>
      </w:pPr>
      <w:r w:rsidRPr="00727D33">
        <w:rPr>
          <w:rFonts w:ascii="Verdana" w:hAnsi="Verdana"/>
          <w:sz w:val="20"/>
          <w:szCs w:val="20"/>
          <w:lang w:val="es-ES"/>
        </w:rPr>
        <w:t>El contexto es importante, porque mientras escribo este voto nuestras instituciones políticas, sociales y jurídicas han sufrido un resquebrajamiento radical producto de la devastación que trajo cons</w:t>
      </w:r>
      <w:r w:rsidR="001B01F6" w:rsidRPr="00727D33">
        <w:rPr>
          <w:rFonts w:ascii="Verdana" w:hAnsi="Verdana"/>
          <w:sz w:val="20"/>
          <w:szCs w:val="20"/>
          <w:lang w:val="es-ES"/>
        </w:rPr>
        <w:t xml:space="preserve">igo la pandemia. Junto con esta realidad </w:t>
      </w:r>
      <w:r w:rsidRPr="00727D33">
        <w:rPr>
          <w:rFonts w:ascii="Verdana" w:hAnsi="Verdana"/>
          <w:sz w:val="20"/>
          <w:szCs w:val="20"/>
          <w:lang w:val="es-ES"/>
        </w:rPr>
        <w:t>se ha hecho evidente la histórica y brutal desigualdad que arrastra nuestra reg</w:t>
      </w:r>
      <w:r w:rsidR="001B01F6" w:rsidRPr="00727D33">
        <w:rPr>
          <w:rFonts w:ascii="Verdana" w:hAnsi="Verdana"/>
          <w:sz w:val="20"/>
          <w:szCs w:val="20"/>
          <w:lang w:val="es-ES"/>
        </w:rPr>
        <w:t>ión desde épocas coloniales. Este contexto</w:t>
      </w:r>
      <w:r w:rsidRPr="00727D33">
        <w:rPr>
          <w:rFonts w:ascii="Verdana" w:hAnsi="Verdana"/>
          <w:sz w:val="20"/>
          <w:szCs w:val="20"/>
          <w:lang w:val="es-ES"/>
        </w:rPr>
        <w:t xml:space="preserve"> es muy relevante</w:t>
      </w:r>
      <w:r w:rsidR="001B01F6" w:rsidRPr="00727D33">
        <w:rPr>
          <w:rFonts w:ascii="Verdana" w:hAnsi="Verdana"/>
          <w:sz w:val="20"/>
          <w:szCs w:val="20"/>
          <w:lang w:val="es-ES"/>
        </w:rPr>
        <w:t xml:space="preserve"> </w:t>
      </w:r>
      <w:r w:rsidRPr="00727D33">
        <w:rPr>
          <w:rFonts w:ascii="Verdana" w:hAnsi="Verdana"/>
          <w:sz w:val="20"/>
          <w:szCs w:val="20"/>
          <w:lang w:val="es-ES"/>
        </w:rPr>
        <w:t>porque en estos momentos</w:t>
      </w:r>
      <w:r w:rsidR="00D55032" w:rsidRPr="00727D33">
        <w:rPr>
          <w:rFonts w:ascii="Verdana" w:hAnsi="Verdana"/>
          <w:sz w:val="20"/>
          <w:szCs w:val="20"/>
          <w:lang w:val="es-ES"/>
        </w:rPr>
        <w:t xml:space="preserve">, no son pocas las </w:t>
      </w:r>
      <w:r w:rsidRPr="00727D33">
        <w:rPr>
          <w:rFonts w:ascii="Verdana" w:hAnsi="Verdana"/>
          <w:sz w:val="20"/>
          <w:szCs w:val="20"/>
          <w:lang w:val="es-ES"/>
        </w:rPr>
        <w:t>protestas a lo largo</w:t>
      </w:r>
      <w:r w:rsidR="001B01F6" w:rsidRPr="00727D33">
        <w:rPr>
          <w:rFonts w:ascii="Verdana" w:hAnsi="Verdana"/>
          <w:sz w:val="20"/>
          <w:szCs w:val="20"/>
          <w:lang w:val="es-ES"/>
        </w:rPr>
        <w:t xml:space="preserve"> y</w:t>
      </w:r>
      <w:r w:rsidRPr="00727D33">
        <w:rPr>
          <w:rFonts w:ascii="Verdana" w:hAnsi="Verdana"/>
          <w:sz w:val="20"/>
          <w:szCs w:val="20"/>
          <w:lang w:val="es-ES"/>
        </w:rPr>
        <w:t xml:space="preserve"> ancho de nuestra</w:t>
      </w:r>
      <w:r w:rsidR="001B01F6" w:rsidRPr="00727D33">
        <w:rPr>
          <w:rFonts w:ascii="Verdana" w:hAnsi="Verdana"/>
          <w:sz w:val="20"/>
          <w:szCs w:val="20"/>
          <w:lang w:val="es-ES"/>
        </w:rPr>
        <w:t xml:space="preserve"> región, </w:t>
      </w:r>
      <w:r w:rsidRPr="00727D33">
        <w:rPr>
          <w:rFonts w:ascii="Verdana" w:hAnsi="Verdana"/>
          <w:sz w:val="20"/>
          <w:szCs w:val="20"/>
          <w:lang w:val="es-ES"/>
        </w:rPr>
        <w:t>reclaman</w:t>
      </w:r>
      <w:r w:rsidR="00D55032" w:rsidRPr="00727D33">
        <w:rPr>
          <w:rFonts w:ascii="Verdana" w:hAnsi="Verdana"/>
          <w:sz w:val="20"/>
          <w:szCs w:val="20"/>
          <w:lang w:val="es-ES"/>
        </w:rPr>
        <w:t>do</w:t>
      </w:r>
      <w:r w:rsidRPr="00727D33">
        <w:rPr>
          <w:rFonts w:ascii="Verdana" w:hAnsi="Verdana"/>
          <w:sz w:val="20"/>
          <w:szCs w:val="20"/>
          <w:lang w:val="es-ES"/>
        </w:rPr>
        <w:t xml:space="preserve"> soluciones </w:t>
      </w:r>
      <w:r w:rsidR="001B01F6" w:rsidRPr="00727D33">
        <w:rPr>
          <w:rFonts w:ascii="Verdana" w:hAnsi="Verdana"/>
          <w:sz w:val="20"/>
          <w:szCs w:val="20"/>
          <w:lang w:val="es-ES"/>
        </w:rPr>
        <w:t xml:space="preserve">profundas </w:t>
      </w:r>
      <w:r w:rsidRPr="00727D33">
        <w:rPr>
          <w:rFonts w:ascii="Verdana" w:hAnsi="Verdana"/>
          <w:sz w:val="20"/>
          <w:szCs w:val="20"/>
          <w:lang w:val="es-ES"/>
        </w:rPr>
        <w:t xml:space="preserve">a </w:t>
      </w:r>
      <w:r w:rsidR="001B01F6" w:rsidRPr="00727D33">
        <w:rPr>
          <w:rFonts w:ascii="Verdana" w:hAnsi="Verdana"/>
          <w:sz w:val="20"/>
          <w:szCs w:val="20"/>
          <w:lang w:val="es-ES"/>
        </w:rPr>
        <w:t xml:space="preserve">los </w:t>
      </w:r>
      <w:r w:rsidRPr="00727D33">
        <w:rPr>
          <w:rFonts w:ascii="Verdana" w:hAnsi="Verdana"/>
          <w:sz w:val="20"/>
          <w:szCs w:val="20"/>
          <w:lang w:val="es-ES"/>
        </w:rPr>
        <w:t>sistemas políticos</w:t>
      </w:r>
      <w:r w:rsidR="001B01F6" w:rsidRPr="00727D33">
        <w:rPr>
          <w:rFonts w:ascii="Verdana" w:hAnsi="Verdana"/>
          <w:sz w:val="20"/>
          <w:szCs w:val="20"/>
          <w:lang w:val="es-ES"/>
        </w:rPr>
        <w:t>, económicos y</w:t>
      </w:r>
      <w:r w:rsidRPr="00727D33">
        <w:rPr>
          <w:rFonts w:ascii="Verdana" w:hAnsi="Verdana"/>
          <w:sz w:val="20"/>
          <w:szCs w:val="20"/>
          <w:lang w:val="es-ES"/>
        </w:rPr>
        <w:t xml:space="preserve"> sociales</w:t>
      </w:r>
      <w:r w:rsidR="001B01F6" w:rsidRPr="00727D33">
        <w:rPr>
          <w:rFonts w:ascii="Verdana" w:hAnsi="Verdana"/>
          <w:sz w:val="20"/>
          <w:szCs w:val="20"/>
          <w:lang w:val="es-ES"/>
        </w:rPr>
        <w:t xml:space="preserve">. </w:t>
      </w:r>
      <w:r w:rsidRPr="00727D33">
        <w:rPr>
          <w:rFonts w:ascii="Verdana" w:hAnsi="Verdana"/>
          <w:sz w:val="20"/>
          <w:szCs w:val="20"/>
          <w:lang w:val="es-ES"/>
        </w:rPr>
        <w:t xml:space="preserve"> </w:t>
      </w:r>
    </w:p>
    <w:p w:rsidR="00074219" w:rsidRPr="001D1F3C" w:rsidRDefault="003510D9" w:rsidP="001D1F3C">
      <w:pPr>
        <w:pStyle w:val="Prrafodelista"/>
        <w:numPr>
          <w:ilvl w:val="0"/>
          <w:numId w:val="12"/>
        </w:numPr>
        <w:tabs>
          <w:tab w:val="left" w:pos="567"/>
        </w:tabs>
        <w:spacing w:before="120" w:after="120"/>
        <w:ind w:left="0" w:hanging="11"/>
        <w:contextualSpacing w:val="0"/>
        <w:jc w:val="both"/>
        <w:rPr>
          <w:rFonts w:ascii="Verdana" w:hAnsi="Verdana"/>
          <w:sz w:val="20"/>
          <w:szCs w:val="20"/>
          <w:lang w:val="es-ES"/>
        </w:rPr>
      </w:pPr>
      <w:r w:rsidRPr="00727D33">
        <w:rPr>
          <w:rFonts w:ascii="Verdana" w:hAnsi="Verdana"/>
          <w:sz w:val="20"/>
          <w:szCs w:val="20"/>
          <w:lang w:val="es-ES"/>
        </w:rPr>
        <w:t xml:space="preserve">Si obviar este contexto es </w:t>
      </w:r>
      <w:r w:rsidR="00031E78" w:rsidRPr="00727D33">
        <w:rPr>
          <w:rFonts w:ascii="Verdana" w:hAnsi="Verdana"/>
          <w:sz w:val="20"/>
          <w:szCs w:val="20"/>
          <w:lang w:val="es-ES"/>
        </w:rPr>
        <w:t xml:space="preserve">pretender </w:t>
      </w:r>
      <w:r w:rsidRPr="00727D33">
        <w:rPr>
          <w:rFonts w:ascii="Verdana" w:hAnsi="Verdana"/>
          <w:sz w:val="20"/>
          <w:szCs w:val="20"/>
          <w:lang w:val="es-ES"/>
        </w:rPr>
        <w:t xml:space="preserve">tapar el sol con un dedo, considerar que un sistema político es un molde fijo para garantizar la democracia, es una empresa tan infructuosa como hacer un embalse de un río con arena de playa. </w:t>
      </w:r>
      <w:r w:rsidR="00031E78" w:rsidRPr="00727D33">
        <w:rPr>
          <w:rFonts w:ascii="Verdana" w:hAnsi="Verdana"/>
          <w:sz w:val="20"/>
          <w:szCs w:val="20"/>
          <w:lang w:val="es-ES"/>
        </w:rPr>
        <w:t>Desde el intento de globalización de la economía</w:t>
      </w:r>
      <w:r w:rsidR="001F0550" w:rsidRPr="00727D33">
        <w:rPr>
          <w:rFonts w:ascii="Verdana" w:hAnsi="Verdana"/>
          <w:sz w:val="20"/>
          <w:szCs w:val="20"/>
          <w:lang w:val="es-ES"/>
        </w:rPr>
        <w:t xml:space="preserve"> y el libre mercado</w:t>
      </w:r>
      <w:r w:rsidR="00031E78" w:rsidRPr="00727D33">
        <w:rPr>
          <w:rFonts w:ascii="Verdana" w:hAnsi="Verdana"/>
          <w:sz w:val="20"/>
          <w:szCs w:val="20"/>
          <w:lang w:val="es-ES"/>
        </w:rPr>
        <w:t xml:space="preserve"> con el Consenso de Washington, hemos vivido a</w:t>
      </w:r>
      <w:r w:rsidRPr="00727D33">
        <w:rPr>
          <w:rFonts w:ascii="Verdana" w:hAnsi="Verdana"/>
          <w:sz w:val="20"/>
          <w:szCs w:val="20"/>
          <w:lang w:val="es-ES"/>
        </w:rPr>
        <w:t>ños</w:t>
      </w:r>
      <w:r w:rsidR="00031E78" w:rsidRPr="00727D33">
        <w:rPr>
          <w:rFonts w:ascii="Verdana" w:hAnsi="Verdana"/>
          <w:sz w:val="20"/>
          <w:szCs w:val="20"/>
          <w:lang w:val="es-ES"/>
        </w:rPr>
        <w:t xml:space="preserve"> de intentos fallidos de programas</w:t>
      </w:r>
      <w:r w:rsidRPr="00727D33">
        <w:rPr>
          <w:rFonts w:ascii="Verdana" w:hAnsi="Verdana"/>
          <w:sz w:val="20"/>
          <w:szCs w:val="20"/>
          <w:lang w:val="es-ES"/>
        </w:rPr>
        <w:t xml:space="preserve"> económicos, sociales y políticos</w:t>
      </w:r>
      <w:r w:rsidR="001F0550" w:rsidRPr="00727D33">
        <w:rPr>
          <w:rFonts w:ascii="Verdana" w:hAnsi="Verdana"/>
          <w:sz w:val="20"/>
          <w:szCs w:val="20"/>
          <w:lang w:val="es-ES"/>
        </w:rPr>
        <w:t xml:space="preserve"> con recetas</w:t>
      </w:r>
      <w:r w:rsidRPr="00727D33">
        <w:rPr>
          <w:rFonts w:ascii="Verdana" w:hAnsi="Verdana"/>
          <w:sz w:val="20"/>
          <w:szCs w:val="20"/>
          <w:lang w:val="es-ES"/>
        </w:rPr>
        <w:t xml:space="preserve"> </w:t>
      </w:r>
      <w:r w:rsidR="001F0550" w:rsidRPr="00727D33">
        <w:rPr>
          <w:rFonts w:ascii="Verdana" w:hAnsi="Verdana"/>
          <w:sz w:val="20"/>
          <w:szCs w:val="20"/>
          <w:lang w:val="es-ES"/>
        </w:rPr>
        <w:t>neocoloniales de laboratorio fracasada</w:t>
      </w:r>
      <w:r w:rsidRPr="00727D33">
        <w:rPr>
          <w:rFonts w:ascii="Verdana" w:hAnsi="Verdana"/>
          <w:sz w:val="20"/>
          <w:szCs w:val="20"/>
          <w:lang w:val="es-ES"/>
        </w:rPr>
        <w:t>s en nuestra región</w:t>
      </w:r>
      <w:r w:rsidR="001F0550" w:rsidRPr="00727D33">
        <w:rPr>
          <w:rFonts w:ascii="Verdana" w:hAnsi="Verdana"/>
          <w:sz w:val="20"/>
          <w:szCs w:val="20"/>
          <w:lang w:val="es-ES"/>
        </w:rPr>
        <w:t xml:space="preserve"> que </w:t>
      </w:r>
      <w:r w:rsidR="00031E78" w:rsidRPr="00727D33">
        <w:rPr>
          <w:rFonts w:ascii="Verdana" w:hAnsi="Verdana"/>
          <w:sz w:val="20"/>
          <w:szCs w:val="20"/>
          <w:lang w:val="es-ES"/>
        </w:rPr>
        <w:t xml:space="preserve">dan cuenta </w:t>
      </w:r>
      <w:r w:rsidRPr="00727D33">
        <w:rPr>
          <w:rFonts w:ascii="Verdana" w:hAnsi="Verdana"/>
          <w:sz w:val="20"/>
          <w:szCs w:val="20"/>
          <w:lang w:val="es-ES"/>
        </w:rPr>
        <w:t>que en el corazón mismo del descontento latinoamericano descansa la brecha entre la prome</w:t>
      </w:r>
      <w:r w:rsidR="00031E78" w:rsidRPr="00727D33">
        <w:rPr>
          <w:rFonts w:ascii="Verdana" w:hAnsi="Verdana"/>
          <w:sz w:val="20"/>
          <w:szCs w:val="20"/>
          <w:lang w:val="es-ES"/>
        </w:rPr>
        <w:t xml:space="preserve">sa democrática y la realidad. Cercanos a los 25 años </w:t>
      </w:r>
      <w:r w:rsidR="004C4F64" w:rsidRPr="00727D33">
        <w:rPr>
          <w:rFonts w:ascii="Verdana" w:hAnsi="Verdana"/>
          <w:sz w:val="20"/>
          <w:szCs w:val="20"/>
          <w:lang w:val="es-ES"/>
        </w:rPr>
        <w:t>del siglo</w:t>
      </w:r>
      <w:r w:rsidR="00031E78" w:rsidRPr="00727D33">
        <w:rPr>
          <w:rFonts w:ascii="Verdana" w:hAnsi="Verdana"/>
          <w:sz w:val="20"/>
          <w:szCs w:val="20"/>
          <w:lang w:val="es-ES"/>
        </w:rPr>
        <w:t xml:space="preserve"> XXI, los pueblos </w:t>
      </w:r>
      <w:r w:rsidRPr="00727D33">
        <w:rPr>
          <w:rFonts w:ascii="Verdana" w:hAnsi="Verdana"/>
          <w:sz w:val="20"/>
          <w:szCs w:val="20"/>
          <w:lang w:val="es-ES"/>
        </w:rPr>
        <w:t>ha</w:t>
      </w:r>
      <w:r w:rsidR="00031E78" w:rsidRPr="00727D33">
        <w:rPr>
          <w:rFonts w:ascii="Verdana" w:hAnsi="Verdana"/>
          <w:sz w:val="20"/>
          <w:szCs w:val="20"/>
          <w:lang w:val="es-ES"/>
        </w:rPr>
        <w:t>n</w:t>
      </w:r>
      <w:r w:rsidRPr="00727D33">
        <w:rPr>
          <w:rFonts w:ascii="Verdana" w:hAnsi="Verdana"/>
          <w:sz w:val="20"/>
          <w:szCs w:val="20"/>
          <w:lang w:val="es-ES"/>
        </w:rPr>
        <w:t xml:space="preserve"> decidido que sus gobernantes no están a la altura de proyectos que busquen soluciones a los problemas que enfrentamos como sociedades. Problemas enraizados y de larga data, sólo por nombrar algunos: </w:t>
      </w:r>
      <w:r w:rsidR="00031E78" w:rsidRPr="00727D33">
        <w:rPr>
          <w:rFonts w:ascii="Verdana" w:hAnsi="Verdana"/>
          <w:sz w:val="20"/>
          <w:szCs w:val="20"/>
          <w:lang w:val="es-ES"/>
        </w:rPr>
        <w:t>c</w:t>
      </w:r>
      <w:r w:rsidR="008266B9" w:rsidRPr="00727D33">
        <w:rPr>
          <w:rFonts w:ascii="Verdana" w:hAnsi="Verdana"/>
          <w:sz w:val="20"/>
          <w:szCs w:val="20"/>
          <w:lang w:val="es-ES"/>
        </w:rPr>
        <w:t xml:space="preserve">oncentración de la riqueza y </w:t>
      </w:r>
      <w:r w:rsidR="00031E78" w:rsidRPr="00727D33">
        <w:rPr>
          <w:rFonts w:ascii="Verdana" w:hAnsi="Verdana"/>
          <w:sz w:val="20"/>
          <w:szCs w:val="20"/>
          <w:lang w:val="es-ES"/>
        </w:rPr>
        <w:t>socialización de</w:t>
      </w:r>
      <w:r w:rsidR="008266B9" w:rsidRPr="00727D33">
        <w:rPr>
          <w:rFonts w:ascii="Verdana" w:hAnsi="Verdana"/>
          <w:sz w:val="20"/>
          <w:szCs w:val="20"/>
          <w:lang w:val="es-ES"/>
        </w:rPr>
        <w:t xml:space="preserve"> la</w:t>
      </w:r>
      <w:r w:rsidR="00031E78" w:rsidRPr="00727D33">
        <w:rPr>
          <w:rFonts w:ascii="Verdana" w:hAnsi="Verdana"/>
          <w:sz w:val="20"/>
          <w:szCs w:val="20"/>
          <w:lang w:val="es-ES"/>
        </w:rPr>
        <w:t xml:space="preserve"> desigualdad</w:t>
      </w:r>
      <w:r w:rsidRPr="00727D33">
        <w:rPr>
          <w:rFonts w:ascii="Verdana" w:hAnsi="Verdana"/>
          <w:sz w:val="20"/>
          <w:szCs w:val="20"/>
          <w:lang w:val="es-ES"/>
        </w:rPr>
        <w:t xml:space="preserve">, la delincuencia </w:t>
      </w:r>
      <w:r w:rsidR="008266B9" w:rsidRPr="00727D33">
        <w:rPr>
          <w:rFonts w:ascii="Verdana" w:hAnsi="Verdana"/>
          <w:sz w:val="20"/>
          <w:szCs w:val="20"/>
          <w:lang w:val="es-ES"/>
        </w:rPr>
        <w:t>organizada en ascenso, el narcotráfico cooptando esferas del poder político, ejecuciones extrajudiciales de comunicadores sociales, líderes</w:t>
      </w:r>
      <w:r w:rsidR="00643B29" w:rsidRPr="00727D33">
        <w:rPr>
          <w:rFonts w:ascii="Verdana" w:hAnsi="Verdana"/>
          <w:sz w:val="20"/>
          <w:szCs w:val="20"/>
          <w:lang w:val="es-ES"/>
        </w:rPr>
        <w:t xml:space="preserve"> comunitarios y</w:t>
      </w:r>
      <w:r w:rsidR="008266B9" w:rsidRPr="00727D33">
        <w:rPr>
          <w:rFonts w:ascii="Verdana" w:hAnsi="Verdana"/>
          <w:sz w:val="20"/>
          <w:szCs w:val="20"/>
          <w:lang w:val="es-ES"/>
        </w:rPr>
        <w:t xml:space="preserve"> defensores de derechos humanos, irrefrenable incremento en las tasas de feminicid</w:t>
      </w:r>
      <w:r w:rsidRPr="00727D33">
        <w:rPr>
          <w:rFonts w:ascii="Verdana" w:hAnsi="Verdana"/>
          <w:sz w:val="20"/>
          <w:szCs w:val="20"/>
          <w:lang w:val="es-ES"/>
        </w:rPr>
        <w:t>io</w:t>
      </w:r>
      <w:r w:rsidR="00643B29" w:rsidRPr="00727D33">
        <w:rPr>
          <w:rFonts w:ascii="Verdana" w:hAnsi="Verdana"/>
          <w:sz w:val="20"/>
          <w:szCs w:val="20"/>
          <w:lang w:val="es-ES"/>
        </w:rPr>
        <w:t>s</w:t>
      </w:r>
      <w:r w:rsidR="008266B9" w:rsidRPr="00727D33">
        <w:rPr>
          <w:rFonts w:ascii="Verdana" w:hAnsi="Verdana"/>
          <w:sz w:val="20"/>
          <w:szCs w:val="20"/>
          <w:lang w:val="es-ES"/>
        </w:rPr>
        <w:t>, colapso de los servicios de salud</w:t>
      </w:r>
      <w:r w:rsidR="00643B29" w:rsidRPr="00727D33">
        <w:rPr>
          <w:rFonts w:ascii="Verdana" w:hAnsi="Verdana"/>
          <w:sz w:val="20"/>
          <w:szCs w:val="20"/>
          <w:lang w:val="es-ES"/>
        </w:rPr>
        <w:t>, educación y seguridad pública,</w:t>
      </w:r>
      <w:r w:rsidR="008266B9" w:rsidRPr="00727D33">
        <w:rPr>
          <w:rFonts w:ascii="Verdana" w:hAnsi="Verdana"/>
          <w:sz w:val="20"/>
          <w:szCs w:val="20"/>
          <w:lang w:val="es-ES"/>
        </w:rPr>
        <w:t xml:space="preserve"> dantesca devastación de las selvas, bosques tropicales y fuentes de agua, acompañado de una persistente perdida de apego y fe en la institucionalidad democrática, evidenciada en cifras que corroboran una constante </w:t>
      </w:r>
      <w:r w:rsidR="001F0550" w:rsidRPr="00727D33">
        <w:rPr>
          <w:rFonts w:ascii="Verdana" w:hAnsi="Verdana"/>
          <w:sz w:val="20"/>
          <w:szCs w:val="20"/>
          <w:lang w:val="es-ES"/>
        </w:rPr>
        <w:t>desvaloración</w:t>
      </w:r>
      <w:r w:rsidR="008266B9" w:rsidRPr="00727D33">
        <w:rPr>
          <w:rFonts w:ascii="Verdana" w:hAnsi="Verdana"/>
          <w:sz w:val="20"/>
          <w:szCs w:val="20"/>
          <w:lang w:val="es-ES"/>
        </w:rPr>
        <w:t xml:space="preserve"> de la participación activa de la gente en los procesos político electorales</w:t>
      </w:r>
      <w:r w:rsidR="001F0550" w:rsidRPr="00727D33">
        <w:rPr>
          <w:rFonts w:ascii="Verdana" w:hAnsi="Verdana"/>
          <w:sz w:val="20"/>
          <w:szCs w:val="20"/>
          <w:lang w:val="es-ES"/>
        </w:rPr>
        <w:t xml:space="preserve"> y en los asuntos públicos en general.</w:t>
      </w:r>
      <w:r w:rsidRPr="00727D33">
        <w:rPr>
          <w:rFonts w:ascii="Verdana" w:hAnsi="Verdana"/>
          <w:sz w:val="20"/>
          <w:szCs w:val="20"/>
          <w:lang w:val="es-ES"/>
        </w:rPr>
        <w:t xml:space="preserve"> </w:t>
      </w:r>
    </w:p>
    <w:p w:rsidR="00074219" w:rsidRPr="001D1F3C" w:rsidRDefault="003510D9" w:rsidP="001D1F3C">
      <w:pPr>
        <w:pStyle w:val="Prrafodelista"/>
        <w:numPr>
          <w:ilvl w:val="0"/>
          <w:numId w:val="12"/>
        </w:numPr>
        <w:tabs>
          <w:tab w:val="left" w:pos="567"/>
        </w:tabs>
        <w:spacing w:before="120" w:after="120"/>
        <w:ind w:left="0" w:hanging="11"/>
        <w:contextualSpacing w:val="0"/>
        <w:jc w:val="both"/>
        <w:rPr>
          <w:rFonts w:ascii="Verdana" w:hAnsi="Verdana"/>
          <w:sz w:val="20"/>
          <w:szCs w:val="20"/>
          <w:lang w:val="es-ES"/>
        </w:rPr>
      </w:pPr>
      <w:r w:rsidRPr="00727D33">
        <w:rPr>
          <w:rFonts w:ascii="Verdana" w:hAnsi="Verdana"/>
          <w:sz w:val="20"/>
          <w:szCs w:val="20"/>
          <w:lang w:val="es-ES"/>
        </w:rPr>
        <w:lastRenderedPageBreak/>
        <w:t>Estoy plenamente convencido que, en un primer nivel, la respuesta a estas problemáticas recae en consolidar políticas públicas desde una visión derechos humanos. Sin embargo, esa misma convicción no es similar cuando se me plantea que las patologías políticas que vivimos pueden ser resueltas con una simple receta prescrita por órganos internacionales, por una receta que incluya embalsar el rio del descontento p</w:t>
      </w:r>
      <w:r w:rsidR="00643B29" w:rsidRPr="00727D33">
        <w:rPr>
          <w:rFonts w:ascii="Verdana" w:hAnsi="Verdana"/>
          <w:sz w:val="20"/>
          <w:szCs w:val="20"/>
          <w:lang w:val="es-ES"/>
        </w:rPr>
        <w:t xml:space="preserve">opular en modelos </w:t>
      </w:r>
      <w:r w:rsidRPr="00727D33">
        <w:rPr>
          <w:rFonts w:ascii="Verdana" w:hAnsi="Verdana"/>
          <w:sz w:val="20"/>
          <w:szCs w:val="20"/>
          <w:lang w:val="es-ES"/>
        </w:rPr>
        <w:t>de democracia</w:t>
      </w:r>
      <w:r w:rsidR="00643B29" w:rsidRPr="00727D33">
        <w:rPr>
          <w:rFonts w:ascii="Verdana" w:hAnsi="Verdana"/>
          <w:sz w:val="20"/>
          <w:szCs w:val="20"/>
          <w:lang w:val="es-ES"/>
        </w:rPr>
        <w:t xml:space="preserve"> que se inhiben y blindan ante cualquier atisbo de cambio o impugnación de sus fundamentos centenarios</w:t>
      </w:r>
      <w:r w:rsidRPr="00727D33">
        <w:rPr>
          <w:rFonts w:ascii="Verdana" w:hAnsi="Verdana"/>
          <w:sz w:val="20"/>
          <w:szCs w:val="20"/>
          <w:lang w:val="es-ES"/>
        </w:rPr>
        <w:t>. Es que este río de demandas sociales no encontrará nunca su encauce en sistemas democráticos inflexibles, importados y modélicos</w:t>
      </w:r>
      <w:r w:rsidR="00643B29" w:rsidRPr="00727D33">
        <w:rPr>
          <w:rFonts w:ascii="Verdana" w:hAnsi="Verdana"/>
          <w:sz w:val="20"/>
          <w:szCs w:val="20"/>
          <w:lang w:val="es-ES"/>
        </w:rPr>
        <w:t xml:space="preserve"> que resisten </w:t>
      </w:r>
      <w:r w:rsidR="004C4F64" w:rsidRPr="00727D33">
        <w:rPr>
          <w:rFonts w:ascii="Verdana" w:hAnsi="Verdana"/>
          <w:sz w:val="20"/>
          <w:szCs w:val="20"/>
          <w:lang w:val="es-ES"/>
        </w:rPr>
        <w:t>cualquier llamado</w:t>
      </w:r>
      <w:r w:rsidR="00643B29" w:rsidRPr="00727D33">
        <w:rPr>
          <w:rFonts w:ascii="Verdana" w:hAnsi="Verdana"/>
          <w:sz w:val="20"/>
          <w:szCs w:val="20"/>
          <w:lang w:val="es-ES"/>
        </w:rPr>
        <w:t xml:space="preserve"> al cambio y la reformulación sustantiva de sus fundamentos</w:t>
      </w:r>
      <w:r w:rsidRPr="00727D33">
        <w:rPr>
          <w:rFonts w:ascii="Verdana" w:hAnsi="Verdana"/>
          <w:sz w:val="20"/>
          <w:szCs w:val="20"/>
          <w:lang w:val="es-ES"/>
        </w:rPr>
        <w:t>. El remedio sería mucho peor que la enfermedad.</w:t>
      </w:r>
    </w:p>
    <w:p w:rsidR="00074219" w:rsidRPr="00F245B0" w:rsidRDefault="00643B29" w:rsidP="001D1F3C">
      <w:pPr>
        <w:pStyle w:val="Prrafodelista"/>
        <w:numPr>
          <w:ilvl w:val="0"/>
          <w:numId w:val="12"/>
        </w:numPr>
        <w:tabs>
          <w:tab w:val="left" w:pos="567"/>
        </w:tabs>
        <w:spacing w:before="120" w:after="120"/>
        <w:ind w:left="0" w:hanging="11"/>
        <w:contextualSpacing w:val="0"/>
        <w:jc w:val="both"/>
        <w:rPr>
          <w:rFonts w:ascii="Verdana" w:hAnsi="Verdana"/>
          <w:sz w:val="20"/>
          <w:szCs w:val="20"/>
          <w:lang w:val="es-ES"/>
        </w:rPr>
      </w:pPr>
      <w:r w:rsidRPr="00727D33">
        <w:rPr>
          <w:rFonts w:ascii="Verdana" w:hAnsi="Verdana"/>
          <w:sz w:val="20"/>
          <w:szCs w:val="20"/>
          <w:lang w:val="es-ES"/>
        </w:rPr>
        <w:t>Sin ánimo</w:t>
      </w:r>
      <w:r w:rsidR="003510D9" w:rsidRPr="00727D33">
        <w:rPr>
          <w:rFonts w:ascii="Verdana" w:hAnsi="Verdana"/>
          <w:sz w:val="20"/>
          <w:szCs w:val="20"/>
          <w:lang w:val="es-ES"/>
        </w:rPr>
        <w:t xml:space="preserve"> de ser autorreferencial, pero sí considerando que la lógica argumenta</w:t>
      </w:r>
      <w:r w:rsidRPr="00727D33">
        <w:rPr>
          <w:rFonts w:ascii="Verdana" w:hAnsi="Verdana"/>
          <w:sz w:val="20"/>
          <w:szCs w:val="20"/>
          <w:lang w:val="es-ES"/>
        </w:rPr>
        <w:t>tiva así lo requiere y en aras de</w:t>
      </w:r>
      <w:r w:rsidR="003510D9" w:rsidRPr="00727D33">
        <w:rPr>
          <w:rFonts w:ascii="Verdana" w:hAnsi="Verdana"/>
          <w:sz w:val="20"/>
          <w:szCs w:val="20"/>
          <w:lang w:val="es-ES"/>
        </w:rPr>
        <w:t xml:space="preserve"> ser consecuente en mi pensamiento</w:t>
      </w:r>
      <w:r w:rsidRPr="00727D33">
        <w:rPr>
          <w:rFonts w:ascii="Verdana" w:hAnsi="Verdana"/>
          <w:sz w:val="20"/>
          <w:szCs w:val="20"/>
          <w:lang w:val="es-ES"/>
        </w:rPr>
        <w:t xml:space="preserve"> y actuación</w:t>
      </w:r>
      <w:r w:rsidR="003510D9" w:rsidRPr="00727D33">
        <w:rPr>
          <w:rFonts w:ascii="Verdana" w:hAnsi="Verdana"/>
          <w:sz w:val="20"/>
          <w:szCs w:val="20"/>
          <w:lang w:val="es-ES"/>
        </w:rPr>
        <w:t>, debo reconocer que he iniciado ya una conversación sobre la democracia participativa en el Voto a Favor y Parcialmente Disidente de la</w:t>
      </w:r>
      <w:r w:rsidRPr="00727D33">
        <w:rPr>
          <w:rFonts w:ascii="Verdana" w:hAnsi="Verdana"/>
          <w:sz w:val="20"/>
          <w:szCs w:val="20"/>
          <w:lang w:val="es-ES"/>
        </w:rPr>
        <w:t xml:space="preserve"> Opinión Consultiva 26 sobre ‘‘L</w:t>
      </w:r>
      <w:r w:rsidR="003510D9" w:rsidRPr="00727D33">
        <w:rPr>
          <w:rFonts w:ascii="Verdana" w:hAnsi="Verdana"/>
          <w:sz w:val="20"/>
          <w:szCs w:val="20"/>
          <w:lang w:val="es-ES"/>
        </w:rPr>
        <w:t>a denuncia de la Convención Americana sobre Derechos Humanos y de la Carta de la Organización de Los Estados Americanos y sus efectos sobre las obligaciones estatales en materia de derechos humanos’’</w:t>
      </w:r>
      <w:r w:rsidR="003510D9" w:rsidRPr="00727D33">
        <w:rPr>
          <w:rStyle w:val="Refdenotaalpie"/>
          <w:rFonts w:ascii="Verdana" w:hAnsi="Verdana"/>
          <w:sz w:val="20"/>
          <w:szCs w:val="20"/>
          <w:lang w:val="es-ES"/>
        </w:rPr>
        <w:footnoteReference w:id="9"/>
      </w:r>
      <w:r w:rsidR="003510D9" w:rsidRPr="00727D33">
        <w:rPr>
          <w:rFonts w:ascii="Verdana" w:hAnsi="Verdana"/>
          <w:sz w:val="20"/>
          <w:szCs w:val="20"/>
          <w:lang w:val="es-ES"/>
        </w:rPr>
        <w:t>. En dicha ocasión, la mayoría de la Corte no optó por entrar a desarrollar con mayor precisión cuál es el contenido del principio democrático. Al igual que en esta Opinión Consultiva</w:t>
      </w:r>
      <w:r w:rsidR="00F245B0">
        <w:rPr>
          <w:rFonts w:ascii="Verdana" w:hAnsi="Verdana"/>
          <w:sz w:val="20"/>
          <w:szCs w:val="20"/>
          <w:lang w:val="es-ES"/>
        </w:rPr>
        <w:t>,</w:t>
      </w:r>
      <w:r w:rsidR="003510D9" w:rsidRPr="00727D33">
        <w:rPr>
          <w:rFonts w:ascii="Verdana" w:hAnsi="Verdana"/>
          <w:sz w:val="20"/>
          <w:szCs w:val="20"/>
          <w:lang w:val="es-ES"/>
        </w:rPr>
        <w:t xml:space="preserve"> se tomó como ‘‘inspiración’’ a la Carta Democrática Interamericana para repetir la relevancia de ciertas fórmulas que pueden llegar a parecer discursivas, pero que en el fondo traen consigo el peligro que tiene repetir varias veces una frase y es que quede enquistada como una irrefutable verdad, o como la única versión de aquello que consideramos democracia. No podemos seguir agotando la discusión respecto del principio democrático y la democr</w:t>
      </w:r>
      <w:r w:rsidR="00D92649" w:rsidRPr="00727D33">
        <w:rPr>
          <w:rFonts w:ascii="Verdana" w:hAnsi="Verdana"/>
          <w:sz w:val="20"/>
          <w:szCs w:val="20"/>
          <w:lang w:val="es-ES"/>
        </w:rPr>
        <w:t>acia, al considerarla única y casi excluyentemente como la única: la de una forma de democracia donde nos repres</w:t>
      </w:r>
      <w:r w:rsidR="00E265C1" w:rsidRPr="00727D33">
        <w:rPr>
          <w:rFonts w:ascii="Verdana" w:hAnsi="Verdana"/>
          <w:sz w:val="20"/>
          <w:szCs w:val="20"/>
          <w:lang w:val="es-ES"/>
        </w:rPr>
        <w:t xml:space="preserve">entan y a quienes delegamos </w:t>
      </w:r>
      <w:r w:rsidR="00D92649" w:rsidRPr="00727D33">
        <w:rPr>
          <w:rFonts w:ascii="Verdana" w:hAnsi="Verdana"/>
          <w:sz w:val="20"/>
          <w:szCs w:val="20"/>
          <w:lang w:val="es-ES"/>
        </w:rPr>
        <w:t>hagan la gobernanza de las naciones</w:t>
      </w:r>
      <w:r w:rsidR="00E265C1" w:rsidRPr="00727D33">
        <w:rPr>
          <w:rFonts w:ascii="Verdana" w:hAnsi="Verdana"/>
          <w:sz w:val="20"/>
          <w:szCs w:val="20"/>
          <w:lang w:val="es-ES"/>
        </w:rPr>
        <w:t>, en nuestro nombre</w:t>
      </w:r>
      <w:r w:rsidR="00D92649" w:rsidRPr="00727D33">
        <w:rPr>
          <w:rFonts w:ascii="Verdana" w:hAnsi="Verdana"/>
          <w:sz w:val="20"/>
          <w:szCs w:val="20"/>
          <w:lang w:val="es-ES"/>
        </w:rPr>
        <w:t xml:space="preserve">. </w:t>
      </w:r>
      <w:r w:rsidR="00456031" w:rsidRPr="00727D33">
        <w:rPr>
          <w:rFonts w:ascii="Verdana" w:hAnsi="Verdana"/>
          <w:sz w:val="20"/>
          <w:szCs w:val="20"/>
          <w:lang w:val="es-ES"/>
        </w:rPr>
        <w:t>El quindenio de este siglo presenci</w:t>
      </w:r>
      <w:r w:rsidR="00F34C53">
        <w:rPr>
          <w:rFonts w:ascii="Verdana" w:hAnsi="Verdana"/>
          <w:sz w:val="20"/>
          <w:szCs w:val="20"/>
          <w:lang w:val="es-ES"/>
        </w:rPr>
        <w:t>ó</w:t>
      </w:r>
      <w:r w:rsidR="00456031" w:rsidRPr="00727D33">
        <w:rPr>
          <w:rFonts w:ascii="Verdana" w:hAnsi="Verdana"/>
          <w:sz w:val="20"/>
          <w:szCs w:val="20"/>
          <w:lang w:val="es-ES"/>
        </w:rPr>
        <w:t xml:space="preserve"> la condensación de anhelos constitucionales que reformularon coordenadas institucionales percibidas como inamovibles, conceptos que reformularon y enriquecieron la noción de la representación con la agregación de la participación de la gente y la reformulación de los modelos económicos inspirados en la</w:t>
      </w:r>
      <w:r w:rsidRPr="00727D33">
        <w:rPr>
          <w:rFonts w:ascii="Verdana" w:hAnsi="Verdana"/>
          <w:sz w:val="20"/>
          <w:szCs w:val="20"/>
          <w:lang w:val="es-ES"/>
        </w:rPr>
        <w:t xml:space="preserve"> producción y la redistribución de las ganancias. L</w:t>
      </w:r>
      <w:r w:rsidR="00456031" w:rsidRPr="00727D33">
        <w:rPr>
          <w:rFonts w:ascii="Verdana" w:hAnsi="Verdana"/>
          <w:sz w:val="20"/>
          <w:szCs w:val="20"/>
          <w:lang w:val="es-ES"/>
        </w:rPr>
        <w:t>a</w:t>
      </w:r>
      <w:r w:rsidR="003510D9" w:rsidRPr="00727D33">
        <w:rPr>
          <w:rFonts w:ascii="Verdana" w:hAnsi="Verdana"/>
          <w:sz w:val="20"/>
          <w:szCs w:val="20"/>
          <w:lang w:val="es-ES"/>
        </w:rPr>
        <w:t xml:space="preserve"> región</w:t>
      </w:r>
      <w:r w:rsidR="00D92649" w:rsidRPr="00727D33">
        <w:rPr>
          <w:rFonts w:ascii="Verdana" w:hAnsi="Verdana"/>
          <w:sz w:val="20"/>
          <w:szCs w:val="20"/>
          <w:lang w:val="es-ES"/>
        </w:rPr>
        <w:t xml:space="preserve"> ha construido, a partir de </w:t>
      </w:r>
      <w:r w:rsidR="00456031" w:rsidRPr="00727D33">
        <w:rPr>
          <w:rFonts w:ascii="Verdana" w:hAnsi="Verdana"/>
          <w:sz w:val="20"/>
          <w:szCs w:val="20"/>
          <w:lang w:val="es-ES"/>
        </w:rPr>
        <w:t xml:space="preserve">inéditos procesos sociales, </w:t>
      </w:r>
      <w:r w:rsidR="002B3039" w:rsidRPr="00727D33">
        <w:rPr>
          <w:rFonts w:ascii="Verdana" w:hAnsi="Verdana"/>
          <w:sz w:val="20"/>
          <w:szCs w:val="20"/>
          <w:lang w:val="es-ES"/>
        </w:rPr>
        <w:t>trasformaciones</w:t>
      </w:r>
      <w:r w:rsidR="00456031" w:rsidRPr="00727D33">
        <w:rPr>
          <w:rFonts w:ascii="Verdana" w:hAnsi="Verdana"/>
          <w:sz w:val="20"/>
          <w:szCs w:val="20"/>
          <w:lang w:val="es-ES"/>
        </w:rPr>
        <w:t xml:space="preserve"> </w:t>
      </w:r>
      <w:r w:rsidR="002B3039" w:rsidRPr="00727D33">
        <w:rPr>
          <w:rFonts w:ascii="Verdana" w:hAnsi="Verdana"/>
          <w:sz w:val="20"/>
          <w:szCs w:val="20"/>
          <w:lang w:val="es-ES"/>
        </w:rPr>
        <w:t>constitucionales</w:t>
      </w:r>
      <w:r w:rsidR="00456031" w:rsidRPr="00727D33">
        <w:rPr>
          <w:rFonts w:ascii="Verdana" w:hAnsi="Verdana"/>
          <w:sz w:val="20"/>
          <w:szCs w:val="20"/>
          <w:lang w:val="es-ES"/>
        </w:rPr>
        <w:t xml:space="preserve"> profundas</w:t>
      </w:r>
      <w:r w:rsidRPr="00727D33">
        <w:rPr>
          <w:rFonts w:ascii="Verdana" w:hAnsi="Verdana"/>
          <w:sz w:val="20"/>
          <w:szCs w:val="20"/>
          <w:lang w:val="es-ES"/>
        </w:rPr>
        <w:t xml:space="preserve"> y en el marco de la democracia electoral. La gente común</w:t>
      </w:r>
      <w:r w:rsidR="00304367" w:rsidRPr="00727D33">
        <w:rPr>
          <w:rFonts w:ascii="Verdana" w:hAnsi="Verdana"/>
          <w:sz w:val="20"/>
          <w:szCs w:val="20"/>
          <w:lang w:val="es-ES"/>
        </w:rPr>
        <w:t xml:space="preserve"> demanda</w:t>
      </w:r>
      <w:r w:rsidR="003510D9" w:rsidRPr="00727D33">
        <w:rPr>
          <w:rFonts w:ascii="Verdana" w:hAnsi="Verdana"/>
          <w:sz w:val="20"/>
          <w:szCs w:val="20"/>
          <w:lang w:val="es-ES"/>
        </w:rPr>
        <w:t xml:space="preserve"> a gritos, en las calles o en los últimos latidos de los corazones que se apagan </w:t>
      </w:r>
      <w:r w:rsidR="002B3039" w:rsidRPr="00727D33">
        <w:rPr>
          <w:rFonts w:ascii="Verdana" w:hAnsi="Verdana"/>
          <w:sz w:val="20"/>
          <w:szCs w:val="20"/>
          <w:lang w:val="es-ES"/>
        </w:rPr>
        <w:t>producto de esta pandemia,</w:t>
      </w:r>
      <w:r w:rsidR="003510D9" w:rsidRPr="00727D33">
        <w:rPr>
          <w:rFonts w:ascii="Verdana" w:hAnsi="Verdana"/>
          <w:sz w:val="20"/>
          <w:szCs w:val="20"/>
          <w:lang w:val="es-ES"/>
        </w:rPr>
        <w:t xml:space="preserve"> modelo</w:t>
      </w:r>
      <w:r w:rsidR="002B3039" w:rsidRPr="00727D33">
        <w:rPr>
          <w:rFonts w:ascii="Verdana" w:hAnsi="Verdana"/>
          <w:sz w:val="20"/>
          <w:szCs w:val="20"/>
          <w:lang w:val="es-ES"/>
        </w:rPr>
        <w:t>s</w:t>
      </w:r>
      <w:r w:rsidR="003510D9" w:rsidRPr="00727D33">
        <w:rPr>
          <w:rFonts w:ascii="Verdana" w:hAnsi="Verdana"/>
          <w:sz w:val="20"/>
          <w:szCs w:val="20"/>
          <w:lang w:val="es-ES"/>
        </w:rPr>
        <w:t xml:space="preserve"> que realmente nos represente</w:t>
      </w:r>
      <w:r w:rsidR="00304367" w:rsidRPr="00727D33">
        <w:rPr>
          <w:rFonts w:ascii="Verdana" w:hAnsi="Verdana"/>
          <w:sz w:val="20"/>
          <w:szCs w:val="20"/>
          <w:lang w:val="es-ES"/>
        </w:rPr>
        <w:t>n</w:t>
      </w:r>
      <w:r w:rsidR="003510D9" w:rsidRPr="00727D33">
        <w:rPr>
          <w:rFonts w:ascii="Verdana" w:hAnsi="Verdana"/>
          <w:sz w:val="20"/>
          <w:szCs w:val="20"/>
          <w:lang w:val="es-ES"/>
        </w:rPr>
        <w:t xml:space="preserve"> a </w:t>
      </w:r>
      <w:r w:rsidR="00D92649" w:rsidRPr="00727D33">
        <w:rPr>
          <w:rFonts w:ascii="Verdana" w:hAnsi="Verdana"/>
          <w:sz w:val="20"/>
          <w:szCs w:val="20"/>
          <w:lang w:val="es-ES"/>
        </w:rPr>
        <w:t xml:space="preserve">los americanos y las americanas, desde los contenidos </w:t>
      </w:r>
      <w:r w:rsidR="00304367" w:rsidRPr="00727D33">
        <w:rPr>
          <w:rFonts w:ascii="Verdana" w:hAnsi="Verdana"/>
          <w:sz w:val="20"/>
          <w:szCs w:val="20"/>
          <w:lang w:val="es-ES"/>
        </w:rPr>
        <w:t>de una</w:t>
      </w:r>
      <w:r w:rsidR="003510D9" w:rsidRPr="00727D33">
        <w:rPr>
          <w:rFonts w:ascii="Verdana" w:hAnsi="Verdana"/>
          <w:sz w:val="20"/>
          <w:szCs w:val="20"/>
          <w:lang w:val="es-ES"/>
        </w:rPr>
        <w:t xml:space="preserve"> democracia</w:t>
      </w:r>
      <w:r w:rsidR="002B3039" w:rsidRPr="00727D33">
        <w:rPr>
          <w:rFonts w:ascii="Verdana" w:hAnsi="Verdana"/>
          <w:sz w:val="20"/>
          <w:szCs w:val="20"/>
          <w:lang w:val="es-ES"/>
        </w:rPr>
        <w:t xml:space="preserve"> representativa que incluya en su ADN institucional y cultural la participación activa, responsable y propositiva </w:t>
      </w:r>
      <w:r w:rsidR="00304367" w:rsidRPr="00727D33">
        <w:rPr>
          <w:rFonts w:ascii="Verdana" w:hAnsi="Verdana"/>
          <w:sz w:val="20"/>
          <w:szCs w:val="20"/>
          <w:lang w:val="es-ES"/>
        </w:rPr>
        <w:t xml:space="preserve">de la ciudadanía, para ser partícipes </w:t>
      </w:r>
      <w:r w:rsidR="002B3039" w:rsidRPr="00727D33">
        <w:rPr>
          <w:rFonts w:ascii="Verdana" w:hAnsi="Verdana"/>
          <w:sz w:val="20"/>
          <w:szCs w:val="20"/>
          <w:lang w:val="es-ES"/>
        </w:rPr>
        <w:t>en el diseño y la gestión de la cosa pública</w:t>
      </w:r>
      <w:r w:rsidR="003510D9" w:rsidRPr="00727D33">
        <w:rPr>
          <w:rFonts w:ascii="Verdana" w:hAnsi="Verdana"/>
          <w:sz w:val="20"/>
          <w:szCs w:val="20"/>
          <w:lang w:val="es-ES"/>
        </w:rPr>
        <w:t xml:space="preserve"> </w:t>
      </w:r>
      <w:r w:rsidR="002B3039" w:rsidRPr="00727D33">
        <w:rPr>
          <w:rFonts w:ascii="Verdana" w:hAnsi="Verdana"/>
          <w:sz w:val="20"/>
          <w:szCs w:val="20"/>
          <w:lang w:val="es-ES"/>
        </w:rPr>
        <w:t>que gire alrededor del bien común, del buen vivir.</w:t>
      </w:r>
      <w:r w:rsidR="003510D9" w:rsidRPr="00727D33">
        <w:rPr>
          <w:rFonts w:ascii="Verdana" w:hAnsi="Verdana"/>
          <w:sz w:val="20"/>
          <w:szCs w:val="20"/>
          <w:lang w:val="es-ES"/>
        </w:rPr>
        <w:t xml:space="preserve"> </w:t>
      </w:r>
    </w:p>
    <w:p w:rsidR="00074219" w:rsidRPr="001D1F3C" w:rsidRDefault="003510D9" w:rsidP="001D1F3C">
      <w:pPr>
        <w:pStyle w:val="Prrafodelista"/>
        <w:numPr>
          <w:ilvl w:val="0"/>
          <w:numId w:val="12"/>
        </w:numPr>
        <w:tabs>
          <w:tab w:val="left" w:pos="567"/>
        </w:tabs>
        <w:spacing w:before="120" w:after="120"/>
        <w:ind w:left="0" w:hanging="11"/>
        <w:contextualSpacing w:val="0"/>
        <w:jc w:val="both"/>
        <w:rPr>
          <w:rFonts w:ascii="Verdana" w:hAnsi="Verdana"/>
          <w:sz w:val="20"/>
          <w:szCs w:val="20"/>
          <w:lang w:val="es-ES"/>
        </w:rPr>
      </w:pPr>
      <w:r w:rsidRPr="00727D33">
        <w:rPr>
          <w:rFonts w:ascii="Verdana" w:hAnsi="Verdana"/>
          <w:sz w:val="20"/>
          <w:szCs w:val="20"/>
          <w:lang w:val="es-ES"/>
        </w:rPr>
        <w:t xml:space="preserve">Tal como señalé en su momento, </w:t>
      </w:r>
      <w:r w:rsidRPr="00727D33">
        <w:rPr>
          <w:rFonts w:ascii="Verdana" w:hAnsi="Verdana"/>
          <w:sz w:val="20"/>
          <w:szCs w:val="20"/>
        </w:rPr>
        <w:t xml:space="preserve">en nuestra región, donde existe pluralidad de sistemas jurídicos y políticos de raigambre y tradición, culturalmente diversos, la democracia representativa, en su concepción más acotada, resulta insuficiente para agotar las exigencias del principio democrático. Hace ya varios años, eventualmente luego de la fase nefasta de la época dictatorial, a partir de los años ochenta, se viene desarrollando en América Latina un constitucionalismo que busca no sólo reconocer los derechos de las mujeres, de los pueblos indígenas y tribales o de los colectivos de </w:t>
      </w:r>
      <w:r w:rsidRPr="00727D33">
        <w:rPr>
          <w:rFonts w:ascii="Verdana" w:hAnsi="Verdana"/>
          <w:sz w:val="20"/>
          <w:szCs w:val="20"/>
        </w:rPr>
        <w:lastRenderedPageBreak/>
        <w:t>diversidad sexual, sino su plena participación en los asuntos públicos</w:t>
      </w:r>
      <w:r w:rsidRPr="00727D33">
        <w:rPr>
          <w:rStyle w:val="Refdenotaalpie"/>
          <w:rFonts w:ascii="Verdana" w:hAnsi="Verdana"/>
          <w:sz w:val="20"/>
          <w:szCs w:val="20"/>
        </w:rPr>
        <w:footnoteReference w:id="10"/>
      </w:r>
      <w:r w:rsidRPr="00727D33">
        <w:rPr>
          <w:rFonts w:ascii="Verdana" w:hAnsi="Verdana"/>
          <w:sz w:val="20"/>
          <w:szCs w:val="20"/>
        </w:rPr>
        <w:t>. Por ello consid</w:t>
      </w:r>
      <w:r w:rsidR="00F5274D" w:rsidRPr="00727D33">
        <w:rPr>
          <w:rFonts w:ascii="Verdana" w:hAnsi="Verdana"/>
          <w:sz w:val="20"/>
          <w:szCs w:val="20"/>
        </w:rPr>
        <w:t xml:space="preserve">ero que la Corte Interamericana, como marco de referencia para el debate jurídico convencional debe </w:t>
      </w:r>
      <w:r w:rsidR="00714242" w:rsidRPr="00727D33">
        <w:rPr>
          <w:rFonts w:ascii="Verdana" w:hAnsi="Verdana"/>
          <w:sz w:val="20"/>
          <w:szCs w:val="20"/>
        </w:rPr>
        <w:t>profundizar</w:t>
      </w:r>
      <w:r w:rsidRPr="00727D33">
        <w:rPr>
          <w:rFonts w:ascii="Verdana" w:hAnsi="Verdana"/>
          <w:sz w:val="20"/>
          <w:szCs w:val="20"/>
        </w:rPr>
        <w:t xml:space="preserve"> el concepto de democracia p</w:t>
      </w:r>
      <w:r w:rsidR="00304367" w:rsidRPr="00727D33">
        <w:rPr>
          <w:rFonts w:ascii="Verdana" w:hAnsi="Verdana"/>
          <w:sz w:val="20"/>
          <w:szCs w:val="20"/>
        </w:rPr>
        <w:t>ara enriquecer</w:t>
      </w:r>
      <w:r w:rsidRPr="00727D33">
        <w:rPr>
          <w:rFonts w:ascii="Verdana" w:hAnsi="Verdana"/>
          <w:sz w:val="20"/>
          <w:szCs w:val="20"/>
        </w:rPr>
        <w:t xml:space="preserve"> tanto la </w:t>
      </w:r>
      <w:r w:rsidR="00304367" w:rsidRPr="00727D33">
        <w:rPr>
          <w:rFonts w:ascii="Verdana" w:hAnsi="Verdana"/>
          <w:sz w:val="20"/>
          <w:szCs w:val="20"/>
        </w:rPr>
        <w:t xml:space="preserve">noción de </w:t>
      </w:r>
      <w:r w:rsidRPr="00727D33">
        <w:rPr>
          <w:rFonts w:ascii="Verdana" w:hAnsi="Verdana"/>
          <w:sz w:val="20"/>
          <w:szCs w:val="20"/>
        </w:rPr>
        <w:t>democracia representativa como</w:t>
      </w:r>
      <w:r w:rsidR="00304367" w:rsidRPr="00727D33">
        <w:rPr>
          <w:rFonts w:ascii="Verdana" w:hAnsi="Verdana"/>
          <w:sz w:val="20"/>
          <w:szCs w:val="20"/>
        </w:rPr>
        <w:t xml:space="preserve"> su componente participativo</w:t>
      </w:r>
      <w:r w:rsidRPr="00727D33">
        <w:rPr>
          <w:rFonts w:ascii="Verdana" w:hAnsi="Verdana"/>
          <w:sz w:val="20"/>
          <w:szCs w:val="20"/>
        </w:rPr>
        <w:t>. En esta medida el principio democrático no sólo se agota en la representación formal, sino que requi</w:t>
      </w:r>
      <w:r w:rsidR="00F5274D" w:rsidRPr="00727D33">
        <w:rPr>
          <w:rFonts w:ascii="Verdana" w:hAnsi="Verdana"/>
          <w:sz w:val="20"/>
          <w:szCs w:val="20"/>
        </w:rPr>
        <w:t xml:space="preserve">ere incorporar el concepto de </w:t>
      </w:r>
      <w:r w:rsidRPr="00727D33">
        <w:rPr>
          <w:rFonts w:ascii="Verdana" w:hAnsi="Verdana"/>
          <w:sz w:val="20"/>
          <w:szCs w:val="20"/>
        </w:rPr>
        <w:t>democracia</w:t>
      </w:r>
      <w:r w:rsidR="00304367" w:rsidRPr="00727D33">
        <w:rPr>
          <w:rFonts w:ascii="Verdana" w:hAnsi="Verdana"/>
          <w:sz w:val="20"/>
          <w:szCs w:val="20"/>
        </w:rPr>
        <w:t xml:space="preserve"> sustancial</w:t>
      </w:r>
      <w:r w:rsidRPr="00727D33">
        <w:rPr>
          <w:rFonts w:ascii="Verdana" w:hAnsi="Verdana"/>
          <w:sz w:val="20"/>
          <w:szCs w:val="20"/>
        </w:rPr>
        <w:t xml:space="preserve"> participativa</w:t>
      </w:r>
      <w:r w:rsidR="00304367" w:rsidRPr="00727D33">
        <w:rPr>
          <w:rFonts w:ascii="Verdana" w:hAnsi="Verdana"/>
          <w:sz w:val="20"/>
          <w:szCs w:val="20"/>
        </w:rPr>
        <w:t>, inclusiva, no excluyente</w:t>
      </w:r>
      <w:r w:rsidR="00F5274D" w:rsidRPr="00727D33">
        <w:rPr>
          <w:rFonts w:ascii="Verdana" w:hAnsi="Verdana"/>
          <w:sz w:val="20"/>
          <w:szCs w:val="20"/>
        </w:rPr>
        <w:t xml:space="preserve">, generosa y prodiga en la recepción de transformaciones y cambios, </w:t>
      </w:r>
      <w:r w:rsidR="00304367" w:rsidRPr="00727D33">
        <w:rPr>
          <w:rFonts w:ascii="Verdana" w:hAnsi="Verdana"/>
          <w:sz w:val="20"/>
          <w:szCs w:val="20"/>
        </w:rPr>
        <w:t>distante de la confrontación y el odio ante lo diverso, lo diferente</w:t>
      </w:r>
      <w:r w:rsidR="00F5274D" w:rsidRPr="00727D33">
        <w:rPr>
          <w:rFonts w:ascii="Verdana" w:hAnsi="Verdana"/>
          <w:sz w:val="20"/>
          <w:szCs w:val="20"/>
        </w:rPr>
        <w:t>, el otro.</w:t>
      </w:r>
      <w:r w:rsidRPr="00727D33">
        <w:rPr>
          <w:rFonts w:ascii="Verdana" w:hAnsi="Verdana"/>
          <w:sz w:val="20"/>
          <w:szCs w:val="20"/>
        </w:rPr>
        <w:t xml:space="preserve"> </w:t>
      </w:r>
    </w:p>
    <w:p w:rsidR="003510D9" w:rsidRPr="00F245B0" w:rsidRDefault="00F5274D" w:rsidP="001D1F3C">
      <w:pPr>
        <w:pStyle w:val="Prrafodelista"/>
        <w:numPr>
          <w:ilvl w:val="0"/>
          <w:numId w:val="12"/>
        </w:numPr>
        <w:tabs>
          <w:tab w:val="left" w:pos="567"/>
        </w:tabs>
        <w:spacing w:before="120" w:after="120"/>
        <w:ind w:left="0" w:hanging="11"/>
        <w:contextualSpacing w:val="0"/>
        <w:jc w:val="both"/>
        <w:rPr>
          <w:rFonts w:ascii="Verdana" w:hAnsi="Verdana"/>
          <w:sz w:val="20"/>
          <w:szCs w:val="20"/>
          <w:lang w:val="es-ES"/>
        </w:rPr>
      </w:pPr>
      <w:r w:rsidRPr="00727D33">
        <w:rPr>
          <w:rFonts w:ascii="Verdana" w:hAnsi="Verdana"/>
          <w:sz w:val="20"/>
          <w:szCs w:val="20"/>
        </w:rPr>
        <w:t>Es urgente y actual refrendar una hermenéutica convencional que en sus presupuestos se oriente</w:t>
      </w:r>
      <w:r w:rsidR="003510D9" w:rsidRPr="00727D33">
        <w:rPr>
          <w:rFonts w:ascii="Verdana" w:hAnsi="Verdana"/>
          <w:sz w:val="20"/>
          <w:szCs w:val="20"/>
        </w:rPr>
        <w:t xml:space="preserve"> </w:t>
      </w:r>
      <w:r w:rsidRPr="00727D33">
        <w:rPr>
          <w:rFonts w:ascii="Verdana" w:hAnsi="Verdana"/>
          <w:sz w:val="20"/>
          <w:szCs w:val="20"/>
        </w:rPr>
        <w:t>y esté dispuesta a reconocer</w:t>
      </w:r>
      <w:r w:rsidR="003510D9" w:rsidRPr="00727D33">
        <w:rPr>
          <w:rFonts w:ascii="Verdana" w:hAnsi="Verdana"/>
          <w:sz w:val="20"/>
          <w:szCs w:val="20"/>
        </w:rPr>
        <w:t xml:space="preserve"> que la ‘‘reformulación constitucional [e internacional, incorp</w:t>
      </w:r>
      <w:r w:rsidR="00F34C53">
        <w:rPr>
          <w:rFonts w:ascii="Verdana" w:hAnsi="Verdana"/>
          <w:sz w:val="20"/>
          <w:szCs w:val="20"/>
        </w:rPr>
        <w:t xml:space="preserve">ore,] introduzca y desarrolle </w:t>
      </w:r>
      <w:r w:rsidR="003510D9" w:rsidRPr="00727D33">
        <w:rPr>
          <w:rFonts w:ascii="Verdana" w:hAnsi="Verdana"/>
          <w:sz w:val="20"/>
          <w:szCs w:val="20"/>
        </w:rPr>
        <w:t>las instituciones más avanzadas [, tales como,] la consulta popular a nivel local o nacional, las elecciones primarias para selección de candidatos, el plebiscito, el referéndum, la revocatoria del mandato de dignidades de elección popular’’</w:t>
      </w:r>
      <w:r w:rsidR="003510D9" w:rsidRPr="00727D33">
        <w:rPr>
          <w:rStyle w:val="Refdenotaalpie"/>
          <w:rFonts w:ascii="Verdana" w:hAnsi="Verdana"/>
          <w:sz w:val="20"/>
          <w:szCs w:val="20"/>
        </w:rPr>
        <w:footnoteReference w:id="11"/>
      </w:r>
      <w:r w:rsidR="003510D9" w:rsidRPr="00727D33">
        <w:rPr>
          <w:rFonts w:ascii="Verdana" w:hAnsi="Verdana"/>
          <w:sz w:val="20"/>
          <w:szCs w:val="20"/>
        </w:rPr>
        <w:t>, así como la creación innovadora de nuevas funciones del poder público, como la función electoral, la creación de mecanismos constitucionales de participación ciudadana en la gestión, control y escrutinio del poder público, así como la emergencia de procesos de reformulación constitucional a partir de las asambleas constituyentes</w:t>
      </w:r>
      <w:r w:rsidR="00D92649" w:rsidRPr="00727D33">
        <w:rPr>
          <w:rFonts w:ascii="Verdana" w:hAnsi="Verdana"/>
          <w:sz w:val="20"/>
          <w:szCs w:val="20"/>
        </w:rPr>
        <w:t xml:space="preserve"> con amplia participación social y popular, </w:t>
      </w:r>
      <w:r w:rsidR="003B7ECD" w:rsidRPr="00727D33">
        <w:rPr>
          <w:rFonts w:ascii="Verdana" w:hAnsi="Verdana"/>
          <w:sz w:val="20"/>
          <w:szCs w:val="20"/>
        </w:rPr>
        <w:t xml:space="preserve">que nos alejen </w:t>
      </w:r>
      <w:r w:rsidR="00D92649" w:rsidRPr="00727D33">
        <w:rPr>
          <w:rFonts w:ascii="Verdana" w:hAnsi="Verdana"/>
          <w:sz w:val="20"/>
          <w:szCs w:val="20"/>
        </w:rPr>
        <w:t xml:space="preserve">de las cosméticas reformas y cambios constitucionales </w:t>
      </w:r>
      <w:r w:rsidR="002B3039" w:rsidRPr="00727D33">
        <w:rPr>
          <w:rFonts w:ascii="Verdana" w:hAnsi="Verdana"/>
          <w:sz w:val="20"/>
          <w:szCs w:val="20"/>
        </w:rPr>
        <w:t xml:space="preserve">legislativos </w:t>
      </w:r>
      <w:r w:rsidR="00D92649" w:rsidRPr="00727D33">
        <w:rPr>
          <w:rFonts w:ascii="Verdana" w:hAnsi="Verdana"/>
          <w:sz w:val="20"/>
          <w:szCs w:val="20"/>
        </w:rPr>
        <w:t>diseñados por jerarcas, élites o grupos exclusivos, censitarios, generalmente beneficiarios de los cambios que dicen producir</w:t>
      </w:r>
      <w:r w:rsidR="003510D9" w:rsidRPr="00727D33">
        <w:rPr>
          <w:rFonts w:ascii="Verdana" w:hAnsi="Verdana"/>
          <w:sz w:val="20"/>
          <w:szCs w:val="20"/>
        </w:rPr>
        <w:t xml:space="preserve">.  </w:t>
      </w:r>
    </w:p>
    <w:p w:rsidR="003510D9" w:rsidRPr="001D1F3C" w:rsidRDefault="003510D9" w:rsidP="00F245B0">
      <w:pPr>
        <w:pStyle w:val="Prrafodelista"/>
        <w:numPr>
          <w:ilvl w:val="0"/>
          <w:numId w:val="11"/>
        </w:numPr>
        <w:spacing w:before="240" w:after="240"/>
        <w:ind w:left="1134" w:hanging="567"/>
        <w:contextualSpacing w:val="0"/>
        <w:jc w:val="both"/>
        <w:rPr>
          <w:rFonts w:ascii="Verdana" w:hAnsi="Verdana"/>
          <w:b/>
          <w:sz w:val="20"/>
          <w:szCs w:val="20"/>
        </w:rPr>
      </w:pPr>
      <w:r w:rsidRPr="00727D33">
        <w:rPr>
          <w:rFonts w:ascii="Verdana" w:hAnsi="Verdana"/>
          <w:b/>
          <w:sz w:val="20"/>
          <w:szCs w:val="20"/>
          <w:lang w:val="es-ES"/>
        </w:rPr>
        <w:t>Aproximación</w:t>
      </w:r>
      <w:r w:rsidRPr="00727D33">
        <w:rPr>
          <w:rFonts w:ascii="Verdana" w:hAnsi="Verdana"/>
          <w:b/>
          <w:sz w:val="20"/>
          <w:szCs w:val="20"/>
        </w:rPr>
        <w:t xml:space="preserve"> metodológica errónea y reformulación de los derechos políticos </w:t>
      </w:r>
    </w:p>
    <w:p w:rsidR="003510D9" w:rsidRPr="00F245B0" w:rsidRDefault="003510D9"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Exist</w:t>
      </w:r>
      <w:r w:rsidR="003B7ECD" w:rsidRPr="00727D33">
        <w:rPr>
          <w:rFonts w:ascii="Verdana" w:hAnsi="Verdana"/>
          <w:sz w:val="20"/>
          <w:szCs w:val="20"/>
        </w:rPr>
        <w:t>e un problema metodológico en la formulación mayoritaria</w:t>
      </w:r>
      <w:r w:rsidRPr="00727D33">
        <w:rPr>
          <w:rFonts w:ascii="Verdana" w:hAnsi="Verdana"/>
          <w:sz w:val="20"/>
          <w:szCs w:val="20"/>
        </w:rPr>
        <w:t xml:space="preserve"> que hace que se haya considerado a la ‘‘reelección presidencial indefinida’’ como la figura respecto de la cual la Corte ha de pronunciarse. Se ha integrado de manera analógica un supuesto derecho a la reelección desconociendo que ésta es el resultado del ejercicio de un derecho y no un derecho en sí mismo. No es menester de una Corte Internacional el acotar los espacios de participación democr</w:t>
      </w:r>
      <w:r w:rsidR="003B7ECD" w:rsidRPr="00727D33">
        <w:rPr>
          <w:rFonts w:ascii="Verdana" w:hAnsi="Verdana"/>
          <w:sz w:val="20"/>
          <w:szCs w:val="20"/>
        </w:rPr>
        <w:t>ática, sino más bien promover su expansión</w:t>
      </w:r>
      <w:r w:rsidRPr="00727D33">
        <w:rPr>
          <w:rFonts w:ascii="Verdana" w:hAnsi="Verdana"/>
          <w:sz w:val="20"/>
          <w:szCs w:val="20"/>
        </w:rPr>
        <w:t>. Una aproximación a las preguntas planteadas por el Estado colombiano, no supone desarrollarlas, desde un alegado ‘‘derecho a la relección indefinida’’ sino más bien desde la perspectiva del de</w:t>
      </w:r>
      <w:r w:rsidR="002A1C8F" w:rsidRPr="00727D33">
        <w:rPr>
          <w:rFonts w:ascii="Verdana" w:hAnsi="Verdana"/>
          <w:sz w:val="20"/>
          <w:szCs w:val="20"/>
        </w:rPr>
        <w:t>recho a elegir y ser elegido y e</w:t>
      </w:r>
      <w:r w:rsidRPr="00727D33">
        <w:rPr>
          <w:rFonts w:ascii="Verdana" w:hAnsi="Verdana"/>
          <w:sz w:val="20"/>
          <w:szCs w:val="20"/>
        </w:rPr>
        <w:t xml:space="preserve">l acceder a un cargo en </w:t>
      </w:r>
      <w:r w:rsidRPr="00727D33">
        <w:rPr>
          <w:rFonts w:ascii="Verdana" w:hAnsi="Verdana"/>
          <w:b/>
          <w:sz w:val="20"/>
          <w:szCs w:val="20"/>
        </w:rPr>
        <w:t>condiciones de igualdad</w:t>
      </w:r>
      <w:r w:rsidRPr="00727D33">
        <w:rPr>
          <w:rFonts w:ascii="Verdana" w:hAnsi="Verdana"/>
          <w:sz w:val="20"/>
          <w:szCs w:val="20"/>
        </w:rPr>
        <w:t xml:space="preserve">. </w:t>
      </w:r>
    </w:p>
    <w:p w:rsidR="003510D9" w:rsidRPr="001D1F3C" w:rsidRDefault="003510D9" w:rsidP="00F245B0">
      <w:pPr>
        <w:spacing w:before="240" w:after="240" w:line="240" w:lineRule="auto"/>
        <w:ind w:left="1134" w:hanging="567"/>
        <w:jc w:val="both"/>
        <w:rPr>
          <w:rFonts w:ascii="Verdana" w:hAnsi="Verdana"/>
          <w:b/>
          <w:sz w:val="20"/>
          <w:szCs w:val="20"/>
        </w:rPr>
      </w:pPr>
      <w:r w:rsidRPr="00727D33">
        <w:rPr>
          <w:rFonts w:ascii="Verdana" w:hAnsi="Verdana"/>
          <w:b/>
          <w:sz w:val="20"/>
          <w:szCs w:val="20"/>
        </w:rPr>
        <w:t xml:space="preserve">ii.1 El contenido de los derechos políticos en el artículo 23 de la Convención Americana </w:t>
      </w:r>
    </w:p>
    <w:p w:rsidR="00074219" w:rsidRPr="001D1F3C" w:rsidRDefault="003510D9"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Considero que la Corte debió refor</w:t>
      </w:r>
      <w:r w:rsidR="006302C6" w:rsidRPr="00727D33">
        <w:rPr>
          <w:rFonts w:ascii="Verdana" w:hAnsi="Verdana"/>
          <w:sz w:val="20"/>
          <w:szCs w:val="20"/>
        </w:rPr>
        <w:t>mular esta pregunta para profundizar,</w:t>
      </w:r>
      <w:r w:rsidRPr="00727D33">
        <w:rPr>
          <w:rFonts w:ascii="Verdana" w:hAnsi="Verdana"/>
          <w:sz w:val="20"/>
          <w:szCs w:val="20"/>
        </w:rPr>
        <w:t xml:space="preserve"> si era necesario</w:t>
      </w:r>
      <w:r w:rsidR="006302C6" w:rsidRPr="00727D33">
        <w:rPr>
          <w:rFonts w:ascii="Verdana" w:hAnsi="Verdana"/>
          <w:sz w:val="20"/>
          <w:szCs w:val="20"/>
        </w:rPr>
        <w:t>,</w:t>
      </w:r>
      <w:r w:rsidRPr="00727D33">
        <w:rPr>
          <w:rFonts w:ascii="Verdana" w:hAnsi="Verdana"/>
          <w:sz w:val="20"/>
          <w:szCs w:val="20"/>
        </w:rPr>
        <w:t xml:space="preserve"> en el conte</w:t>
      </w:r>
      <w:r w:rsidR="006302C6" w:rsidRPr="00727D33">
        <w:rPr>
          <w:rFonts w:ascii="Verdana" w:hAnsi="Verdana"/>
          <w:sz w:val="20"/>
          <w:szCs w:val="20"/>
        </w:rPr>
        <w:t xml:space="preserve">nido de los derechos </w:t>
      </w:r>
      <w:r w:rsidR="00714242" w:rsidRPr="00727D33">
        <w:rPr>
          <w:rFonts w:ascii="Verdana" w:hAnsi="Verdana"/>
          <w:sz w:val="20"/>
          <w:szCs w:val="20"/>
        </w:rPr>
        <w:t>políticos,</w:t>
      </w:r>
      <w:r w:rsidR="006302C6" w:rsidRPr="00727D33">
        <w:rPr>
          <w:rFonts w:ascii="Verdana" w:hAnsi="Verdana"/>
          <w:sz w:val="20"/>
          <w:szCs w:val="20"/>
        </w:rPr>
        <w:t xml:space="preserve"> pero no abordarlos desde una hipotética consecuencia como </w:t>
      </w:r>
      <w:r w:rsidRPr="00727D33">
        <w:rPr>
          <w:rFonts w:ascii="Verdana" w:hAnsi="Verdana"/>
          <w:sz w:val="20"/>
          <w:szCs w:val="20"/>
        </w:rPr>
        <w:t>es una posible reelección. Dejo constancia de la importancia que tiene el contenido de los derechos políticos. Al respecto, h</w:t>
      </w:r>
      <w:r w:rsidR="006302C6" w:rsidRPr="00727D33">
        <w:rPr>
          <w:rFonts w:ascii="Verdana" w:hAnsi="Verdana"/>
          <w:sz w:val="20"/>
          <w:szCs w:val="20"/>
        </w:rPr>
        <w:t xml:space="preserve">ay un énfasis particular que señala la </w:t>
      </w:r>
      <w:r w:rsidRPr="00727D33">
        <w:rPr>
          <w:rFonts w:ascii="Verdana" w:hAnsi="Verdana"/>
          <w:sz w:val="20"/>
          <w:szCs w:val="20"/>
        </w:rPr>
        <w:t xml:space="preserve">propia Convención Americana en su artículo 23, que recoge los derechos políticos, a que se acceda a ‘‘los derechos y oportunidades’’ en condiciones de igualdad. No es coincidencia que la literalidad de la Convención haya buscado hacer referencia a la igualdad como presupuesto necesario para una adecuada participación, como tampoco es coincidencia que el primer caso resuelto sobre derechos políticos haya </w:t>
      </w:r>
      <w:r w:rsidRPr="00727D33">
        <w:rPr>
          <w:rFonts w:ascii="Verdana" w:hAnsi="Verdana"/>
          <w:sz w:val="20"/>
          <w:szCs w:val="20"/>
        </w:rPr>
        <w:lastRenderedPageBreak/>
        <w:t xml:space="preserve">sido </w:t>
      </w:r>
      <w:r w:rsidRPr="00727D33">
        <w:rPr>
          <w:rFonts w:ascii="Verdana" w:hAnsi="Verdana"/>
          <w:i/>
          <w:sz w:val="20"/>
          <w:szCs w:val="20"/>
        </w:rPr>
        <w:t xml:space="preserve">Yatama Vs. Nicaragua </w:t>
      </w:r>
      <w:r w:rsidRPr="00727D33">
        <w:rPr>
          <w:rFonts w:ascii="Verdana" w:hAnsi="Verdana"/>
          <w:sz w:val="20"/>
          <w:szCs w:val="20"/>
        </w:rPr>
        <w:t xml:space="preserve">relacionado con la posibilidad de participación de un partido político indígena en las elecciones. Es que subyace a los derechos políticos la noción de igualdad y libertad. Igualdad para el acceso </w:t>
      </w:r>
      <w:r w:rsidR="006302C6" w:rsidRPr="00727D33">
        <w:rPr>
          <w:rFonts w:ascii="Verdana" w:hAnsi="Verdana"/>
          <w:sz w:val="20"/>
          <w:szCs w:val="20"/>
        </w:rPr>
        <w:t>al cargo y libertad del pueblo para elegir, ergo, para decidir.</w:t>
      </w:r>
    </w:p>
    <w:p w:rsidR="00074219" w:rsidRPr="001D1F3C" w:rsidRDefault="003510D9"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Por ello, considero que es erróneo el planteamiento de la ‘‘reelección’’ co</w:t>
      </w:r>
      <w:r w:rsidR="006302C6" w:rsidRPr="00727D33">
        <w:rPr>
          <w:rFonts w:ascii="Verdana" w:hAnsi="Verdana"/>
          <w:sz w:val="20"/>
          <w:szCs w:val="20"/>
        </w:rPr>
        <w:t>mo un derecho humano. Desde un enfoque de derechos humanos es una clara inconsistencia</w:t>
      </w:r>
      <w:r w:rsidRPr="00727D33">
        <w:rPr>
          <w:rFonts w:ascii="Verdana" w:hAnsi="Verdana"/>
          <w:sz w:val="20"/>
          <w:szCs w:val="20"/>
        </w:rPr>
        <w:t xml:space="preserve"> pensar que la reelección, que es</w:t>
      </w:r>
      <w:r w:rsidR="006302C6" w:rsidRPr="00727D33">
        <w:rPr>
          <w:rFonts w:ascii="Verdana" w:hAnsi="Verdana"/>
          <w:sz w:val="20"/>
          <w:szCs w:val="20"/>
        </w:rPr>
        <w:t>, a la vez, una posibilidad y también, eventualmente, dependiendo del resultado, es un</w:t>
      </w:r>
      <w:r w:rsidRPr="00727D33">
        <w:rPr>
          <w:rFonts w:ascii="Verdana" w:hAnsi="Verdana"/>
          <w:sz w:val="20"/>
          <w:szCs w:val="20"/>
        </w:rPr>
        <w:t xml:space="preserve"> producto de un proceso electoral, </w:t>
      </w:r>
      <w:r w:rsidR="006302C6" w:rsidRPr="00727D33">
        <w:rPr>
          <w:rFonts w:ascii="Verdana" w:hAnsi="Verdana"/>
          <w:sz w:val="20"/>
          <w:szCs w:val="20"/>
        </w:rPr>
        <w:t xml:space="preserve">sea concebido como </w:t>
      </w:r>
      <w:r w:rsidRPr="00727D33">
        <w:rPr>
          <w:rFonts w:ascii="Verdana" w:hAnsi="Verdana"/>
          <w:sz w:val="20"/>
          <w:szCs w:val="20"/>
        </w:rPr>
        <w:t>un derecho. Aproximarse de esta manera limitaría la interpretación en los casos particulares desde la óptica del artículo 23, es decir, como el derecho a elegir y ser elegido. Metodológicamente, esta distinción es de vital relevancia ya que se le ha pedido a la Corte que se analice un derecho desde su vicio y no desde su ejercicio. Se le planteó que existe un supuesto derecho a la ‘‘reelección indefinida’’. Me pregunto, ¿estamos hablando de abuso del derecho? ¿Estamos ante una violación de este derecho? ¿O estamos ante la posibilidad de que el sistema político permita un</w:t>
      </w:r>
      <w:r w:rsidR="00D56EDB" w:rsidRPr="00727D33">
        <w:rPr>
          <w:rFonts w:ascii="Verdana" w:hAnsi="Verdana"/>
          <w:sz w:val="20"/>
          <w:szCs w:val="20"/>
        </w:rPr>
        <w:t>a postulación periódica continuada</w:t>
      </w:r>
      <w:r w:rsidRPr="00727D33">
        <w:rPr>
          <w:rFonts w:ascii="Verdana" w:hAnsi="Verdana"/>
          <w:sz w:val="20"/>
          <w:szCs w:val="20"/>
        </w:rPr>
        <w:t xml:space="preserve">? Todas estas son dudas legítimas que surgen al haberse planteado las preguntas desde una aproximación que nominalmente no recoge un análisis certero del artículo 23. </w:t>
      </w:r>
    </w:p>
    <w:p w:rsidR="00074219" w:rsidRPr="001D1F3C" w:rsidRDefault="003510D9"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La Corte ya había señalado que el artículo 23 establece específicamente qu</w:t>
      </w:r>
      <w:r w:rsidR="00F34C53">
        <w:rPr>
          <w:rFonts w:ascii="Verdana" w:hAnsi="Verdana"/>
          <w:sz w:val="20"/>
          <w:szCs w:val="20"/>
        </w:rPr>
        <w:t>é</w:t>
      </w:r>
      <w:r w:rsidRPr="00727D33">
        <w:rPr>
          <w:rFonts w:ascii="Verdana" w:hAnsi="Verdana"/>
          <w:sz w:val="20"/>
          <w:szCs w:val="20"/>
        </w:rPr>
        <w:t xml:space="preserve"> es lo que debe ser garantizado por el Estado en condiciones de igualdad. Específicamente señala que se trata del derecho: i) a la participación en la dirección de los asuntos públicos, directamente o por representantes libremente elegidos; ii) a votar y a ser elegido en elecciones periódicas auténticas, realizadas por sufragio universal e igual y por voto secreto que garantice la libre expresión de los electores; y iii) a acceder a las funciones públicas de su país.</w:t>
      </w:r>
    </w:p>
    <w:p w:rsidR="003510D9" w:rsidRPr="001D1F3C" w:rsidRDefault="003510D9"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Es parte del contenido y consecuencia lógica del artículo 23 de la Convención que</w:t>
      </w:r>
      <w:r w:rsidR="00D56EDB" w:rsidRPr="00727D33">
        <w:rPr>
          <w:rFonts w:ascii="Verdana" w:hAnsi="Verdana"/>
          <w:sz w:val="20"/>
          <w:szCs w:val="20"/>
        </w:rPr>
        <w:t xml:space="preserve"> un mandato indefinido </w:t>
      </w:r>
      <w:r w:rsidRPr="00727D33">
        <w:rPr>
          <w:rFonts w:ascii="Verdana" w:hAnsi="Verdana"/>
          <w:sz w:val="20"/>
          <w:szCs w:val="20"/>
        </w:rPr>
        <w:t xml:space="preserve">es contrario al derecho internacional. </w:t>
      </w:r>
      <w:r w:rsidR="00A12A18" w:rsidRPr="00727D33">
        <w:rPr>
          <w:rFonts w:ascii="Verdana" w:hAnsi="Verdana"/>
          <w:sz w:val="20"/>
          <w:szCs w:val="20"/>
        </w:rPr>
        <w:t>Entonces, c</w:t>
      </w:r>
      <w:r w:rsidRPr="00727D33">
        <w:rPr>
          <w:rFonts w:ascii="Verdana" w:hAnsi="Verdana"/>
          <w:sz w:val="20"/>
          <w:szCs w:val="20"/>
        </w:rPr>
        <w:t>uando hablamos de ‘‘</w:t>
      </w:r>
      <w:r w:rsidR="00D56EDB" w:rsidRPr="00727D33">
        <w:rPr>
          <w:rFonts w:ascii="Verdana" w:hAnsi="Verdana"/>
          <w:sz w:val="20"/>
          <w:szCs w:val="20"/>
        </w:rPr>
        <w:t xml:space="preserve">mandato indefinido’’ nos </w:t>
      </w:r>
      <w:r w:rsidR="00A12A18" w:rsidRPr="00727D33">
        <w:rPr>
          <w:rFonts w:ascii="Verdana" w:hAnsi="Verdana"/>
          <w:sz w:val="20"/>
          <w:szCs w:val="20"/>
        </w:rPr>
        <w:t>referimos</w:t>
      </w:r>
      <w:r w:rsidRPr="00727D33">
        <w:rPr>
          <w:rFonts w:ascii="Verdana" w:hAnsi="Verdana"/>
          <w:sz w:val="20"/>
          <w:szCs w:val="20"/>
        </w:rPr>
        <w:t xml:space="preserve"> aquel que no permite la exis</w:t>
      </w:r>
      <w:r w:rsidR="00D56EDB" w:rsidRPr="00727D33">
        <w:rPr>
          <w:rFonts w:ascii="Verdana" w:hAnsi="Verdana"/>
          <w:sz w:val="20"/>
          <w:szCs w:val="20"/>
        </w:rPr>
        <w:t>tencia de elecciones periódicas, de representantes libremente elegidos, sin sufragio universal</w:t>
      </w:r>
      <w:r w:rsidRPr="00727D33">
        <w:rPr>
          <w:rFonts w:ascii="Verdana" w:hAnsi="Verdana"/>
          <w:sz w:val="20"/>
          <w:szCs w:val="20"/>
        </w:rPr>
        <w:t xml:space="preserve"> </w:t>
      </w:r>
      <w:r w:rsidR="00D56EDB" w:rsidRPr="00727D33">
        <w:rPr>
          <w:rFonts w:ascii="Verdana" w:hAnsi="Verdana"/>
          <w:sz w:val="20"/>
          <w:szCs w:val="20"/>
        </w:rPr>
        <w:t>e igual,</w:t>
      </w:r>
      <w:r w:rsidR="00A12A18" w:rsidRPr="00727D33">
        <w:rPr>
          <w:rFonts w:ascii="Verdana" w:hAnsi="Verdana"/>
          <w:sz w:val="20"/>
          <w:szCs w:val="20"/>
        </w:rPr>
        <w:t xml:space="preserve"> que no garantiza la libre expresión de los electores. </w:t>
      </w:r>
      <w:r w:rsidRPr="00727D33">
        <w:rPr>
          <w:rFonts w:ascii="Verdana" w:hAnsi="Verdana"/>
          <w:sz w:val="20"/>
          <w:szCs w:val="20"/>
        </w:rPr>
        <w:t xml:space="preserve"> </w:t>
      </w:r>
    </w:p>
    <w:p w:rsidR="003510D9" w:rsidRPr="00F34C53" w:rsidRDefault="00D56EDB" w:rsidP="00F34C53">
      <w:pPr>
        <w:pStyle w:val="Prrafodelista"/>
        <w:numPr>
          <w:ilvl w:val="0"/>
          <w:numId w:val="11"/>
        </w:numPr>
        <w:spacing w:before="240" w:after="240"/>
        <w:ind w:left="1077"/>
        <w:contextualSpacing w:val="0"/>
        <w:jc w:val="both"/>
        <w:rPr>
          <w:rFonts w:ascii="Verdana" w:hAnsi="Verdana"/>
          <w:b/>
          <w:sz w:val="20"/>
          <w:szCs w:val="20"/>
        </w:rPr>
      </w:pPr>
      <w:r w:rsidRPr="00727D33">
        <w:rPr>
          <w:rFonts w:ascii="Verdana" w:hAnsi="Verdana"/>
          <w:b/>
          <w:sz w:val="20"/>
          <w:szCs w:val="20"/>
        </w:rPr>
        <w:t xml:space="preserve">La arquitectura </w:t>
      </w:r>
      <w:r w:rsidR="00A12A18" w:rsidRPr="00727D33">
        <w:rPr>
          <w:rFonts w:ascii="Verdana" w:hAnsi="Verdana"/>
          <w:b/>
          <w:sz w:val="20"/>
          <w:szCs w:val="20"/>
        </w:rPr>
        <w:t>constitucional</w:t>
      </w:r>
      <w:r w:rsidR="003510D9" w:rsidRPr="00727D33">
        <w:rPr>
          <w:rFonts w:ascii="Verdana" w:hAnsi="Verdana"/>
          <w:b/>
          <w:sz w:val="20"/>
          <w:szCs w:val="20"/>
        </w:rPr>
        <w:t xml:space="preserve"> y p</w:t>
      </w:r>
      <w:r w:rsidR="006302C6" w:rsidRPr="00727D33">
        <w:rPr>
          <w:rFonts w:ascii="Verdana" w:hAnsi="Verdana"/>
          <w:b/>
          <w:sz w:val="20"/>
          <w:szCs w:val="20"/>
        </w:rPr>
        <w:t>olítica como una potestad consustancial a</w:t>
      </w:r>
      <w:r w:rsidR="003510D9" w:rsidRPr="00727D33">
        <w:rPr>
          <w:rFonts w:ascii="Verdana" w:hAnsi="Verdana"/>
          <w:b/>
          <w:sz w:val="20"/>
          <w:szCs w:val="20"/>
        </w:rPr>
        <w:t xml:space="preserve"> los </w:t>
      </w:r>
      <w:r w:rsidR="003510D9" w:rsidRPr="00727D33">
        <w:rPr>
          <w:rFonts w:ascii="Verdana" w:hAnsi="Verdana"/>
          <w:b/>
          <w:sz w:val="20"/>
          <w:szCs w:val="20"/>
          <w:lang w:val="es-ES"/>
        </w:rPr>
        <w:t>pueblos</w:t>
      </w:r>
      <w:r w:rsidR="003510D9" w:rsidRPr="00727D33">
        <w:rPr>
          <w:rFonts w:ascii="Verdana" w:hAnsi="Verdana"/>
          <w:b/>
          <w:sz w:val="20"/>
          <w:szCs w:val="20"/>
        </w:rPr>
        <w:t xml:space="preserve"> </w:t>
      </w:r>
    </w:p>
    <w:p w:rsidR="00074219" w:rsidRPr="001D1F3C" w:rsidRDefault="003510D9"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La integración analógica de la reelección con el mandato indefinido hace que metodológicamente sea</w:t>
      </w:r>
      <w:r w:rsidR="00A12A18" w:rsidRPr="00727D33">
        <w:rPr>
          <w:rFonts w:ascii="Verdana" w:hAnsi="Verdana"/>
          <w:sz w:val="20"/>
          <w:szCs w:val="20"/>
        </w:rPr>
        <w:t xml:space="preserve"> incongruente</w:t>
      </w:r>
      <w:r w:rsidR="002A1C8F" w:rsidRPr="00727D33">
        <w:rPr>
          <w:rFonts w:ascii="Verdana" w:hAnsi="Verdana"/>
          <w:sz w:val="20"/>
          <w:szCs w:val="20"/>
        </w:rPr>
        <w:t xml:space="preserve"> una respuesta </w:t>
      </w:r>
      <w:r w:rsidRPr="00727D33">
        <w:rPr>
          <w:rFonts w:ascii="Verdana" w:hAnsi="Verdana"/>
          <w:sz w:val="20"/>
          <w:szCs w:val="20"/>
        </w:rPr>
        <w:t>por parte de la Corte. Personalmente, no considero que la reelección es un derecho humano o puede siquiera su contenido formularse como un derecho, por lo que su análisi</w:t>
      </w:r>
      <w:r w:rsidR="00A12A18" w:rsidRPr="00727D33">
        <w:rPr>
          <w:rFonts w:ascii="Verdana" w:hAnsi="Verdana"/>
          <w:sz w:val="20"/>
          <w:szCs w:val="20"/>
        </w:rPr>
        <w:t>s en abstracto, necesariamente nos conduce irreversiblemente a</w:t>
      </w:r>
      <w:r w:rsidRPr="00727D33">
        <w:rPr>
          <w:rFonts w:ascii="Verdana" w:hAnsi="Verdana"/>
          <w:sz w:val="20"/>
          <w:szCs w:val="20"/>
        </w:rPr>
        <w:t xml:space="preserve"> tocar la arquitectura política o constitucional de los Estados</w:t>
      </w:r>
      <w:r w:rsidR="00A12A18" w:rsidRPr="00727D33">
        <w:rPr>
          <w:rFonts w:ascii="Verdana" w:hAnsi="Verdana"/>
          <w:sz w:val="20"/>
          <w:szCs w:val="20"/>
        </w:rPr>
        <w:t xml:space="preserve"> de la región.</w:t>
      </w:r>
      <w:r w:rsidRPr="00727D33">
        <w:rPr>
          <w:rFonts w:ascii="Verdana" w:hAnsi="Verdana"/>
          <w:sz w:val="20"/>
          <w:szCs w:val="20"/>
        </w:rPr>
        <w:t xml:space="preserve"> </w:t>
      </w:r>
    </w:p>
    <w:p w:rsidR="00074219" w:rsidRPr="001D1F3C" w:rsidRDefault="003510D9"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De viejísima data y por razones históricas en América Latina hemos descartado toda posibilidad monárquica o de figuras similares que, por apellido, sangre o casta, ostenten algún derecho a gobernar, recibir dádivas o privilegios. Figuras anacrónicas como la monarquía</w:t>
      </w:r>
      <w:r w:rsidR="00A12A18" w:rsidRPr="00727D33">
        <w:rPr>
          <w:rFonts w:ascii="Verdana" w:hAnsi="Verdana"/>
          <w:sz w:val="20"/>
          <w:szCs w:val="20"/>
        </w:rPr>
        <w:t xml:space="preserve"> o la nobleza han sido erradicadas</w:t>
      </w:r>
      <w:r w:rsidRPr="00727D33">
        <w:rPr>
          <w:rFonts w:ascii="Verdana" w:hAnsi="Verdana"/>
          <w:sz w:val="20"/>
          <w:szCs w:val="20"/>
        </w:rPr>
        <w:t xml:space="preserve"> de nuestros sistemas que consideran que la igualdad ante la ley es el principio fundamental sobre el cual descansa nuestros regímenes políticos, sociales y jurídicos. </w:t>
      </w:r>
    </w:p>
    <w:p w:rsidR="00074219" w:rsidRPr="001D1F3C" w:rsidRDefault="003510D9"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 xml:space="preserve">En esta línea, si la Corte decidía pronunciarse debió reafirmar, como lo hemos hecho en diversas ocasiones, los estándares relacionados con los derechos políticos. Pudimos haber desarrollado el principio democrático desde la óptica del derecho a elegir y ser elegido en condiciones de igualdad. Lamentablemente, de la manera </w:t>
      </w:r>
      <w:r w:rsidR="00A12A18" w:rsidRPr="00727D33">
        <w:rPr>
          <w:rFonts w:ascii="Verdana" w:hAnsi="Verdana"/>
          <w:sz w:val="20"/>
          <w:szCs w:val="20"/>
        </w:rPr>
        <w:t xml:space="preserve">que </w:t>
      </w:r>
      <w:r w:rsidRPr="00727D33">
        <w:rPr>
          <w:rFonts w:ascii="Verdana" w:hAnsi="Verdana"/>
          <w:sz w:val="20"/>
          <w:szCs w:val="20"/>
        </w:rPr>
        <w:t>es</w:t>
      </w:r>
      <w:r w:rsidR="00A12A18" w:rsidRPr="00727D33">
        <w:rPr>
          <w:rFonts w:ascii="Verdana" w:hAnsi="Verdana"/>
          <w:sz w:val="20"/>
          <w:szCs w:val="20"/>
        </w:rPr>
        <w:t>taba formulada</w:t>
      </w:r>
      <w:r w:rsidR="00614FBE" w:rsidRPr="00727D33">
        <w:rPr>
          <w:rFonts w:ascii="Verdana" w:hAnsi="Verdana"/>
          <w:sz w:val="20"/>
          <w:szCs w:val="20"/>
        </w:rPr>
        <w:t>,</w:t>
      </w:r>
      <w:r w:rsidR="00A12A18" w:rsidRPr="00727D33">
        <w:rPr>
          <w:rFonts w:ascii="Verdana" w:hAnsi="Verdana"/>
          <w:sz w:val="20"/>
          <w:szCs w:val="20"/>
        </w:rPr>
        <w:t xml:space="preserve"> la pregunta conduce de manera riesgosa </w:t>
      </w:r>
      <w:r w:rsidRPr="00727D33">
        <w:rPr>
          <w:rFonts w:ascii="Verdana" w:hAnsi="Verdana"/>
          <w:sz w:val="20"/>
          <w:szCs w:val="20"/>
        </w:rPr>
        <w:t xml:space="preserve">a cuestionar la arquitectura política </w:t>
      </w:r>
      <w:r w:rsidRPr="00727D33">
        <w:rPr>
          <w:rFonts w:ascii="Verdana" w:hAnsi="Verdana"/>
          <w:sz w:val="20"/>
          <w:szCs w:val="20"/>
        </w:rPr>
        <w:lastRenderedPageBreak/>
        <w:t>y constitucional de nuestros países</w:t>
      </w:r>
      <w:r w:rsidR="00A12A18" w:rsidRPr="00727D33">
        <w:rPr>
          <w:rFonts w:ascii="Verdana" w:hAnsi="Verdana"/>
          <w:sz w:val="20"/>
          <w:szCs w:val="20"/>
        </w:rPr>
        <w:t>, intentando</w:t>
      </w:r>
      <w:r w:rsidR="00614FBE" w:rsidRPr="00727D33">
        <w:rPr>
          <w:rFonts w:ascii="Verdana" w:hAnsi="Verdana"/>
          <w:sz w:val="20"/>
          <w:szCs w:val="20"/>
        </w:rPr>
        <w:t xml:space="preserve"> una suerte de homogenización o unificación legislativa,</w:t>
      </w:r>
      <w:r w:rsidR="00A12A18" w:rsidRPr="00727D33">
        <w:rPr>
          <w:rFonts w:ascii="Verdana" w:hAnsi="Verdana"/>
          <w:sz w:val="20"/>
          <w:szCs w:val="20"/>
        </w:rPr>
        <w:t xml:space="preserve"> afectando los derechos a la soberanía, autodeterminación y la no injerencia en los asuntos internos de los Estados, que son piedras angulares fundacionales de la Carta de la OEA</w:t>
      </w:r>
      <w:r w:rsidRPr="00727D33">
        <w:rPr>
          <w:rFonts w:ascii="Verdana" w:hAnsi="Verdana"/>
          <w:sz w:val="20"/>
          <w:szCs w:val="20"/>
        </w:rPr>
        <w:t xml:space="preserve">. </w:t>
      </w:r>
    </w:p>
    <w:p w:rsidR="003510D9" w:rsidRPr="001D1F3C" w:rsidRDefault="003510D9"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Para el Libertador Simón Bolívar “la libertad tiene que ajustarse a la historia y a las tradiciones de los pueblos”</w:t>
      </w:r>
      <w:r w:rsidRPr="00727D33">
        <w:rPr>
          <w:rStyle w:val="Refdenotaalpie"/>
          <w:rFonts w:ascii="Verdana" w:hAnsi="Verdana"/>
          <w:sz w:val="20"/>
          <w:szCs w:val="20"/>
        </w:rPr>
        <w:footnoteReference w:id="12"/>
      </w:r>
      <w:r w:rsidRPr="00727D33">
        <w:rPr>
          <w:rFonts w:ascii="Verdana" w:hAnsi="Verdana"/>
          <w:sz w:val="20"/>
          <w:szCs w:val="20"/>
        </w:rPr>
        <w:t xml:space="preserve">. Así, lo comprendió también la Corte en el caso </w:t>
      </w:r>
      <w:r w:rsidRPr="00727D33">
        <w:rPr>
          <w:rFonts w:ascii="Verdana" w:hAnsi="Verdana"/>
          <w:i/>
          <w:sz w:val="20"/>
          <w:szCs w:val="20"/>
        </w:rPr>
        <w:t>Castañeda Gutman Vs. México</w:t>
      </w:r>
      <w:r w:rsidRPr="00727D33">
        <w:rPr>
          <w:rFonts w:ascii="Verdana" w:hAnsi="Verdana"/>
          <w:sz w:val="20"/>
          <w:szCs w:val="20"/>
        </w:rPr>
        <w:t xml:space="preserve"> de 2008 y el segundo </w:t>
      </w:r>
      <w:r w:rsidR="00614FBE" w:rsidRPr="00727D33">
        <w:rPr>
          <w:rFonts w:ascii="Verdana" w:hAnsi="Verdana"/>
          <w:sz w:val="20"/>
          <w:szCs w:val="20"/>
        </w:rPr>
        <w:t xml:space="preserve">caso </w:t>
      </w:r>
      <w:r w:rsidRPr="00727D33">
        <w:rPr>
          <w:rFonts w:ascii="Verdana" w:hAnsi="Verdana"/>
          <w:sz w:val="20"/>
          <w:szCs w:val="20"/>
        </w:rPr>
        <w:t xml:space="preserve">resuelto sobre derechos políticos: </w:t>
      </w:r>
    </w:p>
    <w:p w:rsidR="003510D9" w:rsidRPr="00727D33" w:rsidRDefault="003510D9" w:rsidP="001D1F3C">
      <w:pPr>
        <w:spacing w:before="120" w:after="120" w:line="240" w:lineRule="auto"/>
        <w:ind w:left="708"/>
        <w:jc w:val="both"/>
        <w:rPr>
          <w:rFonts w:ascii="Verdana" w:hAnsi="Verdana"/>
          <w:sz w:val="20"/>
          <w:szCs w:val="20"/>
        </w:rPr>
      </w:pPr>
      <w:r w:rsidRPr="00727D33">
        <w:rPr>
          <w:rFonts w:ascii="Verdana" w:hAnsi="Verdana"/>
          <w:sz w:val="20"/>
          <w:szCs w:val="20"/>
        </w:rPr>
        <w:t>la Corte considera necesario señalar que, en términos generales, el derecho internacional no impone un sistema electoral determinado ni una modalidad determinada de ejercer los derechos a votar y a ser elegido. Ello se desprende de las normas que regulan los derechos políticos tanto en el ámbito universal como en el regional, y de las interpretaciones autorizadas realizadas por sus órganos de aplicación.</w:t>
      </w:r>
    </w:p>
    <w:p w:rsidR="003510D9" w:rsidRPr="001D1F3C" w:rsidRDefault="003510D9"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t xml:space="preserve">En el caso en concreto, en que se debatía si México debía o no, conforme las obligaciones internacionales, permitir las candidaturas independientes o mantener un sistema construido sobre la base exclusivamente de partidos políticos para la elección de presidente de la República </w:t>
      </w:r>
      <w:r w:rsidR="00614FBE" w:rsidRPr="00727D33">
        <w:rPr>
          <w:rFonts w:ascii="Verdana" w:hAnsi="Verdana"/>
          <w:sz w:val="20"/>
          <w:szCs w:val="20"/>
        </w:rPr>
        <w:t>en dicho país, l</w:t>
      </w:r>
      <w:r w:rsidRPr="00727D33">
        <w:rPr>
          <w:rFonts w:ascii="Verdana" w:hAnsi="Verdana"/>
          <w:sz w:val="20"/>
          <w:szCs w:val="20"/>
        </w:rPr>
        <w:t>a Corte consideró que no era preciso entrar a determinar cuál sistema político es a</w:t>
      </w:r>
      <w:r w:rsidR="00614FBE" w:rsidRPr="00727D33">
        <w:rPr>
          <w:rFonts w:ascii="Verdana" w:hAnsi="Verdana"/>
          <w:sz w:val="20"/>
          <w:szCs w:val="20"/>
        </w:rPr>
        <w:t>corde a la Convención Americana y muy acertadamente</w:t>
      </w:r>
      <w:r w:rsidR="001D1F3C">
        <w:rPr>
          <w:rFonts w:ascii="Verdana" w:hAnsi="Verdana"/>
          <w:sz w:val="20"/>
          <w:szCs w:val="20"/>
        </w:rPr>
        <w:t xml:space="preserve"> consideró que:</w:t>
      </w:r>
    </w:p>
    <w:p w:rsidR="003510D9" w:rsidRDefault="003510D9" w:rsidP="001D1F3C">
      <w:pPr>
        <w:spacing w:before="120" w:after="120" w:line="240" w:lineRule="auto"/>
        <w:ind w:left="708"/>
        <w:jc w:val="both"/>
        <w:rPr>
          <w:rFonts w:ascii="Verdana" w:hAnsi="Verdana"/>
          <w:sz w:val="20"/>
          <w:szCs w:val="20"/>
        </w:rPr>
      </w:pPr>
      <w:r w:rsidRPr="00727D33">
        <w:rPr>
          <w:rFonts w:ascii="Verdana" w:hAnsi="Verdana"/>
          <w:sz w:val="20"/>
          <w:szCs w:val="20"/>
        </w:rPr>
        <w:t xml:space="preserve">A la Corte no se le escapa que en la región existe una profunda crisis en relación con los partidos políticos, los poderes legislativos y con quienes dirigen los asuntos públicos, por lo que resulta imperioso un profundo y reflexivo debate sobre la participación y la representación política, la transparencia y el acercamiento de las instituciones a las personas, en definitiva, sobre el fortalecimiento y la profundización de la democracia. La </w:t>
      </w:r>
      <w:r w:rsidRPr="00727D33">
        <w:rPr>
          <w:rFonts w:ascii="Verdana" w:hAnsi="Verdana"/>
          <w:b/>
          <w:sz w:val="20"/>
          <w:szCs w:val="20"/>
          <w:u w:val="single"/>
        </w:rPr>
        <w:t>sociedad civil y el Estado tienen la responsabilidad</w:t>
      </w:r>
      <w:r w:rsidRPr="00727D33">
        <w:rPr>
          <w:rFonts w:ascii="Verdana" w:hAnsi="Verdana"/>
          <w:sz w:val="20"/>
          <w:szCs w:val="20"/>
        </w:rPr>
        <w:t xml:space="preserve">, fundamental e inexcusable </w:t>
      </w:r>
      <w:r w:rsidRPr="00727D33">
        <w:rPr>
          <w:rFonts w:ascii="Verdana" w:hAnsi="Verdana"/>
          <w:b/>
          <w:sz w:val="20"/>
          <w:szCs w:val="20"/>
          <w:u w:val="single"/>
        </w:rPr>
        <w:t>de llevar a cabo esta reflexión y realizar propuestas</w:t>
      </w:r>
      <w:r w:rsidRPr="00727D33">
        <w:rPr>
          <w:rFonts w:ascii="Verdana" w:hAnsi="Verdana"/>
          <w:sz w:val="20"/>
          <w:szCs w:val="20"/>
        </w:rPr>
        <w:t xml:space="preserve"> para revertir esta situación. En este sentido los Estados deben valorar </w:t>
      </w:r>
      <w:r w:rsidRPr="00727D33">
        <w:rPr>
          <w:rFonts w:ascii="Verdana" w:hAnsi="Verdana"/>
          <w:b/>
          <w:sz w:val="20"/>
          <w:szCs w:val="20"/>
          <w:u w:val="single"/>
        </w:rPr>
        <w:t>de acuerdo con su desarrollo histórico y político</w:t>
      </w:r>
      <w:r w:rsidRPr="00727D33">
        <w:rPr>
          <w:rFonts w:ascii="Verdana" w:hAnsi="Verdana"/>
          <w:sz w:val="20"/>
          <w:szCs w:val="20"/>
        </w:rPr>
        <w:t xml:space="preserve"> las medidas que permitan fortalecer los derechos políticos y la democracia, y las candidaturas independientes pueden ser uno de esos mecanismos, entre muchos otros</w:t>
      </w:r>
      <w:r w:rsidRPr="00727D33">
        <w:rPr>
          <w:rStyle w:val="Refdenotaalpie"/>
          <w:rFonts w:ascii="Verdana" w:hAnsi="Verdana"/>
          <w:sz w:val="20"/>
          <w:szCs w:val="20"/>
        </w:rPr>
        <w:footnoteReference w:id="13"/>
      </w:r>
      <w:r w:rsidRPr="00727D33">
        <w:rPr>
          <w:rFonts w:ascii="Verdana" w:hAnsi="Verdana"/>
          <w:sz w:val="20"/>
          <w:szCs w:val="20"/>
        </w:rPr>
        <w:t>.</w:t>
      </w:r>
    </w:p>
    <w:p w:rsidR="006F1935" w:rsidRDefault="006F1935" w:rsidP="001D1F3C">
      <w:pPr>
        <w:spacing w:before="120" w:after="120" w:line="240" w:lineRule="auto"/>
        <w:ind w:left="708"/>
        <w:jc w:val="both"/>
        <w:rPr>
          <w:rFonts w:ascii="Verdana" w:hAnsi="Verdana"/>
          <w:sz w:val="20"/>
          <w:szCs w:val="20"/>
        </w:rPr>
      </w:pPr>
    </w:p>
    <w:p w:rsidR="006F1935" w:rsidRDefault="006F1935" w:rsidP="001D1F3C">
      <w:pPr>
        <w:spacing w:before="120" w:after="120" w:line="240" w:lineRule="auto"/>
        <w:ind w:left="708"/>
        <w:jc w:val="both"/>
        <w:rPr>
          <w:rFonts w:ascii="Verdana" w:hAnsi="Verdana"/>
          <w:sz w:val="20"/>
          <w:szCs w:val="20"/>
        </w:rPr>
      </w:pPr>
    </w:p>
    <w:p w:rsidR="006F1935" w:rsidRDefault="006F1935" w:rsidP="001D1F3C">
      <w:pPr>
        <w:spacing w:before="120" w:after="120" w:line="240" w:lineRule="auto"/>
        <w:ind w:left="708"/>
        <w:jc w:val="both"/>
        <w:rPr>
          <w:rFonts w:ascii="Verdana" w:hAnsi="Verdana"/>
          <w:sz w:val="20"/>
          <w:szCs w:val="20"/>
        </w:rPr>
      </w:pPr>
    </w:p>
    <w:p w:rsidR="006F1935" w:rsidRDefault="006F1935" w:rsidP="001D1F3C">
      <w:pPr>
        <w:spacing w:before="120" w:after="120" w:line="240" w:lineRule="auto"/>
        <w:ind w:left="708"/>
        <w:jc w:val="both"/>
        <w:rPr>
          <w:rFonts w:ascii="Verdana" w:hAnsi="Verdana"/>
          <w:sz w:val="20"/>
          <w:szCs w:val="20"/>
        </w:rPr>
      </w:pPr>
    </w:p>
    <w:p w:rsidR="006F1935" w:rsidRDefault="006F1935" w:rsidP="001D1F3C">
      <w:pPr>
        <w:spacing w:before="120" w:after="120" w:line="240" w:lineRule="auto"/>
        <w:ind w:left="708"/>
        <w:jc w:val="both"/>
        <w:rPr>
          <w:rFonts w:ascii="Verdana" w:hAnsi="Verdana"/>
          <w:sz w:val="20"/>
          <w:szCs w:val="20"/>
        </w:rPr>
      </w:pPr>
    </w:p>
    <w:p w:rsidR="006F1935" w:rsidRDefault="006F1935" w:rsidP="001D1F3C">
      <w:pPr>
        <w:spacing w:before="120" w:after="120" w:line="240" w:lineRule="auto"/>
        <w:ind w:left="708"/>
        <w:jc w:val="both"/>
        <w:rPr>
          <w:rFonts w:ascii="Verdana" w:hAnsi="Verdana"/>
          <w:sz w:val="20"/>
          <w:szCs w:val="20"/>
        </w:rPr>
      </w:pPr>
    </w:p>
    <w:p w:rsidR="006F1935" w:rsidRDefault="006F1935" w:rsidP="001D1F3C">
      <w:pPr>
        <w:spacing w:before="120" w:after="120" w:line="240" w:lineRule="auto"/>
        <w:ind w:left="708"/>
        <w:jc w:val="both"/>
        <w:rPr>
          <w:rFonts w:ascii="Verdana" w:hAnsi="Verdana"/>
          <w:sz w:val="20"/>
          <w:szCs w:val="20"/>
        </w:rPr>
      </w:pPr>
    </w:p>
    <w:p w:rsidR="006F1935" w:rsidRDefault="006F1935" w:rsidP="001D1F3C">
      <w:pPr>
        <w:spacing w:before="120" w:after="120" w:line="240" w:lineRule="auto"/>
        <w:ind w:left="708"/>
        <w:jc w:val="both"/>
        <w:rPr>
          <w:rFonts w:ascii="Verdana" w:hAnsi="Verdana"/>
          <w:sz w:val="20"/>
          <w:szCs w:val="20"/>
        </w:rPr>
      </w:pPr>
    </w:p>
    <w:p w:rsidR="006F1935" w:rsidRDefault="006F1935" w:rsidP="001D1F3C">
      <w:pPr>
        <w:spacing w:before="120" w:after="120" w:line="240" w:lineRule="auto"/>
        <w:ind w:left="708"/>
        <w:jc w:val="both"/>
        <w:rPr>
          <w:rFonts w:ascii="Verdana" w:hAnsi="Verdana"/>
          <w:sz w:val="20"/>
          <w:szCs w:val="20"/>
        </w:rPr>
      </w:pPr>
    </w:p>
    <w:p w:rsidR="00A20765" w:rsidRPr="00F34C53" w:rsidRDefault="00714242" w:rsidP="001D1F3C">
      <w:pPr>
        <w:pStyle w:val="Prrafodelista"/>
        <w:numPr>
          <w:ilvl w:val="0"/>
          <w:numId w:val="12"/>
        </w:numPr>
        <w:tabs>
          <w:tab w:val="left" w:pos="567"/>
        </w:tabs>
        <w:spacing w:before="120" w:after="120"/>
        <w:ind w:left="0" w:hanging="11"/>
        <w:contextualSpacing w:val="0"/>
        <w:jc w:val="both"/>
        <w:rPr>
          <w:rFonts w:ascii="Verdana" w:hAnsi="Verdana"/>
          <w:sz w:val="20"/>
          <w:szCs w:val="20"/>
        </w:rPr>
      </w:pPr>
      <w:r w:rsidRPr="00727D33">
        <w:rPr>
          <w:rFonts w:ascii="Verdana" w:hAnsi="Verdana"/>
          <w:sz w:val="20"/>
          <w:szCs w:val="20"/>
        </w:rPr>
        <w:lastRenderedPageBreak/>
        <w:t>En conclusión, e</w:t>
      </w:r>
      <w:r w:rsidR="003510D9" w:rsidRPr="00727D33">
        <w:rPr>
          <w:rFonts w:ascii="Verdana" w:hAnsi="Verdana"/>
          <w:sz w:val="20"/>
          <w:szCs w:val="20"/>
        </w:rPr>
        <w:t>videnciamos cómo la Corte consideró que es una responsabilidad</w:t>
      </w:r>
      <w:r w:rsidR="00614FBE" w:rsidRPr="00727D33">
        <w:rPr>
          <w:rFonts w:ascii="Verdana" w:hAnsi="Verdana"/>
          <w:sz w:val="20"/>
          <w:szCs w:val="20"/>
        </w:rPr>
        <w:t xml:space="preserve"> “fundamental e inexcusable”</w:t>
      </w:r>
      <w:r w:rsidR="003510D9" w:rsidRPr="00727D33">
        <w:rPr>
          <w:rFonts w:ascii="Verdana" w:hAnsi="Verdana"/>
          <w:sz w:val="20"/>
          <w:szCs w:val="20"/>
        </w:rPr>
        <w:t xml:space="preserve"> del propio Estado y de su sociedad civil organizada</w:t>
      </w:r>
      <w:r w:rsidR="00614FBE" w:rsidRPr="00727D33">
        <w:rPr>
          <w:rFonts w:ascii="Verdana" w:hAnsi="Verdana"/>
          <w:sz w:val="20"/>
          <w:szCs w:val="20"/>
        </w:rPr>
        <w:t xml:space="preserve">, reflexionar y </w:t>
      </w:r>
      <w:r w:rsidR="003510D9" w:rsidRPr="00727D33">
        <w:rPr>
          <w:rFonts w:ascii="Verdana" w:hAnsi="Verdana"/>
          <w:sz w:val="20"/>
          <w:szCs w:val="20"/>
        </w:rPr>
        <w:t>emprender proyectos políticos y de reforma. Resulta</w:t>
      </w:r>
      <w:r w:rsidR="00F827C1" w:rsidRPr="00727D33">
        <w:rPr>
          <w:rFonts w:ascii="Verdana" w:hAnsi="Verdana"/>
          <w:sz w:val="20"/>
          <w:szCs w:val="20"/>
        </w:rPr>
        <w:t>ndo, consecuentemente</w:t>
      </w:r>
      <w:r w:rsidR="003510D9" w:rsidRPr="00727D33">
        <w:rPr>
          <w:rFonts w:ascii="Verdana" w:hAnsi="Verdana"/>
          <w:sz w:val="20"/>
          <w:szCs w:val="20"/>
        </w:rPr>
        <w:t xml:space="preserve"> innecesario</w:t>
      </w:r>
      <w:r w:rsidR="00F827C1" w:rsidRPr="00727D33">
        <w:rPr>
          <w:rFonts w:ascii="Verdana" w:hAnsi="Verdana"/>
          <w:sz w:val="20"/>
          <w:szCs w:val="20"/>
        </w:rPr>
        <w:t xml:space="preserve">, cuando no un despropósito, que va más más allá de lo competencialmente jurídico, considerar </w:t>
      </w:r>
      <w:r w:rsidR="003510D9" w:rsidRPr="00727D33">
        <w:rPr>
          <w:rFonts w:ascii="Verdana" w:hAnsi="Verdana"/>
          <w:sz w:val="20"/>
          <w:szCs w:val="20"/>
        </w:rPr>
        <w:t xml:space="preserve">que </w:t>
      </w:r>
      <w:r w:rsidR="00F827C1" w:rsidRPr="00727D33">
        <w:rPr>
          <w:rFonts w:ascii="Verdana" w:hAnsi="Verdana"/>
          <w:sz w:val="20"/>
          <w:szCs w:val="20"/>
        </w:rPr>
        <w:t xml:space="preserve">sea </w:t>
      </w:r>
      <w:r w:rsidR="003510D9" w:rsidRPr="00727D33">
        <w:rPr>
          <w:rFonts w:ascii="Verdana" w:hAnsi="Verdana"/>
          <w:sz w:val="20"/>
          <w:szCs w:val="20"/>
        </w:rPr>
        <w:t>la propia Corte</w:t>
      </w:r>
      <w:r w:rsidR="00F827C1" w:rsidRPr="00727D33">
        <w:rPr>
          <w:rFonts w:ascii="Verdana" w:hAnsi="Verdana"/>
          <w:sz w:val="20"/>
          <w:szCs w:val="20"/>
        </w:rPr>
        <w:t>, o una mayoría de la misma,</w:t>
      </w:r>
      <w:r w:rsidR="003510D9" w:rsidRPr="00727D33">
        <w:rPr>
          <w:rFonts w:ascii="Verdana" w:hAnsi="Verdana"/>
          <w:sz w:val="20"/>
          <w:szCs w:val="20"/>
        </w:rPr>
        <w:t xml:space="preserve"> </w:t>
      </w:r>
      <w:r w:rsidR="00F827C1" w:rsidRPr="00727D33">
        <w:rPr>
          <w:rFonts w:ascii="Verdana" w:hAnsi="Verdana"/>
          <w:sz w:val="20"/>
          <w:szCs w:val="20"/>
        </w:rPr>
        <w:t xml:space="preserve">quienes </w:t>
      </w:r>
      <w:r w:rsidR="003510D9" w:rsidRPr="00727D33">
        <w:rPr>
          <w:rFonts w:ascii="Verdana" w:hAnsi="Verdana"/>
          <w:sz w:val="20"/>
          <w:szCs w:val="20"/>
        </w:rPr>
        <w:t>pueda</w:t>
      </w:r>
      <w:r w:rsidR="00F827C1" w:rsidRPr="00727D33">
        <w:rPr>
          <w:rFonts w:ascii="Verdana" w:hAnsi="Verdana"/>
          <w:sz w:val="20"/>
          <w:szCs w:val="20"/>
        </w:rPr>
        <w:t>n</w:t>
      </w:r>
      <w:r w:rsidR="003510D9" w:rsidRPr="00727D33">
        <w:rPr>
          <w:rFonts w:ascii="Verdana" w:hAnsi="Verdana"/>
          <w:sz w:val="20"/>
          <w:szCs w:val="20"/>
        </w:rPr>
        <w:t xml:space="preserve"> decidir sobre cuál es el mejor sistema de arquitectura política o constitucional</w:t>
      </w:r>
      <w:r w:rsidR="00F827C1" w:rsidRPr="00727D33">
        <w:rPr>
          <w:rFonts w:ascii="Verdana" w:hAnsi="Verdana"/>
          <w:sz w:val="20"/>
          <w:szCs w:val="20"/>
        </w:rPr>
        <w:t xml:space="preserve"> para “…fortalecer los derechos políticos y la democracia…” en nuestros países</w:t>
      </w:r>
      <w:r w:rsidR="003510D9" w:rsidRPr="00727D33">
        <w:rPr>
          <w:rFonts w:ascii="Verdana" w:hAnsi="Verdana"/>
          <w:sz w:val="20"/>
          <w:szCs w:val="20"/>
        </w:rPr>
        <w:t xml:space="preserve">. </w:t>
      </w:r>
    </w:p>
    <w:p w:rsidR="003510D9" w:rsidRDefault="00A20765" w:rsidP="001D1F3C">
      <w:pPr>
        <w:spacing w:before="120" w:after="120" w:line="240" w:lineRule="auto"/>
        <w:jc w:val="both"/>
        <w:rPr>
          <w:rFonts w:ascii="Verdana" w:hAnsi="Verdana"/>
          <w:sz w:val="20"/>
          <w:szCs w:val="20"/>
        </w:rPr>
      </w:pPr>
      <w:r w:rsidRPr="00727D33">
        <w:rPr>
          <w:rFonts w:ascii="Verdana" w:hAnsi="Verdana"/>
          <w:sz w:val="20"/>
          <w:szCs w:val="20"/>
        </w:rPr>
        <w:t>Este mi voto.</w:t>
      </w:r>
    </w:p>
    <w:p w:rsidR="006F1935" w:rsidRPr="006F1935" w:rsidRDefault="006F1935" w:rsidP="006F1935">
      <w:pPr>
        <w:snapToGrid w:val="0"/>
        <w:spacing w:after="0" w:line="240" w:lineRule="auto"/>
        <w:jc w:val="both"/>
        <w:rPr>
          <w:rFonts w:ascii="Verdana" w:eastAsia="Times New Roman" w:hAnsi="Verdana" w:cs="Times New Roman"/>
          <w:sz w:val="20"/>
          <w:szCs w:val="20"/>
          <w:lang w:val="es-ES" w:eastAsia="es-ES_tradnl"/>
        </w:rPr>
      </w:pPr>
    </w:p>
    <w:p w:rsidR="006F1935" w:rsidRPr="006F1935" w:rsidRDefault="006F1935" w:rsidP="006F1935">
      <w:pPr>
        <w:snapToGrid w:val="0"/>
        <w:spacing w:after="0" w:line="240" w:lineRule="auto"/>
        <w:jc w:val="both"/>
        <w:rPr>
          <w:rFonts w:ascii="Verdana" w:eastAsia="Times New Roman" w:hAnsi="Verdana" w:cs="Arial"/>
          <w:sz w:val="20"/>
          <w:szCs w:val="20"/>
          <w:lang w:val="es-ES"/>
        </w:rPr>
      </w:pPr>
    </w:p>
    <w:p w:rsidR="006F1935" w:rsidRPr="006F1935" w:rsidRDefault="006F1935" w:rsidP="006F1935">
      <w:pPr>
        <w:snapToGrid w:val="0"/>
        <w:spacing w:after="0" w:line="240" w:lineRule="auto"/>
        <w:jc w:val="both"/>
        <w:rPr>
          <w:rFonts w:ascii="Verdana" w:eastAsia="Times New Roman" w:hAnsi="Verdana" w:cs="Arial"/>
          <w:sz w:val="20"/>
          <w:szCs w:val="20"/>
          <w:lang w:val="es-ES"/>
        </w:rPr>
      </w:pPr>
    </w:p>
    <w:p w:rsidR="006F1935" w:rsidRPr="006F1935" w:rsidRDefault="006F1935" w:rsidP="006F1935">
      <w:pPr>
        <w:snapToGrid w:val="0"/>
        <w:spacing w:after="0" w:line="240" w:lineRule="auto"/>
        <w:jc w:val="both"/>
        <w:rPr>
          <w:rFonts w:ascii="Verdana" w:eastAsia="Times New Roman" w:hAnsi="Verdana" w:cs="Arial"/>
          <w:sz w:val="20"/>
          <w:szCs w:val="20"/>
          <w:lang w:val="es-ES"/>
        </w:rPr>
      </w:pPr>
    </w:p>
    <w:p w:rsidR="006F1935" w:rsidRPr="006F1935" w:rsidRDefault="006F1935" w:rsidP="006F1935">
      <w:pPr>
        <w:snapToGrid w:val="0"/>
        <w:spacing w:after="0" w:line="240" w:lineRule="auto"/>
        <w:jc w:val="both"/>
        <w:rPr>
          <w:rFonts w:ascii="Verdana" w:eastAsia="Times New Roman" w:hAnsi="Verdana" w:cs="Arial"/>
          <w:sz w:val="20"/>
          <w:szCs w:val="20"/>
          <w:lang w:val="es-ES"/>
        </w:rPr>
      </w:pPr>
    </w:p>
    <w:p w:rsidR="006F1935" w:rsidRPr="006F1935" w:rsidRDefault="006F1935" w:rsidP="006F1935">
      <w:pPr>
        <w:snapToGrid w:val="0"/>
        <w:spacing w:after="0" w:line="240" w:lineRule="auto"/>
        <w:ind w:left="4248"/>
        <w:jc w:val="center"/>
        <w:rPr>
          <w:rFonts w:ascii="Verdana" w:eastAsia="Times New Roman" w:hAnsi="Verdana" w:cs="Arial"/>
          <w:sz w:val="20"/>
          <w:szCs w:val="20"/>
          <w:lang w:val="es-ES"/>
        </w:rPr>
      </w:pPr>
      <w:r w:rsidRPr="006F1935">
        <w:rPr>
          <w:rFonts w:ascii="Verdana" w:eastAsia="Times New Roman" w:hAnsi="Verdana" w:cs="Arial"/>
          <w:sz w:val="20"/>
          <w:szCs w:val="20"/>
          <w:lang w:val="es-ES"/>
        </w:rPr>
        <w:t>L. Patricio Pazmiño Freire</w:t>
      </w:r>
    </w:p>
    <w:p w:rsidR="006F1935" w:rsidRPr="006F1935" w:rsidRDefault="006F1935" w:rsidP="006F1935">
      <w:pPr>
        <w:snapToGrid w:val="0"/>
        <w:spacing w:after="0" w:line="240" w:lineRule="auto"/>
        <w:ind w:left="4248"/>
        <w:jc w:val="center"/>
        <w:rPr>
          <w:rFonts w:ascii="Verdana" w:eastAsia="Times New Roman" w:hAnsi="Verdana" w:cs="Arial"/>
          <w:sz w:val="20"/>
          <w:szCs w:val="20"/>
          <w:lang w:val="es-ES"/>
        </w:rPr>
      </w:pPr>
      <w:r w:rsidRPr="006F1935">
        <w:rPr>
          <w:rFonts w:ascii="Verdana" w:eastAsia="Times New Roman" w:hAnsi="Verdana" w:cs="Arial"/>
          <w:sz w:val="20"/>
          <w:szCs w:val="20"/>
          <w:lang w:val="es-ES"/>
        </w:rPr>
        <w:t>Juez</w:t>
      </w:r>
    </w:p>
    <w:p w:rsidR="006F1935" w:rsidRPr="006F1935" w:rsidRDefault="006F1935" w:rsidP="006F1935">
      <w:pPr>
        <w:snapToGrid w:val="0"/>
        <w:spacing w:after="0" w:line="240" w:lineRule="auto"/>
        <w:rPr>
          <w:rFonts w:ascii="Verdana" w:eastAsia="Times New Roman" w:hAnsi="Verdana" w:cs="Arial"/>
          <w:sz w:val="20"/>
          <w:szCs w:val="20"/>
          <w:lang w:val="es-ES"/>
        </w:rPr>
      </w:pPr>
    </w:p>
    <w:p w:rsidR="006F1935" w:rsidRPr="006F1935" w:rsidRDefault="006F1935" w:rsidP="006F1935">
      <w:pPr>
        <w:snapToGrid w:val="0"/>
        <w:spacing w:after="0" w:line="240" w:lineRule="auto"/>
        <w:rPr>
          <w:rFonts w:ascii="Verdana" w:eastAsia="Times New Roman" w:hAnsi="Verdana" w:cs="Arial"/>
          <w:sz w:val="20"/>
          <w:szCs w:val="20"/>
          <w:lang w:val="es-ES"/>
        </w:rPr>
      </w:pPr>
    </w:p>
    <w:p w:rsidR="006F1935" w:rsidRPr="006F1935" w:rsidRDefault="006F1935" w:rsidP="006F1935">
      <w:pPr>
        <w:snapToGrid w:val="0"/>
        <w:spacing w:after="0" w:line="240" w:lineRule="auto"/>
        <w:rPr>
          <w:rFonts w:ascii="Verdana" w:eastAsia="Times New Roman" w:hAnsi="Verdana" w:cs="Arial"/>
          <w:sz w:val="20"/>
          <w:szCs w:val="20"/>
          <w:lang w:val="es-ES"/>
        </w:rPr>
      </w:pPr>
    </w:p>
    <w:p w:rsidR="006F1935" w:rsidRPr="001235FF" w:rsidRDefault="006F1935" w:rsidP="006F1935">
      <w:pPr>
        <w:spacing w:after="0" w:line="240" w:lineRule="auto"/>
        <w:rPr>
          <w:rFonts w:ascii="Verdana" w:eastAsia="Times" w:hAnsi="Verdana" w:cs="Times New Roman"/>
          <w:sz w:val="20"/>
          <w:szCs w:val="20"/>
        </w:rPr>
      </w:pPr>
    </w:p>
    <w:p w:rsidR="006F1935" w:rsidRPr="001235FF" w:rsidRDefault="006F1935" w:rsidP="006F1935">
      <w:pPr>
        <w:spacing w:after="0" w:line="240" w:lineRule="auto"/>
        <w:rPr>
          <w:rFonts w:ascii="Verdana" w:eastAsia="Times" w:hAnsi="Verdana" w:cs="Times New Roman"/>
          <w:sz w:val="20"/>
          <w:szCs w:val="20"/>
        </w:rPr>
      </w:pPr>
    </w:p>
    <w:p w:rsidR="006F1935" w:rsidRPr="006F1935" w:rsidRDefault="006F1935" w:rsidP="006F1935">
      <w:pPr>
        <w:spacing w:after="0" w:line="240" w:lineRule="auto"/>
        <w:rPr>
          <w:rFonts w:ascii="Verdana" w:eastAsia="Times" w:hAnsi="Verdana" w:cs="Times New Roman"/>
          <w:sz w:val="20"/>
          <w:szCs w:val="20"/>
          <w:lang w:val="pt-BR"/>
        </w:rPr>
      </w:pPr>
      <w:r w:rsidRPr="006F1935">
        <w:rPr>
          <w:rFonts w:ascii="Verdana" w:eastAsia="Times" w:hAnsi="Verdana" w:cs="Times New Roman"/>
          <w:sz w:val="20"/>
          <w:szCs w:val="20"/>
          <w:lang w:val="pt-BR"/>
        </w:rPr>
        <w:t>Pablo Saavedra Alessandri</w:t>
      </w:r>
    </w:p>
    <w:p w:rsidR="006F1935" w:rsidRPr="006F1935" w:rsidRDefault="006F1935" w:rsidP="006F1935">
      <w:pPr>
        <w:spacing w:after="0" w:line="240" w:lineRule="auto"/>
        <w:rPr>
          <w:rFonts w:ascii="Verdana" w:eastAsia="Times" w:hAnsi="Verdana" w:cs="Times New Roman"/>
          <w:sz w:val="20"/>
          <w:szCs w:val="20"/>
        </w:rPr>
      </w:pPr>
      <w:r w:rsidRPr="006F1935">
        <w:rPr>
          <w:rFonts w:ascii="Verdana" w:eastAsia="Times" w:hAnsi="Verdana" w:cs="Times New Roman"/>
          <w:sz w:val="20"/>
          <w:szCs w:val="20"/>
          <w:lang w:val="pt-BR"/>
        </w:rPr>
        <w:tab/>
      </w:r>
      <w:r w:rsidRPr="006F1935">
        <w:rPr>
          <w:rFonts w:ascii="Verdana" w:eastAsia="Times" w:hAnsi="Verdana" w:cs="Times New Roman"/>
          <w:sz w:val="20"/>
          <w:szCs w:val="20"/>
        </w:rPr>
        <w:t>Secretario</w:t>
      </w:r>
    </w:p>
    <w:p w:rsidR="006F1935" w:rsidRPr="00727D33" w:rsidRDefault="006F1935" w:rsidP="001D1F3C">
      <w:pPr>
        <w:spacing w:before="120" w:after="120" w:line="240" w:lineRule="auto"/>
        <w:jc w:val="both"/>
        <w:rPr>
          <w:rFonts w:ascii="Verdana" w:hAnsi="Verdana"/>
          <w:sz w:val="20"/>
          <w:szCs w:val="20"/>
        </w:rPr>
      </w:pPr>
    </w:p>
    <w:sectPr w:rsidR="006F1935" w:rsidRPr="00727D33" w:rsidSect="00CA1CF9">
      <w:footerReference w:type="default" r:id="rId8"/>
      <w:pgSz w:w="12240" w:h="15840"/>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AE" w:rsidRDefault="00FB68AE" w:rsidP="002D0B61">
      <w:pPr>
        <w:spacing w:after="0" w:line="240" w:lineRule="auto"/>
      </w:pPr>
      <w:r>
        <w:separator/>
      </w:r>
    </w:p>
  </w:endnote>
  <w:endnote w:type="continuationSeparator" w:id="0">
    <w:p w:rsidR="00FB68AE" w:rsidRDefault="00FB68AE" w:rsidP="002D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928797"/>
      <w:docPartObj>
        <w:docPartGallery w:val="Page Numbers (Bottom of Page)"/>
        <w:docPartUnique/>
      </w:docPartObj>
    </w:sdtPr>
    <w:sdtEndPr/>
    <w:sdtContent>
      <w:p w:rsidR="008B5810" w:rsidRDefault="008B5810">
        <w:pPr>
          <w:pStyle w:val="Piedepgina"/>
          <w:jc w:val="center"/>
        </w:pPr>
        <w:r w:rsidRPr="008B5810">
          <w:rPr>
            <w:rFonts w:ascii="Verdana" w:hAnsi="Verdana"/>
            <w:sz w:val="20"/>
            <w:szCs w:val="20"/>
          </w:rPr>
          <w:fldChar w:fldCharType="begin"/>
        </w:r>
        <w:r w:rsidRPr="008B5810">
          <w:rPr>
            <w:rFonts w:ascii="Verdana" w:hAnsi="Verdana"/>
            <w:sz w:val="20"/>
            <w:szCs w:val="20"/>
          </w:rPr>
          <w:instrText>PAGE   \* MERGEFORMAT</w:instrText>
        </w:r>
        <w:r w:rsidRPr="008B5810">
          <w:rPr>
            <w:rFonts w:ascii="Verdana" w:hAnsi="Verdana"/>
            <w:sz w:val="20"/>
            <w:szCs w:val="20"/>
          </w:rPr>
          <w:fldChar w:fldCharType="separate"/>
        </w:r>
        <w:r w:rsidR="00E70DCB" w:rsidRPr="00E70DCB">
          <w:rPr>
            <w:rFonts w:ascii="Verdana" w:hAnsi="Verdana"/>
            <w:noProof/>
            <w:sz w:val="20"/>
            <w:szCs w:val="20"/>
            <w:lang w:val="es-ES"/>
          </w:rPr>
          <w:t>11</w:t>
        </w:r>
        <w:r w:rsidRPr="008B5810">
          <w:rPr>
            <w:rFonts w:ascii="Verdana" w:hAnsi="Verdana"/>
            <w:sz w:val="20"/>
            <w:szCs w:val="20"/>
          </w:rPr>
          <w:fldChar w:fldCharType="end"/>
        </w:r>
      </w:p>
    </w:sdtContent>
  </w:sdt>
  <w:p w:rsidR="008B5810" w:rsidRDefault="008B58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AE" w:rsidRDefault="00FB68AE" w:rsidP="002D0B61">
      <w:pPr>
        <w:spacing w:after="0" w:line="240" w:lineRule="auto"/>
      </w:pPr>
      <w:r>
        <w:separator/>
      </w:r>
    </w:p>
  </w:footnote>
  <w:footnote w:type="continuationSeparator" w:id="0">
    <w:p w:rsidR="00FB68AE" w:rsidRDefault="00FB68AE" w:rsidP="002D0B61">
      <w:pPr>
        <w:spacing w:after="0" w:line="240" w:lineRule="auto"/>
      </w:pPr>
      <w:r>
        <w:continuationSeparator/>
      </w:r>
    </w:p>
  </w:footnote>
  <w:footnote w:id="1">
    <w:p w:rsidR="002D0B61" w:rsidRPr="002D0B61" w:rsidRDefault="002D0B61" w:rsidP="001D1F3C">
      <w:pPr>
        <w:pStyle w:val="Textonotapie"/>
        <w:tabs>
          <w:tab w:val="left" w:pos="567"/>
        </w:tabs>
        <w:rPr>
          <w:lang w:val="es-ES"/>
        </w:rPr>
      </w:pPr>
      <w:r>
        <w:rPr>
          <w:rStyle w:val="Refdenotaalpie"/>
        </w:rPr>
        <w:footnoteRef/>
      </w:r>
      <w:r>
        <w:t xml:space="preserve"> </w:t>
      </w:r>
      <w:r>
        <w:rPr>
          <w:lang w:val="es-ES"/>
        </w:rPr>
        <w:tab/>
        <w:t xml:space="preserve">Artículo 64 de la Convención Americana sobre Derechos Humanos. </w:t>
      </w:r>
    </w:p>
  </w:footnote>
  <w:footnote w:id="2">
    <w:p w:rsidR="00CA7677" w:rsidRPr="00CA7677" w:rsidRDefault="00CA7677" w:rsidP="001D1F3C">
      <w:pPr>
        <w:pStyle w:val="Textonotapie"/>
        <w:tabs>
          <w:tab w:val="left" w:pos="567"/>
        </w:tabs>
        <w:rPr>
          <w:lang w:val="es-ES"/>
        </w:rPr>
      </w:pPr>
      <w:r>
        <w:rPr>
          <w:rStyle w:val="Refdenotaalpie"/>
        </w:rPr>
        <w:footnoteRef/>
      </w:r>
      <w:r>
        <w:t xml:space="preserve"> </w:t>
      </w:r>
      <w:r>
        <w:rPr>
          <w:lang w:val="es-ES"/>
        </w:rPr>
        <w:tab/>
        <w:t xml:space="preserve">Título III del Reglamento de la Corte Interamericana de Derechos Humanos. </w:t>
      </w:r>
    </w:p>
  </w:footnote>
  <w:footnote w:id="3">
    <w:p w:rsidR="0087086C" w:rsidRPr="00F17AD2" w:rsidRDefault="0087086C" w:rsidP="001D1F3C">
      <w:pPr>
        <w:pStyle w:val="Textonotapie"/>
        <w:tabs>
          <w:tab w:val="left" w:pos="567"/>
        </w:tabs>
        <w:jc w:val="both"/>
        <w:rPr>
          <w:rFonts w:ascii="Verdana" w:hAnsi="Verdana"/>
          <w:sz w:val="16"/>
          <w:szCs w:val="16"/>
          <w:lang w:val="es-ES"/>
        </w:rPr>
      </w:pPr>
      <w:r w:rsidRPr="00F17AD2">
        <w:rPr>
          <w:rStyle w:val="Refdenotaalpie"/>
          <w:rFonts w:ascii="Verdana" w:hAnsi="Verdana"/>
          <w:sz w:val="16"/>
          <w:szCs w:val="16"/>
        </w:rPr>
        <w:footnoteRef/>
      </w:r>
      <w:r w:rsidRPr="00F17AD2">
        <w:rPr>
          <w:rFonts w:ascii="Verdana" w:hAnsi="Verdana"/>
          <w:sz w:val="16"/>
          <w:szCs w:val="16"/>
        </w:rPr>
        <w:t xml:space="preserve"> </w:t>
      </w:r>
      <w:r w:rsidRPr="00F17AD2">
        <w:rPr>
          <w:rFonts w:ascii="Verdana" w:hAnsi="Verdana"/>
          <w:sz w:val="16"/>
          <w:szCs w:val="16"/>
        </w:rPr>
        <w:tab/>
        <w:t xml:space="preserve">Párrafo 22 de la Resolución </w:t>
      </w:r>
      <w:r w:rsidR="00DB293F" w:rsidRPr="00F17AD2">
        <w:rPr>
          <w:rFonts w:ascii="Verdana" w:hAnsi="Verdana"/>
          <w:sz w:val="16"/>
          <w:szCs w:val="16"/>
        </w:rPr>
        <w:t xml:space="preserve">de Opinión Consultiva. </w:t>
      </w:r>
    </w:p>
  </w:footnote>
  <w:footnote w:id="4">
    <w:p w:rsidR="00777D7F" w:rsidRPr="00F17AD2" w:rsidRDefault="00777D7F" w:rsidP="001D1F3C">
      <w:pPr>
        <w:pStyle w:val="Textonotapie"/>
        <w:tabs>
          <w:tab w:val="left" w:pos="567"/>
        </w:tabs>
        <w:jc w:val="both"/>
        <w:rPr>
          <w:rFonts w:ascii="Verdana" w:hAnsi="Verdana"/>
          <w:sz w:val="16"/>
          <w:szCs w:val="16"/>
          <w:lang w:val="es-ES"/>
        </w:rPr>
      </w:pPr>
      <w:r w:rsidRPr="00F17AD2">
        <w:rPr>
          <w:rStyle w:val="Refdenotaalpie"/>
          <w:rFonts w:ascii="Verdana" w:hAnsi="Verdana"/>
          <w:sz w:val="16"/>
          <w:szCs w:val="16"/>
        </w:rPr>
        <w:footnoteRef/>
      </w:r>
      <w:r w:rsidRPr="00F17AD2">
        <w:rPr>
          <w:rFonts w:ascii="Verdana" w:hAnsi="Verdana"/>
          <w:sz w:val="16"/>
          <w:szCs w:val="16"/>
        </w:rPr>
        <w:t xml:space="preserve"> </w:t>
      </w:r>
      <w:r w:rsidRPr="00F17AD2">
        <w:rPr>
          <w:rFonts w:ascii="Verdana" w:hAnsi="Verdana"/>
          <w:sz w:val="16"/>
          <w:szCs w:val="16"/>
          <w:lang w:val="es-ES"/>
        </w:rPr>
        <w:tab/>
      </w:r>
      <w:r w:rsidR="00E45950" w:rsidRPr="00E45950">
        <w:rPr>
          <w:rFonts w:ascii="Verdana" w:hAnsi="Verdana"/>
          <w:i/>
          <w:sz w:val="16"/>
          <w:szCs w:val="16"/>
        </w:rPr>
        <w:t>Cfr.</w:t>
      </w:r>
      <w:r w:rsidR="00E45950">
        <w:rPr>
          <w:rFonts w:ascii="Verdana" w:hAnsi="Verdana"/>
          <w:sz w:val="16"/>
          <w:szCs w:val="16"/>
        </w:rPr>
        <w:t xml:space="preserve"> </w:t>
      </w:r>
      <w:r w:rsidRPr="00E45950">
        <w:rPr>
          <w:rFonts w:ascii="Verdana" w:hAnsi="Verdana" w:cs="Arial"/>
          <w:i/>
          <w:sz w:val="16"/>
          <w:szCs w:val="16"/>
          <w:shd w:val="clear" w:color="auto" w:fill="FFFFFF"/>
        </w:rPr>
        <w:t>Rechazo de la Solicitud de Opinión Consultiva presentada por el Secretario General de la Organización de los Estados Americanos.</w:t>
      </w:r>
      <w:r w:rsidRPr="00F17AD2">
        <w:rPr>
          <w:rFonts w:ascii="Verdana" w:hAnsi="Verdana" w:cs="Arial"/>
          <w:sz w:val="16"/>
          <w:szCs w:val="16"/>
          <w:shd w:val="clear" w:color="auto" w:fill="FFFFFF"/>
        </w:rPr>
        <w:t xml:space="preserve"> Resolución de la Corte Interamericana de Derechos Humanos de 23 de junio de 2016, párrs. 5 y 6.  </w:t>
      </w:r>
    </w:p>
  </w:footnote>
  <w:footnote w:id="5">
    <w:p w:rsidR="00777D7F" w:rsidRPr="00F17AD2" w:rsidRDefault="00777D7F" w:rsidP="001D1F3C">
      <w:pPr>
        <w:pStyle w:val="Textonotapie"/>
        <w:tabs>
          <w:tab w:val="left" w:pos="567"/>
        </w:tabs>
        <w:jc w:val="both"/>
        <w:rPr>
          <w:rFonts w:ascii="Verdana" w:hAnsi="Verdana"/>
          <w:sz w:val="16"/>
          <w:szCs w:val="16"/>
          <w:lang w:val="es-ES"/>
        </w:rPr>
      </w:pPr>
      <w:r w:rsidRPr="00F17AD2">
        <w:rPr>
          <w:rStyle w:val="Refdenotaalpie"/>
          <w:rFonts w:ascii="Verdana" w:hAnsi="Verdana"/>
          <w:sz w:val="16"/>
          <w:szCs w:val="16"/>
        </w:rPr>
        <w:footnoteRef/>
      </w:r>
      <w:r w:rsidRPr="00F17AD2">
        <w:rPr>
          <w:rFonts w:ascii="Verdana" w:hAnsi="Verdana"/>
          <w:sz w:val="16"/>
          <w:szCs w:val="16"/>
        </w:rPr>
        <w:t xml:space="preserve"> </w:t>
      </w:r>
      <w:r w:rsidRPr="00F17AD2">
        <w:rPr>
          <w:rFonts w:ascii="Verdana" w:hAnsi="Verdana"/>
          <w:sz w:val="16"/>
          <w:szCs w:val="16"/>
        </w:rPr>
        <w:tab/>
      </w:r>
      <w:r w:rsidR="00E45950" w:rsidRPr="00E45950">
        <w:rPr>
          <w:rFonts w:ascii="Verdana" w:hAnsi="Verdana"/>
          <w:i/>
          <w:sz w:val="16"/>
          <w:szCs w:val="16"/>
        </w:rPr>
        <w:t>Cfr.</w:t>
      </w:r>
      <w:r w:rsidR="00E45950">
        <w:rPr>
          <w:rFonts w:ascii="Verdana" w:hAnsi="Verdana"/>
          <w:sz w:val="16"/>
          <w:szCs w:val="16"/>
        </w:rPr>
        <w:t xml:space="preserve"> </w:t>
      </w:r>
      <w:r w:rsidRPr="00E45950">
        <w:rPr>
          <w:rFonts w:ascii="Verdana" w:hAnsi="Verdana" w:cs="Arial"/>
          <w:i/>
          <w:sz w:val="16"/>
          <w:szCs w:val="16"/>
          <w:shd w:val="clear" w:color="auto" w:fill="FFFFFF"/>
        </w:rPr>
        <w:t>Rechazo de la Solicitud de Opinión Consultiva presentada por el Secretario General de la Organización de los Estados Americanos.</w:t>
      </w:r>
      <w:r w:rsidRPr="00F17AD2">
        <w:rPr>
          <w:rFonts w:ascii="Verdana" w:hAnsi="Verdana" w:cs="Arial"/>
          <w:sz w:val="16"/>
          <w:szCs w:val="16"/>
          <w:shd w:val="clear" w:color="auto" w:fill="FFFFFF"/>
        </w:rPr>
        <w:t xml:space="preserve"> Resolución de la Corte Interamericana de Derechos Humanos de 23 de junio de 2016, párr. 7.   </w:t>
      </w:r>
    </w:p>
  </w:footnote>
  <w:footnote w:id="6">
    <w:p w:rsidR="00C61D10" w:rsidRPr="00F17AD2" w:rsidRDefault="00C61D10" w:rsidP="001D1F3C">
      <w:pPr>
        <w:pStyle w:val="Textonotapie"/>
        <w:tabs>
          <w:tab w:val="left" w:pos="567"/>
        </w:tabs>
        <w:jc w:val="both"/>
        <w:rPr>
          <w:rFonts w:ascii="Verdana" w:hAnsi="Verdana"/>
          <w:sz w:val="16"/>
          <w:szCs w:val="16"/>
          <w:lang w:val="es-ES"/>
        </w:rPr>
      </w:pPr>
      <w:r w:rsidRPr="00F17AD2">
        <w:rPr>
          <w:rStyle w:val="Refdenotaalpie"/>
          <w:rFonts w:ascii="Verdana" w:hAnsi="Verdana"/>
          <w:sz w:val="16"/>
          <w:szCs w:val="16"/>
        </w:rPr>
        <w:footnoteRef/>
      </w:r>
      <w:r w:rsidRPr="00F17AD2">
        <w:rPr>
          <w:rFonts w:ascii="Verdana" w:hAnsi="Verdana"/>
          <w:sz w:val="16"/>
          <w:szCs w:val="16"/>
        </w:rPr>
        <w:t xml:space="preserve"> </w:t>
      </w:r>
      <w:r w:rsidRPr="00F17AD2">
        <w:rPr>
          <w:rFonts w:ascii="Verdana" w:hAnsi="Verdana"/>
          <w:sz w:val="16"/>
          <w:szCs w:val="16"/>
          <w:lang w:val="es-ES"/>
        </w:rPr>
        <w:tab/>
        <w:t xml:space="preserve">Véase </w:t>
      </w:r>
      <w:hyperlink r:id="rId1" w:history="1">
        <w:r w:rsidRPr="00F17AD2">
          <w:rPr>
            <w:rStyle w:val="Hipervnculo"/>
            <w:rFonts w:ascii="Verdana" w:hAnsi="Verdana"/>
            <w:sz w:val="16"/>
            <w:szCs w:val="16"/>
            <w:lang w:val="es-ES"/>
          </w:rPr>
          <w:t>http://www.oas.org/es/CIDH/jsForm/?File=/es/cidh/prensa/comunicados/2021/169.asp</w:t>
        </w:r>
      </w:hyperlink>
      <w:r w:rsidR="00727D33" w:rsidRPr="00727D33">
        <w:rPr>
          <w:rStyle w:val="Hipervnculo"/>
          <w:rFonts w:ascii="Verdana" w:hAnsi="Verdana"/>
          <w:color w:val="auto"/>
          <w:sz w:val="16"/>
          <w:szCs w:val="16"/>
          <w:u w:val="none"/>
          <w:lang w:val="es-ES"/>
        </w:rPr>
        <w:t>.</w:t>
      </w:r>
      <w:r w:rsidRPr="00F17AD2">
        <w:rPr>
          <w:rFonts w:ascii="Verdana" w:hAnsi="Verdana"/>
          <w:sz w:val="16"/>
          <w:szCs w:val="16"/>
          <w:lang w:val="es-ES"/>
        </w:rPr>
        <w:t xml:space="preserve"> </w:t>
      </w:r>
    </w:p>
  </w:footnote>
  <w:footnote w:id="7">
    <w:p w:rsidR="0062384E" w:rsidRPr="00F17AD2" w:rsidRDefault="0062384E" w:rsidP="001D1F3C">
      <w:pPr>
        <w:pStyle w:val="Textonotapie"/>
        <w:tabs>
          <w:tab w:val="left" w:pos="567"/>
        </w:tabs>
        <w:jc w:val="both"/>
        <w:rPr>
          <w:rFonts w:ascii="Verdana" w:hAnsi="Verdana"/>
          <w:sz w:val="16"/>
          <w:szCs w:val="16"/>
          <w:lang w:val="es-ES"/>
        </w:rPr>
      </w:pPr>
      <w:r w:rsidRPr="00F17AD2">
        <w:rPr>
          <w:rStyle w:val="Refdenotaalpie"/>
          <w:rFonts w:ascii="Verdana" w:hAnsi="Verdana"/>
          <w:sz w:val="16"/>
          <w:szCs w:val="16"/>
        </w:rPr>
        <w:footnoteRef/>
      </w:r>
      <w:r w:rsidRPr="00F17AD2">
        <w:rPr>
          <w:rFonts w:ascii="Verdana" w:hAnsi="Verdana"/>
          <w:sz w:val="16"/>
          <w:szCs w:val="16"/>
        </w:rPr>
        <w:t xml:space="preserve"> </w:t>
      </w:r>
      <w:r w:rsidR="00F17AD2" w:rsidRPr="00F17AD2">
        <w:rPr>
          <w:rFonts w:ascii="Verdana" w:hAnsi="Verdana"/>
          <w:sz w:val="16"/>
          <w:szCs w:val="16"/>
        </w:rPr>
        <w:tab/>
      </w:r>
      <w:r w:rsidR="00E45950" w:rsidRPr="00E45950">
        <w:rPr>
          <w:rFonts w:ascii="Verdana" w:hAnsi="Verdana"/>
          <w:i/>
          <w:sz w:val="16"/>
          <w:szCs w:val="16"/>
        </w:rPr>
        <w:t>Cfr.</w:t>
      </w:r>
      <w:r w:rsidR="00E45950">
        <w:rPr>
          <w:rFonts w:ascii="Verdana" w:hAnsi="Verdana"/>
          <w:sz w:val="16"/>
          <w:szCs w:val="16"/>
        </w:rPr>
        <w:t xml:space="preserve"> </w:t>
      </w:r>
      <w:r w:rsidR="00F17AD2" w:rsidRPr="00E45950">
        <w:rPr>
          <w:rFonts w:ascii="Verdana" w:hAnsi="Verdana" w:cs="Arial"/>
          <w:i/>
          <w:sz w:val="16"/>
          <w:szCs w:val="16"/>
          <w:shd w:val="clear" w:color="auto" w:fill="FFFFFF"/>
        </w:rPr>
        <w:t>"Otros tratados" objeto de la función consultiva de la Corte (Art. 64 Convención Americana sobre Derechos Humanos).</w:t>
      </w:r>
      <w:r w:rsidR="00F17AD2" w:rsidRPr="00F17AD2">
        <w:rPr>
          <w:rFonts w:ascii="Verdana" w:hAnsi="Verdana" w:cs="Arial"/>
          <w:sz w:val="16"/>
          <w:szCs w:val="16"/>
          <w:shd w:val="clear" w:color="auto" w:fill="FFFFFF"/>
        </w:rPr>
        <w:t xml:space="preserve"> Opinión Consultiva OC-1/82 de 24 de septiembre de 1982. Serie A No. 1, p</w:t>
      </w:r>
      <w:r w:rsidRPr="00F17AD2">
        <w:rPr>
          <w:rFonts w:ascii="Verdana" w:hAnsi="Verdana"/>
          <w:sz w:val="16"/>
          <w:szCs w:val="16"/>
        </w:rPr>
        <w:t>árr. 18</w:t>
      </w:r>
      <w:r w:rsidR="00F17AD2" w:rsidRPr="00F17AD2">
        <w:rPr>
          <w:rFonts w:ascii="Verdana" w:hAnsi="Verdana"/>
          <w:sz w:val="16"/>
          <w:szCs w:val="16"/>
        </w:rPr>
        <w:t xml:space="preserve">. </w:t>
      </w:r>
    </w:p>
  </w:footnote>
  <w:footnote w:id="8">
    <w:p w:rsidR="00B93027" w:rsidRPr="00B93027" w:rsidRDefault="00B93027" w:rsidP="001D1F3C">
      <w:pPr>
        <w:pStyle w:val="Textonotapie"/>
        <w:tabs>
          <w:tab w:val="left" w:pos="567"/>
        </w:tabs>
        <w:jc w:val="both"/>
        <w:rPr>
          <w:lang w:val="es-ES"/>
        </w:rPr>
      </w:pPr>
      <w:r w:rsidRPr="00F17AD2">
        <w:rPr>
          <w:rStyle w:val="Refdenotaalpie"/>
          <w:rFonts w:ascii="Verdana" w:hAnsi="Verdana"/>
          <w:sz w:val="16"/>
          <w:szCs w:val="16"/>
        </w:rPr>
        <w:footnoteRef/>
      </w:r>
      <w:r w:rsidRPr="00F17AD2">
        <w:rPr>
          <w:rFonts w:ascii="Verdana" w:hAnsi="Verdana"/>
          <w:sz w:val="16"/>
          <w:szCs w:val="16"/>
        </w:rPr>
        <w:t xml:space="preserve"> </w:t>
      </w:r>
      <w:r w:rsidR="00F17AD2" w:rsidRPr="00F17AD2">
        <w:rPr>
          <w:rFonts w:ascii="Verdana" w:hAnsi="Verdana"/>
          <w:sz w:val="16"/>
          <w:szCs w:val="16"/>
        </w:rPr>
        <w:tab/>
        <w:t xml:space="preserve">Ver: La Carta Democrática Interamericana </w:t>
      </w:r>
      <w:hyperlink r:id="rId2" w:history="1">
        <w:r w:rsidR="00F17AD2" w:rsidRPr="00F17AD2">
          <w:rPr>
            <w:rStyle w:val="Hipervnculo"/>
            <w:rFonts w:ascii="Verdana" w:hAnsi="Verdana"/>
            <w:sz w:val="16"/>
            <w:szCs w:val="16"/>
          </w:rPr>
          <w:t>https://www.oas.org/es/centro_noticias/comunicado_prensa.asp?sCodigo=D-014/16</w:t>
        </w:r>
      </w:hyperlink>
      <w:r w:rsidR="00727D33" w:rsidRPr="00727D33">
        <w:rPr>
          <w:rStyle w:val="Hipervnculo"/>
          <w:rFonts w:ascii="Verdana" w:hAnsi="Verdana"/>
          <w:color w:val="auto"/>
          <w:sz w:val="16"/>
          <w:szCs w:val="16"/>
          <w:u w:val="none"/>
        </w:rPr>
        <w:t>.</w:t>
      </w:r>
      <w:r w:rsidR="00F17AD2">
        <w:t xml:space="preserve"> </w:t>
      </w:r>
    </w:p>
  </w:footnote>
  <w:footnote w:id="9">
    <w:p w:rsidR="003510D9" w:rsidRPr="00836A7F" w:rsidRDefault="003510D9" w:rsidP="001D1F3C">
      <w:pPr>
        <w:pStyle w:val="Textonotapie"/>
        <w:tabs>
          <w:tab w:val="left" w:pos="567"/>
        </w:tabs>
        <w:jc w:val="both"/>
        <w:rPr>
          <w:rFonts w:ascii="Verdana" w:hAnsi="Verdana"/>
          <w:sz w:val="16"/>
          <w:szCs w:val="16"/>
          <w:lang w:val="es-ES"/>
        </w:rPr>
      </w:pPr>
      <w:r w:rsidRPr="00836A7F">
        <w:rPr>
          <w:rStyle w:val="Refdenotaalpie"/>
          <w:rFonts w:ascii="Verdana" w:hAnsi="Verdana"/>
          <w:sz w:val="16"/>
          <w:szCs w:val="16"/>
        </w:rPr>
        <w:footnoteRef/>
      </w:r>
      <w:r w:rsidRPr="00836A7F">
        <w:rPr>
          <w:rFonts w:ascii="Verdana" w:hAnsi="Verdana"/>
          <w:sz w:val="16"/>
          <w:szCs w:val="16"/>
        </w:rPr>
        <w:t xml:space="preserve"> </w:t>
      </w:r>
      <w:r w:rsidR="00074219">
        <w:rPr>
          <w:rFonts w:ascii="Verdana" w:hAnsi="Verdana"/>
          <w:sz w:val="16"/>
          <w:szCs w:val="16"/>
        </w:rPr>
        <w:tab/>
      </w:r>
      <w:r w:rsidR="00E45950" w:rsidRPr="00E45950">
        <w:rPr>
          <w:rFonts w:ascii="Verdana" w:hAnsi="Verdana"/>
          <w:i/>
          <w:sz w:val="16"/>
          <w:szCs w:val="16"/>
        </w:rPr>
        <w:t>Cfr.</w:t>
      </w:r>
      <w:r w:rsidR="00E45950">
        <w:rPr>
          <w:rFonts w:ascii="Verdana" w:hAnsi="Verdana"/>
          <w:sz w:val="16"/>
          <w:szCs w:val="16"/>
        </w:rPr>
        <w:t xml:space="preserve"> </w:t>
      </w:r>
      <w:r w:rsidR="00E45950" w:rsidRPr="00E45950">
        <w:rPr>
          <w:rFonts w:ascii="Verdana" w:hAnsi="Verdana" w:cs="Arial"/>
          <w:i/>
          <w:sz w:val="16"/>
          <w:szCs w:val="16"/>
          <w:shd w:val="clear" w:color="auto" w:fill="FFFFFF"/>
        </w:rPr>
        <w:t>La denuncia de la Convención Americana sobre Derechos Humanos y de la Carta de la Organización de los Estados Americanos y sus efectos sobre las obligaciones estatales en materia de derechos humanos (Interpretación y alcance de los artículos 1, 2, 27, 29, 30, 31, 32, 33 a 65 y 78 de la Convención Americana sobre Derechos Humanos y 3.l), 17, 45, 53, 106 y 143 de la Carta de la Organización de los Estados Americanos).</w:t>
      </w:r>
      <w:r w:rsidR="00E45950" w:rsidRPr="00E45950">
        <w:rPr>
          <w:rFonts w:ascii="Verdana" w:hAnsi="Verdana" w:cs="Arial"/>
          <w:sz w:val="16"/>
          <w:szCs w:val="16"/>
          <w:shd w:val="clear" w:color="auto" w:fill="FFFFFF"/>
        </w:rPr>
        <w:t xml:space="preserve"> Opinión Consultiva OC-26/20 de 9 de noviembre de 2020. Serie A No. 26.</w:t>
      </w:r>
      <w:r w:rsidR="00E45950">
        <w:rPr>
          <w:rFonts w:ascii="Arial" w:hAnsi="Arial" w:cs="Arial"/>
          <w:color w:val="494848"/>
          <w:shd w:val="clear" w:color="auto" w:fill="FFFFFF"/>
        </w:rPr>
        <w:t xml:space="preserve"> </w:t>
      </w:r>
      <w:r w:rsidR="00E45950" w:rsidRPr="00E45950">
        <w:rPr>
          <w:rFonts w:ascii="Verdana" w:hAnsi="Verdana" w:cs="Arial"/>
          <w:sz w:val="16"/>
          <w:szCs w:val="16"/>
          <w:shd w:val="clear" w:color="auto" w:fill="FFFFFF"/>
        </w:rPr>
        <w:t>Voto a favor y parcialmente disidente del J</w:t>
      </w:r>
      <w:r w:rsidR="00E45950">
        <w:rPr>
          <w:rFonts w:ascii="Verdana" w:hAnsi="Verdana" w:cs="Arial"/>
          <w:sz w:val="16"/>
          <w:szCs w:val="16"/>
          <w:shd w:val="clear" w:color="auto" w:fill="FFFFFF"/>
        </w:rPr>
        <w:t>uez L. Patricio Pazmiño Freire</w:t>
      </w:r>
      <w:r w:rsidR="008B5810">
        <w:rPr>
          <w:rFonts w:ascii="Verdana" w:hAnsi="Verdana" w:cs="Arial"/>
          <w:sz w:val="16"/>
          <w:szCs w:val="16"/>
          <w:shd w:val="clear" w:color="auto" w:fill="FFFFFF"/>
        </w:rPr>
        <w:t>.</w:t>
      </w:r>
      <w:r w:rsidR="00E45950">
        <w:rPr>
          <w:rFonts w:ascii="Verdana" w:hAnsi="Verdana" w:cs="Arial"/>
          <w:sz w:val="16"/>
          <w:szCs w:val="16"/>
          <w:shd w:val="clear" w:color="auto" w:fill="FFFFFF"/>
        </w:rPr>
        <w:t xml:space="preserve"> </w:t>
      </w:r>
    </w:p>
  </w:footnote>
  <w:footnote w:id="10">
    <w:p w:rsidR="003510D9" w:rsidRPr="00836A7F" w:rsidRDefault="003510D9" w:rsidP="001D1F3C">
      <w:pPr>
        <w:pStyle w:val="Textonotapie"/>
        <w:tabs>
          <w:tab w:val="left" w:pos="567"/>
        </w:tabs>
        <w:jc w:val="both"/>
        <w:rPr>
          <w:rFonts w:ascii="Verdana" w:hAnsi="Verdana"/>
          <w:sz w:val="16"/>
          <w:szCs w:val="16"/>
          <w:lang w:val="es-ES"/>
        </w:rPr>
      </w:pPr>
      <w:r w:rsidRPr="00836A7F">
        <w:rPr>
          <w:rStyle w:val="Refdenotaalpie"/>
          <w:rFonts w:ascii="Verdana" w:hAnsi="Verdana"/>
          <w:sz w:val="16"/>
          <w:szCs w:val="16"/>
        </w:rPr>
        <w:footnoteRef/>
      </w:r>
      <w:r w:rsidRPr="00836A7F">
        <w:rPr>
          <w:rFonts w:ascii="Verdana" w:hAnsi="Verdana"/>
          <w:sz w:val="16"/>
          <w:szCs w:val="16"/>
        </w:rPr>
        <w:t xml:space="preserve"> </w:t>
      </w:r>
      <w:r w:rsidRPr="00836A7F">
        <w:rPr>
          <w:rFonts w:ascii="Verdana" w:hAnsi="Verdana"/>
          <w:sz w:val="16"/>
          <w:szCs w:val="16"/>
        </w:rPr>
        <w:tab/>
      </w:r>
      <w:r w:rsidRPr="00836A7F">
        <w:rPr>
          <w:rFonts w:ascii="Verdana" w:hAnsi="Verdana"/>
          <w:i/>
          <w:sz w:val="16"/>
          <w:szCs w:val="16"/>
        </w:rPr>
        <w:t xml:space="preserve">Cfr. </w:t>
      </w:r>
      <w:r w:rsidRPr="00836A7F">
        <w:rPr>
          <w:rFonts w:ascii="Verdana" w:hAnsi="Verdana"/>
          <w:sz w:val="16"/>
          <w:szCs w:val="16"/>
        </w:rPr>
        <w:t>Pazmiño, Patricio. Descifrando Caminos. Del Activismo Social a la Justicia Constitucional. Flacso, 2010.</w:t>
      </w:r>
    </w:p>
  </w:footnote>
  <w:footnote w:id="11">
    <w:p w:rsidR="003510D9" w:rsidRPr="00836A7F" w:rsidRDefault="003510D9" w:rsidP="001D1F3C">
      <w:pPr>
        <w:pStyle w:val="Textonotapie"/>
        <w:tabs>
          <w:tab w:val="left" w:pos="567"/>
        </w:tabs>
        <w:jc w:val="both"/>
        <w:rPr>
          <w:rFonts w:ascii="Verdana" w:hAnsi="Verdana"/>
          <w:sz w:val="16"/>
          <w:szCs w:val="16"/>
          <w:lang w:val="es-ES"/>
        </w:rPr>
      </w:pPr>
      <w:r w:rsidRPr="00836A7F">
        <w:rPr>
          <w:rStyle w:val="Refdenotaalpie"/>
          <w:rFonts w:ascii="Verdana" w:hAnsi="Verdana"/>
          <w:sz w:val="16"/>
          <w:szCs w:val="16"/>
        </w:rPr>
        <w:footnoteRef/>
      </w:r>
      <w:r w:rsidRPr="00836A7F">
        <w:rPr>
          <w:rFonts w:ascii="Verdana" w:hAnsi="Verdana"/>
          <w:sz w:val="16"/>
          <w:szCs w:val="16"/>
        </w:rPr>
        <w:t xml:space="preserve"> </w:t>
      </w:r>
      <w:r w:rsidRPr="00836A7F">
        <w:rPr>
          <w:rFonts w:ascii="Verdana" w:hAnsi="Verdana"/>
          <w:sz w:val="16"/>
          <w:szCs w:val="16"/>
        </w:rPr>
        <w:tab/>
      </w:r>
      <w:r w:rsidR="00E45950" w:rsidRPr="00836A7F">
        <w:rPr>
          <w:rFonts w:ascii="Verdana" w:hAnsi="Verdana"/>
          <w:i/>
          <w:sz w:val="16"/>
          <w:szCs w:val="16"/>
        </w:rPr>
        <w:t>Cfr.</w:t>
      </w:r>
      <w:r w:rsidR="00E45950">
        <w:rPr>
          <w:rFonts w:ascii="Verdana" w:hAnsi="Verdana"/>
          <w:i/>
          <w:sz w:val="16"/>
          <w:szCs w:val="16"/>
        </w:rPr>
        <w:t xml:space="preserve"> </w:t>
      </w:r>
      <w:r w:rsidRPr="00836A7F">
        <w:rPr>
          <w:rFonts w:ascii="Verdana" w:hAnsi="Verdana"/>
          <w:sz w:val="16"/>
          <w:szCs w:val="16"/>
        </w:rPr>
        <w:t xml:space="preserve">Pazmiño, Patricio. Descifrando Caminos. Del Activismo Social a la Justicia Constitucional. </w:t>
      </w:r>
      <w:r w:rsidR="00E45950">
        <w:rPr>
          <w:rFonts w:ascii="Verdana" w:hAnsi="Verdana"/>
          <w:sz w:val="16"/>
          <w:szCs w:val="16"/>
        </w:rPr>
        <w:t>Flacso, 2010, p</w:t>
      </w:r>
      <w:r w:rsidRPr="00836A7F">
        <w:rPr>
          <w:rFonts w:ascii="Verdana" w:hAnsi="Verdana"/>
          <w:sz w:val="16"/>
          <w:szCs w:val="16"/>
        </w:rPr>
        <w:t>. 50.</w:t>
      </w:r>
    </w:p>
  </w:footnote>
  <w:footnote w:id="12">
    <w:p w:rsidR="003510D9" w:rsidRPr="00836A7F" w:rsidRDefault="003510D9" w:rsidP="001D1F3C">
      <w:pPr>
        <w:pStyle w:val="Textonotapie"/>
        <w:tabs>
          <w:tab w:val="left" w:pos="567"/>
        </w:tabs>
        <w:jc w:val="both"/>
        <w:rPr>
          <w:rFonts w:ascii="Verdana" w:hAnsi="Verdana"/>
          <w:sz w:val="16"/>
          <w:szCs w:val="16"/>
          <w:lang w:val="es-ES"/>
        </w:rPr>
      </w:pPr>
      <w:r w:rsidRPr="00836A7F">
        <w:rPr>
          <w:rStyle w:val="Refdenotaalpie"/>
          <w:rFonts w:ascii="Verdana" w:hAnsi="Verdana"/>
          <w:sz w:val="16"/>
          <w:szCs w:val="16"/>
        </w:rPr>
        <w:footnoteRef/>
      </w:r>
      <w:r w:rsidRPr="00836A7F">
        <w:rPr>
          <w:rFonts w:ascii="Verdana" w:hAnsi="Verdana"/>
          <w:sz w:val="16"/>
          <w:szCs w:val="16"/>
        </w:rPr>
        <w:t xml:space="preserve"> </w:t>
      </w:r>
      <w:r w:rsidR="00727D33">
        <w:rPr>
          <w:rFonts w:ascii="Verdana" w:hAnsi="Verdana"/>
          <w:sz w:val="16"/>
          <w:szCs w:val="16"/>
        </w:rPr>
        <w:tab/>
        <w:t>Consejo Permanente de la Organización de l</w:t>
      </w:r>
      <w:r w:rsidR="00727D33" w:rsidRPr="00836A7F">
        <w:rPr>
          <w:rFonts w:ascii="Verdana" w:hAnsi="Verdana"/>
          <w:sz w:val="16"/>
          <w:szCs w:val="16"/>
        </w:rPr>
        <w:t>os Estados Americanos</w:t>
      </w:r>
      <w:r w:rsidR="00727D33">
        <w:rPr>
          <w:rFonts w:ascii="Verdana" w:hAnsi="Verdana"/>
          <w:sz w:val="16"/>
          <w:szCs w:val="16"/>
        </w:rPr>
        <w:t>, Acta de la Sesión Protocolar celebrada el 24 de julio d</w:t>
      </w:r>
      <w:r w:rsidR="00727D33" w:rsidRPr="00836A7F">
        <w:rPr>
          <w:rFonts w:ascii="Verdana" w:hAnsi="Verdana"/>
          <w:sz w:val="16"/>
          <w:szCs w:val="16"/>
        </w:rPr>
        <w:t>e 2007</w:t>
      </w:r>
      <w:r w:rsidR="00E45950">
        <w:rPr>
          <w:rFonts w:ascii="Verdana" w:hAnsi="Verdana"/>
          <w:sz w:val="16"/>
          <w:szCs w:val="16"/>
        </w:rPr>
        <w:t xml:space="preserve">.  OEA/Ser.GCP/ACTA1603/07, </w:t>
      </w:r>
      <w:r w:rsidRPr="00836A7F">
        <w:rPr>
          <w:rFonts w:ascii="Verdana" w:hAnsi="Verdana"/>
          <w:sz w:val="16"/>
          <w:szCs w:val="16"/>
        </w:rPr>
        <w:t>24 julio 2007</w:t>
      </w:r>
      <w:r w:rsidR="00E45950">
        <w:rPr>
          <w:rFonts w:ascii="Verdana" w:hAnsi="Verdana"/>
          <w:sz w:val="16"/>
          <w:szCs w:val="16"/>
        </w:rPr>
        <w:t>.</w:t>
      </w:r>
    </w:p>
  </w:footnote>
  <w:footnote w:id="13">
    <w:p w:rsidR="003510D9" w:rsidRPr="00E45950" w:rsidRDefault="003510D9" w:rsidP="001D1F3C">
      <w:pPr>
        <w:pStyle w:val="Textonotapie"/>
        <w:tabs>
          <w:tab w:val="left" w:pos="567"/>
        </w:tabs>
        <w:jc w:val="both"/>
        <w:rPr>
          <w:rFonts w:ascii="Verdana" w:hAnsi="Verdana"/>
          <w:sz w:val="16"/>
          <w:szCs w:val="16"/>
          <w:lang w:val="es-ES"/>
        </w:rPr>
      </w:pPr>
      <w:r w:rsidRPr="00E45950">
        <w:rPr>
          <w:rStyle w:val="Refdenotaalpie"/>
          <w:rFonts w:ascii="Verdana" w:hAnsi="Verdana"/>
          <w:sz w:val="16"/>
          <w:szCs w:val="16"/>
        </w:rPr>
        <w:footnoteRef/>
      </w:r>
      <w:r w:rsidRPr="00E45950">
        <w:rPr>
          <w:rFonts w:ascii="Verdana" w:hAnsi="Verdana"/>
          <w:sz w:val="16"/>
          <w:szCs w:val="16"/>
        </w:rPr>
        <w:t xml:space="preserve"> </w:t>
      </w:r>
      <w:r w:rsidR="00E45950" w:rsidRPr="00E45950">
        <w:rPr>
          <w:rFonts w:ascii="Verdana" w:hAnsi="Verdana"/>
          <w:sz w:val="16"/>
          <w:szCs w:val="16"/>
        </w:rPr>
        <w:tab/>
      </w:r>
      <w:r w:rsidR="00E45950" w:rsidRPr="00E45950">
        <w:rPr>
          <w:rFonts w:ascii="Verdana" w:hAnsi="Verdana"/>
          <w:i/>
          <w:sz w:val="16"/>
          <w:szCs w:val="16"/>
        </w:rPr>
        <w:t xml:space="preserve">Cfr. </w:t>
      </w:r>
      <w:r w:rsidR="00E45950" w:rsidRPr="00E45950">
        <w:rPr>
          <w:rFonts w:ascii="Verdana" w:hAnsi="Verdana" w:cs="Arial"/>
          <w:i/>
          <w:sz w:val="16"/>
          <w:szCs w:val="16"/>
          <w:shd w:val="clear" w:color="auto" w:fill="FFFFFF"/>
        </w:rPr>
        <w:t>Caso Castañeda Gutman Vs. México. Excepciones Preliminares, Fondo, Reparaciones y Costas.</w:t>
      </w:r>
      <w:r w:rsidR="00E45950" w:rsidRPr="00E45950">
        <w:rPr>
          <w:rFonts w:ascii="Verdana" w:hAnsi="Verdana" w:cs="Arial"/>
          <w:sz w:val="16"/>
          <w:szCs w:val="16"/>
          <w:shd w:val="clear" w:color="auto" w:fill="FFFFFF"/>
        </w:rPr>
        <w:t xml:space="preserve"> Sentencia de 6 de agosto de 2008. Serie C No. 184</w:t>
      </w:r>
      <w:r w:rsidRPr="00E45950">
        <w:rPr>
          <w:rFonts w:ascii="Verdana" w:hAnsi="Verdana"/>
          <w:sz w:val="16"/>
          <w:szCs w:val="16"/>
          <w:lang w:val="es-ES"/>
        </w:rPr>
        <w:t>, párr. 204</w:t>
      </w:r>
      <w:r w:rsidR="00E45950" w:rsidRPr="00E45950">
        <w:rPr>
          <w:rFonts w:ascii="Verdana" w:hAnsi="Verdana"/>
          <w:sz w:val="16"/>
          <w:szCs w:val="16"/>
          <w:lang w:val="es-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7737"/>
    <w:multiLevelType w:val="hybridMultilevel"/>
    <w:tmpl w:val="EFFC161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62E760D"/>
    <w:multiLevelType w:val="hybridMultilevel"/>
    <w:tmpl w:val="38E4F67A"/>
    <w:lvl w:ilvl="0" w:tplc="3B7424E8">
      <w:start w:val="2"/>
      <w:numFmt w:val="lowerRoman"/>
      <w:lvlText w:val="%1)"/>
      <w:lvlJc w:val="left"/>
      <w:pPr>
        <w:ind w:left="3960" w:hanging="720"/>
      </w:pPr>
      <w:rPr>
        <w:rFonts w:hint="default"/>
      </w:rPr>
    </w:lvl>
    <w:lvl w:ilvl="1" w:tplc="140A0019" w:tentative="1">
      <w:start w:val="1"/>
      <w:numFmt w:val="lowerLetter"/>
      <w:lvlText w:val="%2."/>
      <w:lvlJc w:val="left"/>
      <w:pPr>
        <w:ind w:left="4320" w:hanging="360"/>
      </w:pPr>
    </w:lvl>
    <w:lvl w:ilvl="2" w:tplc="140A001B" w:tentative="1">
      <w:start w:val="1"/>
      <w:numFmt w:val="lowerRoman"/>
      <w:lvlText w:val="%3."/>
      <w:lvlJc w:val="right"/>
      <w:pPr>
        <w:ind w:left="5040" w:hanging="180"/>
      </w:pPr>
    </w:lvl>
    <w:lvl w:ilvl="3" w:tplc="140A000F" w:tentative="1">
      <w:start w:val="1"/>
      <w:numFmt w:val="decimal"/>
      <w:lvlText w:val="%4."/>
      <w:lvlJc w:val="left"/>
      <w:pPr>
        <w:ind w:left="5760" w:hanging="360"/>
      </w:pPr>
    </w:lvl>
    <w:lvl w:ilvl="4" w:tplc="140A0019" w:tentative="1">
      <w:start w:val="1"/>
      <w:numFmt w:val="lowerLetter"/>
      <w:lvlText w:val="%5."/>
      <w:lvlJc w:val="left"/>
      <w:pPr>
        <w:ind w:left="6480" w:hanging="360"/>
      </w:pPr>
    </w:lvl>
    <w:lvl w:ilvl="5" w:tplc="140A001B" w:tentative="1">
      <w:start w:val="1"/>
      <w:numFmt w:val="lowerRoman"/>
      <w:lvlText w:val="%6."/>
      <w:lvlJc w:val="right"/>
      <w:pPr>
        <w:ind w:left="7200" w:hanging="180"/>
      </w:pPr>
    </w:lvl>
    <w:lvl w:ilvl="6" w:tplc="140A000F" w:tentative="1">
      <w:start w:val="1"/>
      <w:numFmt w:val="decimal"/>
      <w:lvlText w:val="%7."/>
      <w:lvlJc w:val="left"/>
      <w:pPr>
        <w:ind w:left="7920" w:hanging="360"/>
      </w:pPr>
    </w:lvl>
    <w:lvl w:ilvl="7" w:tplc="140A0019" w:tentative="1">
      <w:start w:val="1"/>
      <w:numFmt w:val="lowerLetter"/>
      <w:lvlText w:val="%8."/>
      <w:lvlJc w:val="left"/>
      <w:pPr>
        <w:ind w:left="8640" w:hanging="360"/>
      </w:pPr>
    </w:lvl>
    <w:lvl w:ilvl="8" w:tplc="140A001B" w:tentative="1">
      <w:start w:val="1"/>
      <w:numFmt w:val="lowerRoman"/>
      <w:lvlText w:val="%9."/>
      <w:lvlJc w:val="right"/>
      <w:pPr>
        <w:ind w:left="9360" w:hanging="180"/>
      </w:pPr>
    </w:lvl>
  </w:abstractNum>
  <w:abstractNum w:abstractNumId="2" w15:restartNumberingAfterBreak="0">
    <w:nsid w:val="3B9B5F13"/>
    <w:multiLevelType w:val="hybridMultilevel"/>
    <w:tmpl w:val="AF200C80"/>
    <w:lvl w:ilvl="0" w:tplc="8BDC0BEC">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BFF6125"/>
    <w:multiLevelType w:val="multilevel"/>
    <w:tmpl w:val="167CDA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EAB5DAF"/>
    <w:multiLevelType w:val="hybridMultilevel"/>
    <w:tmpl w:val="5E22D1EA"/>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2E03E9F"/>
    <w:multiLevelType w:val="hybridMultilevel"/>
    <w:tmpl w:val="F53243AC"/>
    <w:lvl w:ilvl="0" w:tplc="8AD45EE6">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1B14CD5"/>
    <w:multiLevelType w:val="hybridMultilevel"/>
    <w:tmpl w:val="E794D938"/>
    <w:lvl w:ilvl="0" w:tplc="E25446B2">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2623F14"/>
    <w:multiLevelType w:val="hybridMultilevel"/>
    <w:tmpl w:val="55FC0A6C"/>
    <w:lvl w:ilvl="0" w:tplc="140A0019">
      <w:start w:val="1"/>
      <w:numFmt w:val="lowerLetter"/>
      <w:lvlText w:val="%1."/>
      <w:lvlJc w:val="left"/>
      <w:pPr>
        <w:ind w:left="720" w:hanging="360"/>
      </w:pPr>
      <w:rPr>
        <w:rFonts w:eastAsia="Times New Roman"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2E01CCF"/>
    <w:multiLevelType w:val="hybridMultilevel"/>
    <w:tmpl w:val="5C8C0362"/>
    <w:lvl w:ilvl="0" w:tplc="88CA3B8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61237A2"/>
    <w:multiLevelType w:val="hybridMultilevel"/>
    <w:tmpl w:val="DC1EEF16"/>
    <w:lvl w:ilvl="0" w:tplc="7222F2EC">
      <w:start w:val="2"/>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DE70384"/>
    <w:multiLevelType w:val="hybridMultilevel"/>
    <w:tmpl w:val="E9529BE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705A6F5C"/>
    <w:multiLevelType w:val="hybridMultilevel"/>
    <w:tmpl w:val="51A6D7E6"/>
    <w:lvl w:ilvl="0" w:tplc="C1A45FA6">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CR"/>
      </w:rPr>
    </w:lvl>
    <w:lvl w:ilvl="1" w:tplc="EDEE6EC0">
      <w:start w:val="1"/>
      <w:numFmt w:val="lowerLetter"/>
      <w:lvlText w:val="%2."/>
      <w:lvlJc w:val="left"/>
      <w:pPr>
        <w:ind w:left="2160" w:hanging="360"/>
      </w:pPr>
      <w:rPr>
        <w:rFonts w:hint="default"/>
        <w:i w:val="0"/>
      </w:rPr>
    </w:lvl>
    <w:lvl w:ilvl="2" w:tplc="31D6569E">
      <w:start w:val="1"/>
      <w:numFmt w:val="lowerRoman"/>
      <w:lvlText w:val="%3."/>
      <w:lvlJc w:val="right"/>
      <w:pPr>
        <w:ind w:left="1031" w:hanging="180"/>
      </w:pPr>
      <w:rPr>
        <w:rFonts w:ascii="Verdana" w:hAnsi="Verdana" w:hint="default"/>
      </w:rPr>
    </w:lvl>
    <w:lvl w:ilvl="3" w:tplc="4B9E4820">
      <w:start w:val="1"/>
      <w:numFmt w:val="lowerRoman"/>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6"/>
  </w:num>
  <w:num w:numId="4">
    <w:abstractNumId w:val="7"/>
  </w:num>
  <w:num w:numId="5">
    <w:abstractNumId w:val="8"/>
  </w:num>
  <w:num w:numId="6">
    <w:abstractNumId w:val="9"/>
  </w:num>
  <w:num w:numId="7">
    <w:abstractNumId w:val="11"/>
  </w:num>
  <w:num w:numId="8">
    <w:abstractNumId w:val="1"/>
  </w:num>
  <w:num w:numId="9">
    <w:abstractNumId w:val="3"/>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60"/>
    <w:rsid w:val="00031E78"/>
    <w:rsid w:val="00065B5D"/>
    <w:rsid w:val="00074219"/>
    <w:rsid w:val="0008744B"/>
    <w:rsid w:val="00110295"/>
    <w:rsid w:val="001235FF"/>
    <w:rsid w:val="001B01F6"/>
    <w:rsid w:val="001D1F3C"/>
    <w:rsid w:val="001F0550"/>
    <w:rsid w:val="00202F65"/>
    <w:rsid w:val="0024235A"/>
    <w:rsid w:val="002A1C8F"/>
    <w:rsid w:val="002B3039"/>
    <w:rsid w:val="002D0B61"/>
    <w:rsid w:val="002E203E"/>
    <w:rsid w:val="002F48A2"/>
    <w:rsid w:val="002F5960"/>
    <w:rsid w:val="00304367"/>
    <w:rsid w:val="003510D9"/>
    <w:rsid w:val="003B7ECD"/>
    <w:rsid w:val="003C5D13"/>
    <w:rsid w:val="004233B7"/>
    <w:rsid w:val="00456031"/>
    <w:rsid w:val="004C4F64"/>
    <w:rsid w:val="004E699F"/>
    <w:rsid w:val="00520286"/>
    <w:rsid w:val="005227C4"/>
    <w:rsid w:val="005372AA"/>
    <w:rsid w:val="005421C0"/>
    <w:rsid w:val="005451D0"/>
    <w:rsid w:val="005877F8"/>
    <w:rsid w:val="005B7B6E"/>
    <w:rsid w:val="00614FBE"/>
    <w:rsid w:val="0062384E"/>
    <w:rsid w:val="006302C6"/>
    <w:rsid w:val="00643B29"/>
    <w:rsid w:val="006708DA"/>
    <w:rsid w:val="00682A42"/>
    <w:rsid w:val="00695F04"/>
    <w:rsid w:val="006E37BC"/>
    <w:rsid w:val="006F1935"/>
    <w:rsid w:val="006F24D4"/>
    <w:rsid w:val="00714242"/>
    <w:rsid w:val="00727D33"/>
    <w:rsid w:val="00777D7F"/>
    <w:rsid w:val="007D3820"/>
    <w:rsid w:val="007F3B66"/>
    <w:rsid w:val="007F6EB1"/>
    <w:rsid w:val="00802237"/>
    <w:rsid w:val="008125D4"/>
    <w:rsid w:val="008216D0"/>
    <w:rsid w:val="008266B9"/>
    <w:rsid w:val="00831628"/>
    <w:rsid w:val="00850125"/>
    <w:rsid w:val="0087086C"/>
    <w:rsid w:val="00870B78"/>
    <w:rsid w:val="00895622"/>
    <w:rsid w:val="00896F53"/>
    <w:rsid w:val="008B5810"/>
    <w:rsid w:val="008C3430"/>
    <w:rsid w:val="008D5B33"/>
    <w:rsid w:val="008F454D"/>
    <w:rsid w:val="00991B57"/>
    <w:rsid w:val="00A00DB5"/>
    <w:rsid w:val="00A0103C"/>
    <w:rsid w:val="00A12A18"/>
    <w:rsid w:val="00A20765"/>
    <w:rsid w:val="00A27869"/>
    <w:rsid w:val="00A47437"/>
    <w:rsid w:val="00AC2F60"/>
    <w:rsid w:val="00B01C97"/>
    <w:rsid w:val="00B32E55"/>
    <w:rsid w:val="00B5316E"/>
    <w:rsid w:val="00B93027"/>
    <w:rsid w:val="00B97E00"/>
    <w:rsid w:val="00C42384"/>
    <w:rsid w:val="00C61D10"/>
    <w:rsid w:val="00C77977"/>
    <w:rsid w:val="00C86DFE"/>
    <w:rsid w:val="00CA1CF9"/>
    <w:rsid w:val="00CA7677"/>
    <w:rsid w:val="00CC188D"/>
    <w:rsid w:val="00D11D1F"/>
    <w:rsid w:val="00D51927"/>
    <w:rsid w:val="00D55032"/>
    <w:rsid w:val="00D56EDB"/>
    <w:rsid w:val="00D64CF8"/>
    <w:rsid w:val="00D92649"/>
    <w:rsid w:val="00DB293F"/>
    <w:rsid w:val="00DB4F06"/>
    <w:rsid w:val="00E21DAD"/>
    <w:rsid w:val="00E265C1"/>
    <w:rsid w:val="00E4458D"/>
    <w:rsid w:val="00E45950"/>
    <w:rsid w:val="00E70684"/>
    <w:rsid w:val="00E70DCB"/>
    <w:rsid w:val="00E75F3D"/>
    <w:rsid w:val="00E76132"/>
    <w:rsid w:val="00E8100A"/>
    <w:rsid w:val="00E92134"/>
    <w:rsid w:val="00E92BE1"/>
    <w:rsid w:val="00EF476A"/>
    <w:rsid w:val="00F00430"/>
    <w:rsid w:val="00F17AD2"/>
    <w:rsid w:val="00F245B0"/>
    <w:rsid w:val="00F34C53"/>
    <w:rsid w:val="00F5274D"/>
    <w:rsid w:val="00F827C1"/>
    <w:rsid w:val="00FB68AE"/>
    <w:rsid w:val="00FE4C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CB900-FAD2-4F8B-BFB2-7EECFF68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9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960"/>
    <w:pPr>
      <w:spacing w:after="0" w:line="240" w:lineRule="auto"/>
      <w:ind w:left="720"/>
      <w:contextualSpacing/>
    </w:pPr>
    <w:rPr>
      <w:rFonts w:ascii="Times New Roman" w:eastAsia="Times New Roman" w:hAnsi="Times New Roman" w:cs="Times New Roman"/>
      <w:sz w:val="24"/>
      <w:szCs w:val="24"/>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TextonotapieCar"/>
    <w:semiHidden/>
    <w:unhideWhenUsed/>
    <w:qFormat/>
    <w:rsid w:val="002D0B61"/>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semiHidden/>
    <w:qFormat/>
    <w:rsid w:val="002D0B61"/>
    <w:rPr>
      <w:sz w:val="20"/>
      <w:szCs w:val="20"/>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basedOn w:val="Fuentedeprrafopredeter"/>
    <w:link w:val="4GChar"/>
    <w:unhideWhenUsed/>
    <w:qFormat/>
    <w:rsid w:val="002D0B61"/>
    <w:rPr>
      <w:vertAlign w:val="superscript"/>
    </w:rPr>
  </w:style>
  <w:style w:type="character" w:styleId="Hipervnculo">
    <w:name w:val="Hyperlink"/>
    <w:basedOn w:val="Fuentedeprrafopredeter"/>
    <w:uiPriority w:val="99"/>
    <w:unhideWhenUsed/>
    <w:rsid w:val="00C61D10"/>
    <w:rPr>
      <w:color w:val="0563C1" w:themeColor="hyperlink"/>
      <w:u w:val="single"/>
    </w:rPr>
  </w:style>
  <w:style w:type="paragraph" w:styleId="Textoindependiente">
    <w:name w:val="Body Text"/>
    <w:basedOn w:val="Normal"/>
    <w:link w:val="TextoindependienteCar"/>
    <w:uiPriority w:val="1"/>
    <w:qFormat/>
    <w:rsid w:val="00065B5D"/>
    <w:pPr>
      <w:spacing w:after="120" w:line="240" w:lineRule="auto"/>
    </w:pPr>
    <w:rPr>
      <w:rFonts w:ascii="Times" w:eastAsia="Times" w:hAnsi="Times" w:cs="Times New Roman"/>
      <w:sz w:val="20"/>
      <w:szCs w:val="20"/>
      <w:lang w:val="es-ES_tradnl"/>
    </w:rPr>
  </w:style>
  <w:style w:type="character" w:customStyle="1" w:styleId="TextoindependienteCar">
    <w:name w:val="Texto independiente Car"/>
    <w:basedOn w:val="Fuentedeprrafopredeter"/>
    <w:link w:val="Textoindependiente"/>
    <w:uiPriority w:val="1"/>
    <w:rsid w:val="00065B5D"/>
    <w:rPr>
      <w:rFonts w:ascii="Times" w:eastAsia="Times" w:hAnsi="Times" w:cs="Times New Roman"/>
      <w:sz w:val="20"/>
      <w:szCs w:val="20"/>
      <w:lang w:val="es-ES_tradnl"/>
    </w:rPr>
  </w:style>
  <w:style w:type="paragraph" w:customStyle="1" w:styleId="Numberedparagraphs">
    <w:name w:val="Numbered paragraphs"/>
    <w:basedOn w:val="Normal"/>
    <w:qFormat/>
    <w:rsid w:val="00065B5D"/>
    <w:pPr>
      <w:numPr>
        <w:numId w:val="7"/>
      </w:numPr>
      <w:tabs>
        <w:tab w:val="clear" w:pos="720"/>
        <w:tab w:val="num" w:pos="567"/>
      </w:tabs>
      <w:spacing w:after="200" w:line="240" w:lineRule="auto"/>
      <w:jc w:val="both"/>
    </w:pPr>
    <w:rPr>
      <w:rFonts w:ascii="Verdana" w:eastAsia="MS Mincho" w:hAnsi="Verdana" w:cs="Times New Roman"/>
      <w:color w:val="000000"/>
      <w:sz w:val="20"/>
      <w:szCs w:val="20"/>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510D9"/>
    <w:pPr>
      <w:spacing w:after="0" w:line="240" w:lineRule="auto"/>
      <w:jc w:val="both"/>
    </w:pPr>
    <w:rPr>
      <w:vertAlign w:val="superscript"/>
    </w:rPr>
  </w:style>
  <w:style w:type="paragraph" w:styleId="Encabezado">
    <w:name w:val="header"/>
    <w:basedOn w:val="Normal"/>
    <w:link w:val="EncabezadoCar"/>
    <w:uiPriority w:val="99"/>
    <w:unhideWhenUsed/>
    <w:rsid w:val="008B58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5810"/>
  </w:style>
  <w:style w:type="paragraph" w:styleId="Piedepgina">
    <w:name w:val="footer"/>
    <w:basedOn w:val="Normal"/>
    <w:link w:val="PiedepginaCar"/>
    <w:uiPriority w:val="99"/>
    <w:unhideWhenUsed/>
    <w:rsid w:val="008B58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as.org/es/centro_noticias/comunicado_prensa.asp?sCodigo=D-014/16" TargetMode="External"/><Relationship Id="rId1" Type="http://schemas.openxmlformats.org/officeDocument/2006/relationships/hyperlink" Target="http://www.oas.org/es/CIDH/jsForm/?File=/es/cidh/prensa/comunicados/2021/169.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21737-04DA-4CD4-AE5A-01E9C429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5389</Words>
  <Characters>29640</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Hannia Sanchez</cp:lastModifiedBy>
  <cp:revision>2</cp:revision>
  <dcterms:created xsi:type="dcterms:W3CDTF">2021-08-13T17:30:00Z</dcterms:created>
  <dcterms:modified xsi:type="dcterms:W3CDTF">2021-08-13T17:30:00Z</dcterms:modified>
  <cp:version>3</cp:version>
</cp:coreProperties>
</file>