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BD" w:rsidRDefault="00A930BD" w:rsidP="00A930BD">
      <w:pPr>
        <w:rPr>
          <w:lang w:val="es-ES_tradnl"/>
        </w:rPr>
      </w:pPr>
      <w:bookmarkStart w:id="0" w:name="_GoBack"/>
      <w:bookmarkEnd w:id="0"/>
    </w:p>
    <w:p w:rsidR="00A930BD" w:rsidRDefault="00A930BD" w:rsidP="00A930BD">
      <w:pPr>
        <w:rPr>
          <w:lang w:val="es-ES_tradnl"/>
        </w:rPr>
      </w:pPr>
    </w:p>
    <w:p w:rsidR="00A930BD" w:rsidRDefault="00A930BD" w:rsidP="00A930BD">
      <w:pPr>
        <w:rPr>
          <w:lang w:val="es-ES_tradnl"/>
        </w:rPr>
      </w:pPr>
    </w:p>
    <w:p w:rsidR="00A930BD" w:rsidRDefault="00A930BD" w:rsidP="00A930BD">
      <w:pPr>
        <w:rPr>
          <w:lang w:val="es-ES_tradnl"/>
        </w:rPr>
      </w:pPr>
    </w:p>
    <w:p w:rsidR="00A930BD" w:rsidRDefault="00A930BD" w:rsidP="00A930BD">
      <w:pPr>
        <w:rPr>
          <w:lang w:val="es-ES_tradnl"/>
        </w:rPr>
      </w:pPr>
    </w:p>
    <w:p w:rsidR="00A930BD" w:rsidRDefault="00A930BD" w:rsidP="00A930BD">
      <w:pPr>
        <w:rPr>
          <w:lang w:val="es-ES_tradnl"/>
        </w:rPr>
      </w:pPr>
    </w:p>
    <w:p w:rsidR="00A930BD" w:rsidRDefault="00A930BD" w:rsidP="00A930BD">
      <w:pPr>
        <w:rPr>
          <w:lang w:val="es-ES_tradnl"/>
        </w:rPr>
      </w:pPr>
    </w:p>
    <w:p w:rsidR="00A930BD" w:rsidRDefault="00A930BD" w:rsidP="00A930BD">
      <w:pPr>
        <w:rPr>
          <w:lang w:val="es-ES_tradnl"/>
        </w:rPr>
      </w:pPr>
    </w:p>
    <w:p w:rsidR="00A930BD" w:rsidRPr="00EF115A" w:rsidRDefault="00A930BD" w:rsidP="00A930BD">
      <w:pPr>
        <w:rPr>
          <w:lang w:val="es-ES_tradnl"/>
        </w:rPr>
      </w:pPr>
    </w:p>
    <w:p w:rsidR="00A930BD" w:rsidRPr="00EF115A" w:rsidRDefault="00A930BD" w:rsidP="00A930BD">
      <w:pPr>
        <w:tabs>
          <w:tab w:val="left" w:pos="709"/>
        </w:tabs>
        <w:jc w:val="center"/>
        <w:rPr>
          <w:b/>
          <w:lang w:val="es-ES_tradnl"/>
        </w:rPr>
      </w:pPr>
      <w:r w:rsidRPr="00EF115A">
        <w:rPr>
          <w:b/>
          <w:lang w:val="es-ES_tradnl"/>
        </w:rPr>
        <w:t xml:space="preserve">VOTO CONCURRENTE DEL </w:t>
      </w:r>
    </w:p>
    <w:p w:rsidR="00A930BD" w:rsidRPr="00EF115A" w:rsidRDefault="00A930BD" w:rsidP="00A930BD">
      <w:pPr>
        <w:tabs>
          <w:tab w:val="left" w:pos="709"/>
        </w:tabs>
        <w:jc w:val="center"/>
        <w:rPr>
          <w:b/>
          <w:lang w:val="es-ES_tradnl"/>
        </w:rPr>
      </w:pPr>
      <w:r w:rsidRPr="00EF115A">
        <w:rPr>
          <w:b/>
          <w:lang w:val="es-ES_tradnl"/>
        </w:rPr>
        <w:t>JUEZ HUMBERTO ANTONIO SIERRA PORTO</w:t>
      </w:r>
    </w:p>
    <w:p w:rsidR="00A930BD" w:rsidRPr="00EF115A" w:rsidRDefault="00A930BD" w:rsidP="00A930BD">
      <w:pPr>
        <w:tabs>
          <w:tab w:val="left" w:pos="567"/>
        </w:tabs>
        <w:jc w:val="center"/>
        <w:rPr>
          <w:b/>
          <w:lang w:val="es-ES_tradnl"/>
        </w:rPr>
      </w:pPr>
    </w:p>
    <w:p w:rsidR="00A930BD" w:rsidRPr="00EF115A" w:rsidRDefault="00A930BD" w:rsidP="00A930BD">
      <w:pPr>
        <w:tabs>
          <w:tab w:val="left" w:pos="567"/>
        </w:tabs>
        <w:jc w:val="center"/>
        <w:rPr>
          <w:b/>
          <w:lang w:val="es-ES_tradnl"/>
        </w:rPr>
      </w:pPr>
    </w:p>
    <w:p w:rsidR="00A930BD" w:rsidRPr="00EF115A" w:rsidRDefault="00A930BD" w:rsidP="00A930BD">
      <w:pPr>
        <w:tabs>
          <w:tab w:val="left" w:pos="567"/>
        </w:tabs>
        <w:jc w:val="center"/>
        <w:rPr>
          <w:b/>
          <w:lang w:val="es-ES_tradnl"/>
        </w:rPr>
      </w:pPr>
      <w:r w:rsidRPr="00EF115A">
        <w:rPr>
          <w:b/>
          <w:lang w:val="es-ES_tradnl"/>
        </w:rPr>
        <w:t>CORTE INTERAMERICANA DE DERECHOS HUMANOS</w:t>
      </w:r>
    </w:p>
    <w:p w:rsidR="00A930BD" w:rsidRPr="00EF115A" w:rsidRDefault="00A930BD" w:rsidP="00A930BD">
      <w:pPr>
        <w:rPr>
          <w:lang w:val="es-ES_tradnl"/>
        </w:rPr>
      </w:pPr>
    </w:p>
    <w:p w:rsidR="00A930BD" w:rsidRPr="00EF115A" w:rsidRDefault="00A930BD" w:rsidP="00A930BD">
      <w:pPr>
        <w:tabs>
          <w:tab w:val="left" w:pos="567"/>
        </w:tabs>
        <w:jc w:val="center"/>
        <w:rPr>
          <w:b/>
          <w:caps/>
          <w:lang w:val="es-ES_tradnl"/>
        </w:rPr>
      </w:pPr>
      <w:r w:rsidRPr="00EF115A">
        <w:rPr>
          <w:b/>
          <w:caps/>
          <w:lang w:val="es-ES_tradnl"/>
        </w:rPr>
        <w:t>Opinión Consultiva OC-23/17</w:t>
      </w:r>
    </w:p>
    <w:p w:rsidR="00A930BD" w:rsidRPr="00EF115A" w:rsidRDefault="00A930BD" w:rsidP="00A930BD">
      <w:pPr>
        <w:tabs>
          <w:tab w:val="left" w:pos="567"/>
        </w:tabs>
        <w:jc w:val="center"/>
        <w:rPr>
          <w:b/>
          <w:caps/>
          <w:lang w:val="es-ES_tradnl"/>
        </w:rPr>
      </w:pPr>
      <w:r w:rsidRPr="00EF115A">
        <w:rPr>
          <w:b/>
          <w:caps/>
          <w:lang w:val="es-ES_tradnl"/>
        </w:rPr>
        <w:t xml:space="preserve">de </w:t>
      </w:r>
      <w:r>
        <w:rPr>
          <w:b/>
          <w:caps/>
          <w:lang w:val="es-ES_tradnl"/>
        </w:rPr>
        <w:t>15</w:t>
      </w:r>
      <w:r w:rsidRPr="00EF115A">
        <w:rPr>
          <w:b/>
          <w:caps/>
          <w:lang w:val="es-ES_tradnl"/>
        </w:rPr>
        <w:t xml:space="preserve"> de NOVIEMBRE de 2017</w:t>
      </w:r>
    </w:p>
    <w:p w:rsidR="00627F2A" w:rsidRDefault="00A930BD" w:rsidP="00A930BD">
      <w:pPr>
        <w:tabs>
          <w:tab w:val="left" w:pos="567"/>
        </w:tabs>
        <w:jc w:val="center"/>
        <w:rPr>
          <w:b/>
          <w:caps/>
          <w:lang w:val="es-ES_tradnl"/>
        </w:rPr>
      </w:pPr>
      <w:r w:rsidRPr="00EF115A">
        <w:rPr>
          <w:b/>
          <w:caps/>
          <w:lang w:val="es-ES_tradnl"/>
        </w:rPr>
        <w:t>Solicitada por la República de COLOMBIA</w:t>
      </w:r>
    </w:p>
    <w:p w:rsidR="00627F2A" w:rsidRDefault="00627F2A" w:rsidP="00A930BD">
      <w:pPr>
        <w:tabs>
          <w:tab w:val="left" w:pos="567"/>
        </w:tabs>
        <w:jc w:val="center"/>
        <w:rPr>
          <w:b/>
          <w:caps/>
          <w:lang w:val="es-ES_tradnl"/>
        </w:rPr>
      </w:pPr>
    </w:p>
    <w:p w:rsidR="00A930BD" w:rsidRPr="00EF115A" w:rsidRDefault="00A930BD" w:rsidP="00A930BD">
      <w:pPr>
        <w:tabs>
          <w:tab w:val="left" w:pos="567"/>
        </w:tabs>
        <w:jc w:val="center"/>
        <w:rPr>
          <w:b/>
          <w:caps/>
          <w:lang w:val="es-ES_tradnl"/>
        </w:rPr>
      </w:pPr>
      <w:r w:rsidRPr="00EF115A">
        <w:rPr>
          <w:b/>
          <w:caps/>
          <w:lang w:val="es-ES_tradnl"/>
        </w:rPr>
        <w:t xml:space="preserve"> </w:t>
      </w:r>
      <w:r w:rsidR="00627F2A" w:rsidRPr="00627F2A">
        <w:rPr>
          <w:b/>
          <w:caps/>
          <w:lang w:val="es-ES_tradnl"/>
        </w:rPr>
        <w:t>MEDIO AMBIENTE Y DERECHOS HUMANOS</w:t>
      </w:r>
    </w:p>
    <w:p w:rsidR="00A930BD" w:rsidRPr="00EF115A" w:rsidRDefault="00A930BD" w:rsidP="00A930BD">
      <w:pPr>
        <w:rPr>
          <w:lang w:val="es-ES_tradnl"/>
        </w:rPr>
      </w:pPr>
    </w:p>
    <w:p w:rsidR="00A930BD" w:rsidRPr="00EF115A" w:rsidRDefault="00A930BD" w:rsidP="00A930BD">
      <w:pPr>
        <w:jc w:val="center"/>
        <w:rPr>
          <w:lang w:val="es-ES_tradnl"/>
        </w:rPr>
      </w:pPr>
    </w:p>
    <w:p w:rsidR="00A930BD" w:rsidRPr="00A930BD" w:rsidRDefault="00A930BD" w:rsidP="00A930BD">
      <w:pPr>
        <w:pStyle w:val="ListParagraph"/>
        <w:numPr>
          <w:ilvl w:val="0"/>
          <w:numId w:val="2"/>
        </w:numPr>
        <w:ind w:left="0" w:firstLine="0"/>
        <w:jc w:val="both"/>
        <w:rPr>
          <w:rFonts w:cs="Arial"/>
          <w:lang w:val="es-ES_tradnl"/>
        </w:rPr>
      </w:pPr>
      <w:r w:rsidRPr="00A930BD">
        <w:rPr>
          <w:rFonts w:cs="Arial"/>
          <w:lang w:val="es-ES_tradnl"/>
        </w:rPr>
        <w:t xml:space="preserve">Con el acostumbrado respeto por las decisiones de la Corte, me permito formular a continuación el presente voto concurrente en la </w:t>
      </w:r>
      <w:r w:rsidR="00557E58">
        <w:rPr>
          <w:rFonts w:cs="Arial"/>
          <w:lang w:val="es-ES_tradnl"/>
        </w:rPr>
        <w:t>O</w:t>
      </w:r>
      <w:r w:rsidRPr="00A930BD">
        <w:rPr>
          <w:rFonts w:cs="Arial"/>
          <w:lang w:val="es-ES_tradnl"/>
        </w:rPr>
        <w:t xml:space="preserve">pinión </w:t>
      </w:r>
      <w:r w:rsidR="00557E58">
        <w:rPr>
          <w:rFonts w:cs="Arial"/>
          <w:lang w:val="es-ES_tradnl"/>
        </w:rPr>
        <w:t>C</w:t>
      </w:r>
      <w:r w:rsidRPr="00A930BD">
        <w:rPr>
          <w:rFonts w:cs="Arial"/>
          <w:lang w:val="es-ES_tradnl"/>
        </w:rPr>
        <w:t xml:space="preserve">onsultiva de la referencia. </w:t>
      </w:r>
    </w:p>
    <w:p w:rsidR="00863504" w:rsidRPr="00627F2A" w:rsidRDefault="00863504">
      <w:pPr>
        <w:rPr>
          <w:lang w:val="es-CR"/>
        </w:rPr>
      </w:pPr>
    </w:p>
    <w:p w:rsidR="00A930BD" w:rsidRDefault="00A930BD" w:rsidP="00A930BD">
      <w:pPr>
        <w:pStyle w:val="ListParagraph"/>
        <w:numPr>
          <w:ilvl w:val="0"/>
          <w:numId w:val="2"/>
        </w:numPr>
        <w:ind w:left="0" w:firstLine="0"/>
        <w:jc w:val="both"/>
        <w:rPr>
          <w:rFonts w:cs="Arial"/>
          <w:lang w:val="es-ES_tradnl"/>
        </w:rPr>
      </w:pPr>
      <w:r>
        <w:rPr>
          <w:rFonts w:cs="Arial"/>
          <w:lang w:val="es-ES_tradnl"/>
        </w:rPr>
        <w:t>El presente voto concurrente</w:t>
      </w:r>
      <w:r w:rsidRPr="00EF115A">
        <w:rPr>
          <w:rFonts w:cs="Arial"/>
          <w:lang w:val="es-ES_tradnl"/>
        </w:rPr>
        <w:t xml:space="preserve"> tiene como objeto </w:t>
      </w:r>
      <w:r>
        <w:rPr>
          <w:rFonts w:cs="Arial"/>
          <w:lang w:val="es-ES_tradnl"/>
        </w:rPr>
        <w:t xml:space="preserve">presentar los argumentos por los cuales, a pesar de que, en general, estoy de acuerdo con lo resuelto por la mayoría en la Opinión Consultiva antes indicada, difiero con respecto a determinadas consideraciones esbozadas por la mayoría en su texto, particularmente con relación a la </w:t>
      </w:r>
      <w:proofErr w:type="spellStart"/>
      <w:r>
        <w:rPr>
          <w:rFonts w:cs="Arial"/>
          <w:lang w:val="es-ES_tradnl"/>
        </w:rPr>
        <w:t>justiciabilidad</w:t>
      </w:r>
      <w:proofErr w:type="spellEnd"/>
      <w:r>
        <w:rPr>
          <w:rFonts w:cs="Arial"/>
          <w:lang w:val="es-ES_tradnl"/>
        </w:rPr>
        <w:t xml:space="preserve"> del derecho al medio ambiente sano ante la Corte Interamericana con base en el art</w:t>
      </w:r>
      <w:r w:rsidR="00557E58">
        <w:rPr>
          <w:rFonts w:cs="Arial"/>
          <w:lang w:val="es-ES_tradnl"/>
        </w:rPr>
        <w:t>í</w:t>
      </w:r>
      <w:r>
        <w:rPr>
          <w:rFonts w:cs="Arial"/>
          <w:lang w:val="es-ES_tradnl"/>
        </w:rPr>
        <w:t>culo 26 de la Convención Americana</w:t>
      </w:r>
      <w:r w:rsidR="007C12DC">
        <w:rPr>
          <w:rFonts w:cs="Arial"/>
          <w:lang w:val="es-ES_tradnl"/>
        </w:rPr>
        <w:t>.</w:t>
      </w:r>
    </w:p>
    <w:p w:rsidR="00A930BD" w:rsidRDefault="00A930BD" w:rsidP="00A930BD">
      <w:pPr>
        <w:jc w:val="both"/>
        <w:rPr>
          <w:rFonts w:cs="Arial"/>
          <w:lang w:val="es-ES_tradnl"/>
        </w:rPr>
      </w:pPr>
    </w:p>
    <w:p w:rsidR="00A930BD" w:rsidRDefault="00F54BFE" w:rsidP="00A930BD">
      <w:pPr>
        <w:pStyle w:val="ListParagraph"/>
        <w:numPr>
          <w:ilvl w:val="0"/>
          <w:numId w:val="2"/>
        </w:numPr>
        <w:ind w:left="0" w:firstLine="0"/>
        <w:jc w:val="both"/>
        <w:rPr>
          <w:rFonts w:cs="Arial"/>
          <w:lang w:val="es-ES_tradnl"/>
        </w:rPr>
      </w:pPr>
      <w:r>
        <w:rPr>
          <w:rFonts w:cs="Arial"/>
          <w:lang w:val="es-ES_tradnl"/>
        </w:rPr>
        <w:t>En primer lugar, la presente O</w:t>
      </w:r>
      <w:r w:rsidR="00A930BD">
        <w:rPr>
          <w:rFonts w:cs="Arial"/>
          <w:lang w:val="es-ES_tradnl"/>
        </w:rPr>
        <w:t xml:space="preserve">pinión </w:t>
      </w:r>
      <w:r>
        <w:rPr>
          <w:rFonts w:cs="Arial"/>
          <w:lang w:val="es-ES_tradnl"/>
        </w:rPr>
        <w:t>C</w:t>
      </w:r>
      <w:r w:rsidR="00A930BD">
        <w:rPr>
          <w:rFonts w:cs="Arial"/>
          <w:lang w:val="es-ES_tradnl"/>
        </w:rPr>
        <w:t xml:space="preserve">onsultiva no era la oportunidad para emitir un pronunciamiento sobre la posibilidad de exigir eventuales violaciones a derechos económicos, sociales y culturales de forma directa a través del artículo 26 de la Convención Americana. </w:t>
      </w:r>
    </w:p>
    <w:p w:rsidR="00A930BD" w:rsidRDefault="00A930BD" w:rsidP="00A930BD">
      <w:pPr>
        <w:jc w:val="both"/>
        <w:rPr>
          <w:rFonts w:cs="Arial"/>
          <w:lang w:val="es-ES_tradnl"/>
        </w:rPr>
      </w:pPr>
    </w:p>
    <w:p w:rsidR="00A930BD" w:rsidRDefault="00A930BD" w:rsidP="00A930BD">
      <w:pPr>
        <w:pStyle w:val="ListParagraph"/>
        <w:numPr>
          <w:ilvl w:val="0"/>
          <w:numId w:val="2"/>
        </w:numPr>
        <w:ind w:left="0" w:firstLine="0"/>
        <w:jc w:val="both"/>
        <w:rPr>
          <w:rFonts w:cs="Arial"/>
          <w:lang w:val="es-ES_tradnl"/>
        </w:rPr>
      </w:pPr>
      <w:r>
        <w:rPr>
          <w:rFonts w:cs="Arial"/>
          <w:lang w:val="es-ES_tradnl"/>
        </w:rPr>
        <w:t>En la Opinión Consultiva objeto del presente voto, al referirse a las normas jurídicas que dentro del Sistema Interamericano protegen el derecho a un medio ambiente sano</w:t>
      </w:r>
      <w:r w:rsidR="00557E58">
        <w:rPr>
          <w:rFonts w:cs="Arial"/>
          <w:lang w:val="es-ES_tradnl"/>
        </w:rPr>
        <w:t>,</w:t>
      </w:r>
      <w:r>
        <w:rPr>
          <w:rFonts w:cs="Arial"/>
          <w:lang w:val="es-ES_tradnl"/>
        </w:rPr>
        <w:t xml:space="preserve"> la mayoría indicó que:</w:t>
      </w:r>
    </w:p>
    <w:p w:rsidR="00A930BD" w:rsidRDefault="00A930BD" w:rsidP="00A930BD">
      <w:pPr>
        <w:jc w:val="both"/>
        <w:rPr>
          <w:rFonts w:cs="Arial"/>
          <w:lang w:val="es-ES_tradnl"/>
        </w:rPr>
      </w:pPr>
    </w:p>
    <w:p w:rsidR="00A930BD" w:rsidRPr="00F54BFE" w:rsidRDefault="00A930BD" w:rsidP="00A930BD">
      <w:pPr>
        <w:pStyle w:val="Numberedparagraphs"/>
        <w:numPr>
          <w:ilvl w:val="0"/>
          <w:numId w:val="0"/>
        </w:numPr>
        <w:tabs>
          <w:tab w:val="left" w:pos="567"/>
        </w:tabs>
        <w:spacing w:after="0"/>
        <w:ind w:left="567" w:right="503"/>
        <w:rPr>
          <w:sz w:val="18"/>
          <w:szCs w:val="18"/>
        </w:rPr>
      </w:pPr>
      <w:r w:rsidRPr="00F54BFE">
        <w:rPr>
          <w:rFonts w:cs="Verdana"/>
          <w:sz w:val="18"/>
          <w:szCs w:val="18"/>
          <w:lang w:val="es-CR" w:eastAsia="es-MX"/>
        </w:rPr>
        <w:t>[…] este derecho también debe considerarse incluido entre los derechos económicos, sociales y culturales protegidos por el art</w:t>
      </w:r>
      <w:r w:rsidR="00557E58" w:rsidRPr="00F54BFE">
        <w:rPr>
          <w:rFonts w:cs="Verdana"/>
          <w:sz w:val="18"/>
          <w:szCs w:val="18"/>
          <w:lang w:val="es-CR" w:eastAsia="es-MX"/>
        </w:rPr>
        <w:t>í</w:t>
      </w:r>
      <w:r w:rsidRPr="00F54BFE">
        <w:rPr>
          <w:rFonts w:cs="Verdana"/>
          <w:sz w:val="18"/>
          <w:szCs w:val="18"/>
          <w:lang w:val="es-CR" w:eastAsia="es-MX"/>
        </w:rPr>
        <w:t xml:space="preserve">culo 26 de la Convención Americana, </w:t>
      </w:r>
      <w:r w:rsidR="00F54BFE">
        <w:rPr>
          <w:rFonts w:cs="Verdana"/>
          <w:sz w:val="18"/>
          <w:szCs w:val="18"/>
          <w:lang w:val="es-CR" w:eastAsia="es-MX"/>
        </w:rPr>
        <w:t>debido a</w:t>
      </w:r>
      <w:r w:rsidR="00116C9F">
        <w:rPr>
          <w:rFonts w:cs="Verdana"/>
          <w:sz w:val="18"/>
          <w:szCs w:val="18"/>
          <w:lang w:val="es-CR" w:eastAsia="es-MX"/>
        </w:rPr>
        <w:t xml:space="preserve"> </w:t>
      </w:r>
      <w:r w:rsidRPr="00F54BFE">
        <w:rPr>
          <w:rFonts w:cs="Verdana"/>
          <w:sz w:val="18"/>
          <w:szCs w:val="18"/>
          <w:lang w:val="es-CR" w:eastAsia="es-MX"/>
        </w:rPr>
        <w:t xml:space="preserve">que </w:t>
      </w:r>
      <w:r w:rsidRPr="00F54BFE">
        <w:rPr>
          <w:sz w:val="18"/>
          <w:szCs w:val="18"/>
          <w:lang w:val="es-CR"/>
        </w:rPr>
        <w:t xml:space="preserve">bajo dicha norma se encuentran protegidos aquellos derechos que se derivan de las normas económicas, sociales y sobre educación, ciencia y cultura contenidas en la Carta de la OEA, en la Declaración Americana sobre Derechos y Deberes del Hombre (en la medida en que ésta última “contiene y define aquellos derechos humanos esenciales a los que la Carta se refiere”) y los que se deriven de una interpretación de la Convención acorde con los criterios establecidos en el artículo 29 de la misma </w:t>
      </w:r>
      <w:r w:rsidRPr="00F54BFE">
        <w:rPr>
          <w:rFonts w:cs="Tahoma"/>
          <w:sz w:val="18"/>
          <w:szCs w:val="18"/>
          <w:lang w:val="es-CR"/>
        </w:rPr>
        <w:t xml:space="preserve">[…]. </w:t>
      </w:r>
      <w:r w:rsidRPr="00F54BFE">
        <w:rPr>
          <w:sz w:val="18"/>
          <w:szCs w:val="18"/>
        </w:rPr>
        <w:t>La Corte reitera la interdependencia e indivisibilidad existente entre los derechos civiles y políticos, y los económicos, sociales y culturales, puesto que deben ser entendidos integralmente y de forma conglobada como derechos humanos, sin jerarquía entre sí y exigibles en todos los casos ante aquellas autoridades que resulten competentes para ello</w:t>
      </w:r>
      <w:r w:rsidRPr="00F54BFE">
        <w:rPr>
          <w:rStyle w:val="FootnoteReference"/>
          <w:sz w:val="18"/>
          <w:szCs w:val="18"/>
        </w:rPr>
        <w:footnoteReference w:id="1"/>
      </w:r>
      <w:r w:rsidRPr="00F54BFE">
        <w:rPr>
          <w:sz w:val="18"/>
          <w:szCs w:val="18"/>
        </w:rPr>
        <w:t>.</w:t>
      </w:r>
    </w:p>
    <w:p w:rsidR="00A930BD" w:rsidRDefault="00A930BD" w:rsidP="00A930BD">
      <w:pPr>
        <w:jc w:val="both"/>
        <w:rPr>
          <w:rFonts w:cs="Arial"/>
          <w:lang w:val="es-ES_tradnl"/>
        </w:rPr>
      </w:pPr>
    </w:p>
    <w:p w:rsidR="00A930BD" w:rsidRPr="00704F4F" w:rsidRDefault="00A930BD" w:rsidP="00A930BD">
      <w:pPr>
        <w:pStyle w:val="ListParagraph"/>
        <w:numPr>
          <w:ilvl w:val="0"/>
          <w:numId w:val="2"/>
        </w:numPr>
        <w:ind w:left="0" w:firstLine="0"/>
        <w:jc w:val="both"/>
        <w:rPr>
          <w:rFonts w:cs="Arial"/>
          <w:lang w:val="es-ES_tradnl"/>
        </w:rPr>
      </w:pPr>
      <w:r>
        <w:rPr>
          <w:rFonts w:cs="Arial"/>
          <w:lang w:val="es-ES_tradnl"/>
        </w:rPr>
        <w:lastRenderedPageBreak/>
        <w:t xml:space="preserve">Así, se puede observar que la mayoría, en el citado </w:t>
      </w:r>
      <w:proofErr w:type="spellStart"/>
      <w:r>
        <w:rPr>
          <w:rFonts w:cs="Arial"/>
          <w:i/>
          <w:lang w:val="es-ES_tradnl"/>
        </w:rPr>
        <w:t>obiter</w:t>
      </w:r>
      <w:proofErr w:type="spellEnd"/>
      <w:r>
        <w:rPr>
          <w:rFonts w:cs="Arial"/>
          <w:lang w:val="es-ES_tradnl"/>
        </w:rPr>
        <w:t xml:space="preserve">, pretende concluir que el derecho a un medio ambiente sano, de forma autónoma, es justiciable en casos contenciosos de forma directa ante las instituciones del Sistema Interamericano de Derechos Humanos en virtud del artículo 26 de la Convención. </w:t>
      </w:r>
    </w:p>
    <w:p w:rsidR="00A930BD" w:rsidRDefault="00A930BD" w:rsidP="00A930BD">
      <w:pPr>
        <w:jc w:val="both"/>
        <w:rPr>
          <w:rFonts w:cs="Arial"/>
          <w:lang w:val="es-ES_tradnl"/>
        </w:rPr>
      </w:pPr>
    </w:p>
    <w:p w:rsidR="00A930BD" w:rsidRDefault="00A930BD" w:rsidP="00A930BD">
      <w:pPr>
        <w:pStyle w:val="ListParagraph"/>
        <w:numPr>
          <w:ilvl w:val="0"/>
          <w:numId w:val="2"/>
        </w:numPr>
        <w:ind w:left="0" w:firstLine="0"/>
        <w:jc w:val="both"/>
        <w:rPr>
          <w:rFonts w:cs="Arial"/>
          <w:lang w:val="es-ES_tradnl"/>
        </w:rPr>
      </w:pPr>
      <w:r>
        <w:rPr>
          <w:rFonts w:cs="Arial"/>
          <w:lang w:val="es-ES_tradnl"/>
        </w:rPr>
        <w:t xml:space="preserve">No obstante lo anterior, las preguntas esbozadas por el Estado de Colombia se limitaban a la interpretación de las normas concernientes a las obligaciones estatales para respetar y garantizar los derechos a la vida (artículo 4) y a la integridad personal (artículo 5) de la Convención Americana, en materias que conciernen </w:t>
      </w:r>
      <w:r w:rsidR="00F54BFE">
        <w:rPr>
          <w:rFonts w:cs="Arial"/>
          <w:lang w:val="es-ES_tradnl"/>
        </w:rPr>
        <w:t xml:space="preserve">al </w:t>
      </w:r>
      <w:r>
        <w:rPr>
          <w:rFonts w:cs="Arial"/>
          <w:lang w:val="es-ES_tradnl"/>
        </w:rPr>
        <w:t xml:space="preserve">medio ambiente.  </w:t>
      </w:r>
    </w:p>
    <w:p w:rsidR="00A930BD" w:rsidRPr="00A930BD" w:rsidRDefault="00A930BD" w:rsidP="00A930BD">
      <w:pPr>
        <w:jc w:val="both"/>
        <w:rPr>
          <w:rFonts w:cs="Arial"/>
          <w:lang w:val="es-ES_tradnl"/>
        </w:rPr>
      </w:pPr>
    </w:p>
    <w:p w:rsidR="00A930BD" w:rsidRDefault="00A930BD" w:rsidP="00A930BD">
      <w:pPr>
        <w:pStyle w:val="ListParagraph"/>
        <w:numPr>
          <w:ilvl w:val="0"/>
          <w:numId w:val="2"/>
        </w:numPr>
        <w:ind w:left="0" w:firstLine="0"/>
        <w:jc w:val="both"/>
        <w:rPr>
          <w:rFonts w:cs="Arial"/>
          <w:lang w:val="es-ES_tradnl"/>
        </w:rPr>
      </w:pPr>
      <w:r>
        <w:rPr>
          <w:rFonts w:cs="Arial"/>
          <w:lang w:val="es-ES_tradnl"/>
        </w:rPr>
        <w:t xml:space="preserve">Al incorporar consideraciones sobre la </w:t>
      </w:r>
      <w:proofErr w:type="spellStart"/>
      <w:r>
        <w:rPr>
          <w:rFonts w:cs="Arial"/>
          <w:lang w:val="es-ES_tradnl"/>
        </w:rPr>
        <w:t>justiciabilidad</w:t>
      </w:r>
      <w:proofErr w:type="spellEnd"/>
      <w:r>
        <w:rPr>
          <w:rFonts w:cs="Arial"/>
          <w:lang w:val="es-ES_tradnl"/>
        </w:rPr>
        <w:t xml:space="preserve"> directa del derecho a un medio ambiente sano, en particular, o sobre derechos económicos, sociales y culturales, en general, se excede del objeto del debate de la Opinión Consultiva, sin haber concedido oportunidad alguna a los intervinientes en el trámite de la Opinión Consultiva de presentar argumentos a favor o en contra de dicha consideración.</w:t>
      </w:r>
    </w:p>
    <w:p w:rsidR="00A930BD" w:rsidRDefault="00A930BD" w:rsidP="00A930BD">
      <w:pPr>
        <w:jc w:val="both"/>
        <w:rPr>
          <w:rFonts w:cs="Arial"/>
          <w:lang w:val="es-ES_tradnl"/>
        </w:rPr>
      </w:pPr>
    </w:p>
    <w:p w:rsidR="00A930BD" w:rsidRPr="00337E82" w:rsidRDefault="00A930BD" w:rsidP="00A930BD">
      <w:pPr>
        <w:pStyle w:val="ListParagraph"/>
        <w:numPr>
          <w:ilvl w:val="0"/>
          <w:numId w:val="2"/>
        </w:numPr>
        <w:ind w:left="0" w:firstLine="0"/>
        <w:jc w:val="both"/>
        <w:rPr>
          <w:rFonts w:cs="Arial"/>
          <w:lang w:val="es-ES_tradnl"/>
        </w:rPr>
      </w:pPr>
      <w:r>
        <w:rPr>
          <w:rFonts w:cs="Arial"/>
          <w:lang w:val="es-ES_tradnl"/>
        </w:rPr>
        <w:t xml:space="preserve">En consecuencia, disiento de la Consideración antes citada sobre la </w:t>
      </w:r>
      <w:proofErr w:type="spellStart"/>
      <w:r>
        <w:rPr>
          <w:rFonts w:cs="Arial"/>
          <w:lang w:val="es-ES_tradnl"/>
        </w:rPr>
        <w:t>justiciabilidad</w:t>
      </w:r>
      <w:proofErr w:type="spellEnd"/>
      <w:r>
        <w:rPr>
          <w:rFonts w:cs="Arial"/>
          <w:lang w:val="es-ES_tradnl"/>
        </w:rPr>
        <w:t xml:space="preserve"> directa del derecho a un medio ambiente sano ante el Sistema Interamericano, toda vez que excedía la competencia de la Corte para el caso en concreto.  </w:t>
      </w:r>
    </w:p>
    <w:p w:rsidR="00A930BD" w:rsidRDefault="00A930BD" w:rsidP="00A930BD">
      <w:pPr>
        <w:jc w:val="both"/>
        <w:rPr>
          <w:rFonts w:cs="Arial"/>
          <w:lang w:val="es-ES_tradnl"/>
        </w:rPr>
      </w:pPr>
    </w:p>
    <w:p w:rsidR="00A930BD" w:rsidRDefault="00A930BD" w:rsidP="00A930BD">
      <w:pPr>
        <w:pStyle w:val="ListParagraph"/>
        <w:numPr>
          <w:ilvl w:val="0"/>
          <w:numId w:val="2"/>
        </w:numPr>
        <w:ind w:left="0" w:firstLine="0"/>
        <w:jc w:val="both"/>
        <w:rPr>
          <w:rFonts w:cs="Arial"/>
          <w:lang w:val="es-ES_tradnl"/>
        </w:rPr>
      </w:pPr>
      <w:r>
        <w:rPr>
          <w:rFonts w:cs="Arial"/>
          <w:lang w:val="es-ES_tradnl"/>
        </w:rPr>
        <w:t xml:space="preserve">Igualmente, deseo reiterar mis argumentos relativos a la no </w:t>
      </w:r>
      <w:proofErr w:type="spellStart"/>
      <w:r>
        <w:rPr>
          <w:rFonts w:cs="Arial"/>
          <w:lang w:val="es-ES_tradnl"/>
        </w:rPr>
        <w:t>justiciabilidad</w:t>
      </w:r>
      <w:proofErr w:type="spellEnd"/>
      <w:r>
        <w:rPr>
          <w:rFonts w:cs="Arial"/>
          <w:lang w:val="es-ES_tradnl"/>
        </w:rPr>
        <w:t xml:space="preserve"> directa de los derechos económicos, sociales y culturales a través del artículo 26 de la Convención Americana. </w:t>
      </w:r>
    </w:p>
    <w:p w:rsidR="00A930BD" w:rsidRDefault="00A930BD" w:rsidP="00A930BD">
      <w:pPr>
        <w:jc w:val="both"/>
        <w:rPr>
          <w:rFonts w:cs="Arial"/>
          <w:lang w:val="es-ES_tradnl"/>
        </w:rPr>
      </w:pPr>
    </w:p>
    <w:p w:rsidR="00A930BD" w:rsidRDefault="00A930BD" w:rsidP="00A930BD">
      <w:pPr>
        <w:pStyle w:val="ListParagraph"/>
        <w:numPr>
          <w:ilvl w:val="0"/>
          <w:numId w:val="2"/>
        </w:numPr>
        <w:ind w:left="0" w:firstLine="0"/>
        <w:jc w:val="both"/>
        <w:rPr>
          <w:rFonts w:cs="Arial"/>
          <w:lang w:val="es-ES_tradnl"/>
        </w:rPr>
      </w:pPr>
      <w:r>
        <w:rPr>
          <w:rFonts w:cs="Arial"/>
          <w:lang w:val="es-ES_tradnl"/>
        </w:rPr>
        <w:t>Lo señalado por la Opinión Consultiva en el párrafo indicado se fundamenta en las consideraciones establecidas en los párrafos 14</w:t>
      </w:r>
      <w:r w:rsidR="00F54BFE">
        <w:rPr>
          <w:rFonts w:cs="Arial"/>
          <w:lang w:val="es-ES_tradnl"/>
        </w:rPr>
        <w:t>1</w:t>
      </w:r>
      <w:r>
        <w:rPr>
          <w:rFonts w:cs="Arial"/>
          <w:lang w:val="es-ES_tradnl"/>
        </w:rPr>
        <w:t xml:space="preserve"> a 144 de la Sentencia del </w:t>
      </w:r>
      <w:r w:rsidRPr="00F54BFE">
        <w:rPr>
          <w:rFonts w:cs="Arial"/>
          <w:lang w:val="es-ES_tradnl"/>
        </w:rPr>
        <w:t>caso</w:t>
      </w:r>
      <w:r>
        <w:rPr>
          <w:rFonts w:cs="Arial"/>
          <w:lang w:val="es-ES_tradnl"/>
        </w:rPr>
        <w:t xml:space="preserve"> </w:t>
      </w:r>
      <w:r>
        <w:rPr>
          <w:rFonts w:cs="Arial"/>
          <w:i/>
          <w:lang w:val="es-ES_tradnl"/>
        </w:rPr>
        <w:t>Lagos del Campo</w:t>
      </w:r>
      <w:r>
        <w:rPr>
          <w:rFonts w:cs="Arial"/>
          <w:lang w:val="es-ES_tradnl"/>
        </w:rPr>
        <w:t xml:space="preserve"> </w:t>
      </w:r>
      <w:r>
        <w:rPr>
          <w:rFonts w:cs="Arial"/>
          <w:i/>
          <w:lang w:val="es-ES_tradnl"/>
        </w:rPr>
        <w:t>Vs. Perú</w:t>
      </w:r>
      <w:r>
        <w:rPr>
          <w:rFonts w:cs="Arial"/>
          <w:lang w:val="es-ES_tradnl"/>
        </w:rPr>
        <w:t xml:space="preserve">, con base en el cual la Corte entendería como incorporados dentro del artículo 26 de la Convención, y por lo tanto, justiciables de forma directa, aquellos derechos que se derivan de la Carta de la OEA, la Declaración Americana sobre Derechos y Deberes del Hombre y los que se deriven de “otros actos internacionales de la misma naturaleza”, en virtud del artículo 29.d de la Convención Americana. </w:t>
      </w:r>
    </w:p>
    <w:p w:rsidR="00A930BD" w:rsidRDefault="00A930BD" w:rsidP="00A930BD">
      <w:pPr>
        <w:jc w:val="both"/>
        <w:rPr>
          <w:rFonts w:cs="Arial"/>
          <w:lang w:val="es-ES_tradnl"/>
        </w:rPr>
      </w:pPr>
    </w:p>
    <w:p w:rsidR="00A930BD" w:rsidRDefault="00A930BD" w:rsidP="00A930BD">
      <w:pPr>
        <w:pStyle w:val="ListParagraph"/>
        <w:numPr>
          <w:ilvl w:val="0"/>
          <w:numId w:val="2"/>
        </w:numPr>
        <w:ind w:left="0" w:firstLine="0"/>
        <w:jc w:val="both"/>
        <w:rPr>
          <w:rFonts w:cs="Arial"/>
          <w:lang w:val="es-ES_tradnl"/>
        </w:rPr>
      </w:pPr>
      <w:r>
        <w:rPr>
          <w:rFonts w:cs="Arial"/>
          <w:lang w:val="es-ES_tradnl"/>
        </w:rPr>
        <w:t xml:space="preserve">En este sentido, reitero en todos sus aspectos mis opiniones esbozadas en mi voto concurrente en el </w:t>
      </w:r>
      <w:r w:rsidRPr="00F54BFE">
        <w:rPr>
          <w:rFonts w:cs="Arial"/>
          <w:lang w:val="es-ES_tradnl"/>
        </w:rPr>
        <w:t>caso</w:t>
      </w:r>
      <w:r>
        <w:rPr>
          <w:rFonts w:cs="Arial"/>
          <w:lang w:val="es-ES_tradnl"/>
        </w:rPr>
        <w:t xml:space="preserve"> </w:t>
      </w:r>
      <w:r>
        <w:rPr>
          <w:rFonts w:cs="Arial"/>
          <w:i/>
          <w:lang w:val="es-ES_tradnl"/>
        </w:rPr>
        <w:t>Gonzale</w:t>
      </w:r>
      <w:r w:rsidR="00F54BFE">
        <w:rPr>
          <w:rFonts w:cs="Arial"/>
          <w:i/>
          <w:lang w:val="es-ES_tradnl"/>
        </w:rPr>
        <w:t>s</w:t>
      </w:r>
      <w:r>
        <w:rPr>
          <w:rFonts w:cs="Arial"/>
          <w:i/>
          <w:lang w:val="es-ES_tradnl"/>
        </w:rPr>
        <w:t xml:space="preserve"> </w:t>
      </w:r>
      <w:proofErr w:type="spellStart"/>
      <w:r>
        <w:rPr>
          <w:rFonts w:cs="Arial"/>
          <w:i/>
          <w:lang w:val="es-ES_tradnl"/>
        </w:rPr>
        <w:t>Lluy</w:t>
      </w:r>
      <w:proofErr w:type="spellEnd"/>
      <w:r>
        <w:rPr>
          <w:rFonts w:cs="Arial"/>
          <w:i/>
          <w:lang w:val="es-ES_tradnl"/>
        </w:rPr>
        <w:t xml:space="preserve"> </w:t>
      </w:r>
      <w:r w:rsidR="00F54BFE">
        <w:rPr>
          <w:rFonts w:cs="Arial"/>
          <w:i/>
          <w:lang w:val="es-ES_tradnl"/>
        </w:rPr>
        <w:t xml:space="preserve">y otros </w:t>
      </w:r>
      <w:r>
        <w:rPr>
          <w:rFonts w:cs="Arial"/>
          <w:i/>
          <w:lang w:val="es-ES_tradnl"/>
        </w:rPr>
        <w:t>Vs. Ecuador</w:t>
      </w:r>
      <w:r w:rsidR="0068463C">
        <w:rPr>
          <w:rFonts w:cs="Arial"/>
          <w:lang w:val="es-ES_tradnl"/>
        </w:rPr>
        <w:t xml:space="preserve"> y en mi voto parcialmente disidente</w:t>
      </w:r>
      <w:r>
        <w:rPr>
          <w:rFonts w:cs="Arial"/>
          <w:lang w:val="es-ES_tradnl"/>
        </w:rPr>
        <w:t xml:space="preserve"> en </w:t>
      </w:r>
      <w:r w:rsidR="0068463C">
        <w:rPr>
          <w:rFonts w:cs="Arial"/>
          <w:lang w:val="es-ES_tradnl"/>
        </w:rPr>
        <w:t>el caso</w:t>
      </w:r>
      <w:r>
        <w:rPr>
          <w:rFonts w:cs="Arial"/>
          <w:lang w:val="es-ES_tradnl"/>
        </w:rPr>
        <w:t xml:space="preserve"> </w:t>
      </w:r>
      <w:r>
        <w:rPr>
          <w:rFonts w:cs="Arial"/>
          <w:i/>
          <w:lang w:val="es-ES_tradnl"/>
        </w:rPr>
        <w:t>Lagos del Campo Vs. Perú</w:t>
      </w:r>
      <w:r>
        <w:rPr>
          <w:rFonts w:cs="Arial"/>
          <w:lang w:val="es-ES_tradnl"/>
        </w:rPr>
        <w:t xml:space="preserve">, en los cuales argumento las razones por las cuales considero que la amplísima apertura que se ha dado al artículo 26 de la Convención Americana excede el alcance del propio artículo. Aunado a ello, insisto en las falencias argumentativas que identifiqué en mi voto del </w:t>
      </w:r>
      <w:r w:rsidRPr="00F54BFE">
        <w:rPr>
          <w:rFonts w:cs="Arial"/>
          <w:lang w:val="es-ES_tradnl"/>
        </w:rPr>
        <w:t>caso</w:t>
      </w:r>
      <w:r>
        <w:rPr>
          <w:rFonts w:cs="Arial"/>
          <w:lang w:val="es-ES_tradnl"/>
        </w:rPr>
        <w:t xml:space="preserve"> </w:t>
      </w:r>
      <w:r>
        <w:rPr>
          <w:rFonts w:cs="Arial"/>
          <w:i/>
          <w:lang w:val="es-ES_tradnl"/>
        </w:rPr>
        <w:t>Lagos del Campo</w:t>
      </w:r>
      <w:r>
        <w:rPr>
          <w:rFonts w:cs="Arial"/>
          <w:lang w:val="es-ES_tradnl"/>
        </w:rPr>
        <w:t xml:space="preserve">, toda vez que en las posteriores oportunidades en los que la Corte se ha pronunciado o ha hecho referencia al artículo 26 de la Convención, lo ha hecho reiterando el precedente inmotivado del caso antes identificado.  </w:t>
      </w:r>
    </w:p>
    <w:p w:rsidR="00A930BD" w:rsidRDefault="00A930BD" w:rsidP="0094414B">
      <w:pPr>
        <w:jc w:val="both"/>
        <w:rPr>
          <w:rFonts w:cs="Arial"/>
          <w:lang w:val="es-ES_tradnl"/>
        </w:rPr>
      </w:pPr>
    </w:p>
    <w:p w:rsidR="00F6440B" w:rsidRDefault="00F6440B" w:rsidP="0094414B">
      <w:pPr>
        <w:jc w:val="both"/>
        <w:rPr>
          <w:rFonts w:cs="Arial"/>
          <w:lang w:val="es-ES_tradnl"/>
        </w:rPr>
      </w:pPr>
    </w:p>
    <w:p w:rsidR="0094414B" w:rsidRDefault="0094414B" w:rsidP="0094414B">
      <w:pPr>
        <w:jc w:val="both"/>
        <w:rPr>
          <w:rFonts w:cs="Arial"/>
          <w:lang w:val="es-ES_tradnl"/>
        </w:rPr>
      </w:pPr>
    </w:p>
    <w:p w:rsidR="00F6440B" w:rsidRPr="00361F63" w:rsidRDefault="00F6440B" w:rsidP="0094414B">
      <w:pPr>
        <w:rPr>
          <w:lang w:val="es-ES_tradnl"/>
        </w:rPr>
      </w:pPr>
    </w:p>
    <w:p w:rsidR="00F6440B" w:rsidRPr="00035BF0" w:rsidRDefault="00F6440B" w:rsidP="0094414B">
      <w:pPr>
        <w:rPr>
          <w:lang w:val="es-CR"/>
        </w:rPr>
      </w:pPr>
    </w:p>
    <w:p w:rsidR="00F6440B" w:rsidRPr="00035BF0" w:rsidRDefault="00F6440B" w:rsidP="00F6440B">
      <w:pPr>
        <w:ind w:left="4248"/>
        <w:jc w:val="center"/>
        <w:rPr>
          <w:lang w:val="es-CR"/>
        </w:rPr>
      </w:pPr>
      <w:r w:rsidRPr="00035BF0">
        <w:rPr>
          <w:lang w:val="pt-BR"/>
        </w:rPr>
        <w:t>Humberto Antonio Sierra Porto</w:t>
      </w:r>
    </w:p>
    <w:p w:rsidR="00F6440B" w:rsidRPr="00035BF0" w:rsidRDefault="00F6440B" w:rsidP="00F6440B">
      <w:pPr>
        <w:ind w:left="4248"/>
        <w:jc w:val="center"/>
        <w:rPr>
          <w:lang w:val="es-CR"/>
        </w:rPr>
      </w:pPr>
      <w:r w:rsidRPr="00035BF0">
        <w:rPr>
          <w:lang w:val="es-CR"/>
        </w:rPr>
        <w:t>Juez</w:t>
      </w:r>
    </w:p>
    <w:p w:rsidR="00F6440B" w:rsidRPr="00035BF0" w:rsidRDefault="00F6440B" w:rsidP="009F2979">
      <w:pPr>
        <w:tabs>
          <w:tab w:val="left" w:pos="1440"/>
        </w:tabs>
        <w:rPr>
          <w:lang w:val="es-CR"/>
        </w:rPr>
      </w:pPr>
    </w:p>
    <w:p w:rsidR="00F6440B" w:rsidRPr="00035BF0" w:rsidRDefault="00F6440B" w:rsidP="009F2979">
      <w:pPr>
        <w:tabs>
          <w:tab w:val="left" w:pos="1440"/>
        </w:tabs>
        <w:rPr>
          <w:lang w:val="es-CR"/>
        </w:rPr>
      </w:pPr>
    </w:p>
    <w:p w:rsidR="00F6440B" w:rsidRDefault="00F6440B" w:rsidP="009F2979">
      <w:pPr>
        <w:tabs>
          <w:tab w:val="left" w:pos="1440"/>
        </w:tabs>
        <w:rPr>
          <w:lang w:val="es-CR"/>
        </w:rPr>
      </w:pPr>
    </w:p>
    <w:p w:rsidR="0094414B" w:rsidRPr="00035BF0" w:rsidRDefault="0094414B" w:rsidP="009F2979">
      <w:pPr>
        <w:tabs>
          <w:tab w:val="left" w:pos="1440"/>
        </w:tabs>
        <w:rPr>
          <w:lang w:val="es-CR"/>
        </w:rPr>
      </w:pPr>
    </w:p>
    <w:p w:rsidR="00F6440B" w:rsidRPr="00035BF0" w:rsidRDefault="00F6440B" w:rsidP="00F6440B">
      <w:pPr>
        <w:tabs>
          <w:tab w:val="left" w:pos="1440"/>
        </w:tabs>
        <w:rPr>
          <w:lang w:val="es-CR"/>
        </w:rPr>
      </w:pPr>
    </w:p>
    <w:p w:rsidR="00F6440B" w:rsidRPr="00035BF0" w:rsidRDefault="00F6440B" w:rsidP="00F6440B">
      <w:pPr>
        <w:tabs>
          <w:tab w:val="left" w:pos="1440"/>
        </w:tabs>
        <w:rPr>
          <w:lang w:val="es-CR"/>
        </w:rPr>
      </w:pPr>
      <w:r w:rsidRPr="00035BF0">
        <w:rPr>
          <w:lang w:val="es-CR"/>
        </w:rPr>
        <w:t>Pablo Saavedra Alessandri</w:t>
      </w:r>
    </w:p>
    <w:p w:rsidR="00F6440B" w:rsidRPr="00035BF0" w:rsidRDefault="00F6440B" w:rsidP="00F6440B">
      <w:pPr>
        <w:tabs>
          <w:tab w:val="left" w:pos="1440"/>
        </w:tabs>
      </w:pPr>
      <w:r w:rsidRPr="009F2979">
        <w:rPr>
          <w:lang w:val="es-CR"/>
        </w:rPr>
        <w:t xml:space="preserve">          </w:t>
      </w:r>
      <w:proofErr w:type="spellStart"/>
      <w:r w:rsidRPr="00035BF0">
        <w:t>Secretario</w:t>
      </w:r>
      <w:proofErr w:type="spellEnd"/>
    </w:p>
    <w:p w:rsidR="00F6440B" w:rsidRPr="00A930BD" w:rsidRDefault="00F6440B" w:rsidP="00A930BD">
      <w:pPr>
        <w:jc w:val="both"/>
        <w:rPr>
          <w:rFonts w:cs="Arial"/>
          <w:lang w:val="es-ES_tradnl"/>
        </w:rPr>
      </w:pPr>
    </w:p>
    <w:sectPr w:rsidR="00F6440B" w:rsidRPr="00A930BD" w:rsidSect="003C0916">
      <w:headerReference w:type="default" r:id="rId8"/>
      <w:pgSz w:w="11900" w:h="16840"/>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425" w:rsidRDefault="00E95425" w:rsidP="00A930BD">
      <w:r>
        <w:separator/>
      </w:r>
    </w:p>
  </w:endnote>
  <w:endnote w:type="continuationSeparator" w:id="0">
    <w:p w:rsidR="00E95425" w:rsidRDefault="00E95425" w:rsidP="00A9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425" w:rsidRDefault="00E95425" w:rsidP="00A930BD">
      <w:r>
        <w:separator/>
      </w:r>
    </w:p>
  </w:footnote>
  <w:footnote w:type="continuationSeparator" w:id="0">
    <w:p w:rsidR="00E95425" w:rsidRDefault="00E95425" w:rsidP="00A930BD">
      <w:r>
        <w:continuationSeparator/>
      </w:r>
    </w:p>
  </w:footnote>
  <w:footnote w:id="1">
    <w:p w:rsidR="00A930BD" w:rsidRPr="006D0EBC" w:rsidRDefault="00A930BD" w:rsidP="00A930BD">
      <w:pPr>
        <w:pStyle w:val="FootnoteText"/>
        <w:rPr>
          <w:sz w:val="16"/>
          <w:szCs w:val="16"/>
          <w:lang w:val="es-ES_tradnl"/>
        </w:rPr>
      </w:pPr>
      <w:r w:rsidRPr="006D0EBC">
        <w:rPr>
          <w:rStyle w:val="FootnoteReference"/>
          <w:sz w:val="16"/>
          <w:szCs w:val="16"/>
        </w:rPr>
        <w:footnoteRef/>
      </w:r>
      <w:r w:rsidRPr="00AA14C6">
        <w:rPr>
          <w:sz w:val="16"/>
          <w:szCs w:val="16"/>
          <w:lang w:val="es-CR"/>
        </w:rPr>
        <w:t xml:space="preserve"> </w:t>
      </w:r>
      <w:r w:rsidRPr="006D0EBC">
        <w:rPr>
          <w:sz w:val="16"/>
          <w:szCs w:val="16"/>
          <w:lang w:val="es-ES_tradnl"/>
        </w:rPr>
        <w:tab/>
        <w:t xml:space="preserve">Opinión Consultiva No. 23, </w:t>
      </w:r>
      <w:r w:rsidR="00441A23">
        <w:rPr>
          <w:sz w:val="16"/>
          <w:szCs w:val="16"/>
          <w:lang w:val="es-ES_tradnl"/>
        </w:rPr>
        <w:t>p</w:t>
      </w:r>
      <w:r w:rsidRPr="006D0EBC">
        <w:rPr>
          <w:sz w:val="16"/>
          <w:szCs w:val="16"/>
          <w:lang w:val="es-ES_tradnl"/>
        </w:rPr>
        <w:t>árr. 5</w:t>
      </w:r>
      <w:r w:rsidR="00E61ECE">
        <w:rPr>
          <w:sz w:val="16"/>
          <w:szCs w:val="16"/>
          <w:lang w:val="es-ES_tradnl"/>
        </w:rPr>
        <w:t>7</w:t>
      </w:r>
      <w:r w:rsidRPr="006D0EBC">
        <w:rPr>
          <w:sz w:val="16"/>
          <w:szCs w:val="16"/>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609788"/>
      <w:docPartObj>
        <w:docPartGallery w:val="Page Numbers (Top of Page)"/>
        <w:docPartUnique/>
      </w:docPartObj>
    </w:sdtPr>
    <w:sdtEndPr>
      <w:rPr>
        <w:noProof/>
      </w:rPr>
    </w:sdtEndPr>
    <w:sdtContent>
      <w:p w:rsidR="003C0916" w:rsidRDefault="003C0916">
        <w:pPr>
          <w:pStyle w:val="Header"/>
          <w:jc w:val="center"/>
        </w:pPr>
        <w:r>
          <w:t xml:space="preserve">- </w:t>
        </w:r>
        <w:r>
          <w:fldChar w:fldCharType="begin"/>
        </w:r>
        <w:r>
          <w:instrText xml:space="preserve"> PAGE   \* MERGEFORMAT </w:instrText>
        </w:r>
        <w:r>
          <w:fldChar w:fldCharType="separate"/>
        </w:r>
        <w:r w:rsidR="00586C87">
          <w:rPr>
            <w:noProof/>
          </w:rPr>
          <w:t>2</w:t>
        </w:r>
        <w:r>
          <w:rPr>
            <w:noProof/>
          </w:rPr>
          <w:fldChar w:fldCharType="end"/>
        </w:r>
        <w:r>
          <w:rPr>
            <w:noProof/>
          </w:rPr>
          <w:t xml:space="preserve"> -</w:t>
        </w:r>
      </w:p>
    </w:sdtContent>
  </w:sdt>
  <w:p w:rsidR="003C0916" w:rsidRDefault="003C0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C7F9D"/>
    <w:multiLevelType w:val="hybridMultilevel"/>
    <w:tmpl w:val="EE6A0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5A6F5C"/>
    <w:multiLevelType w:val="hybridMultilevel"/>
    <w:tmpl w:val="D4E031B2"/>
    <w:lvl w:ilvl="0" w:tplc="12C2FA88">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C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BD"/>
    <w:rsid w:val="000A2AF6"/>
    <w:rsid w:val="00116C9F"/>
    <w:rsid w:val="00230A60"/>
    <w:rsid w:val="00361F63"/>
    <w:rsid w:val="003C0916"/>
    <w:rsid w:val="00441A23"/>
    <w:rsid w:val="00557E58"/>
    <w:rsid w:val="00586C87"/>
    <w:rsid w:val="005E64F0"/>
    <w:rsid w:val="00627F2A"/>
    <w:rsid w:val="0068463C"/>
    <w:rsid w:val="007C12DC"/>
    <w:rsid w:val="007C2911"/>
    <w:rsid w:val="008360ED"/>
    <w:rsid w:val="00863504"/>
    <w:rsid w:val="008841ED"/>
    <w:rsid w:val="0090008E"/>
    <w:rsid w:val="0094414B"/>
    <w:rsid w:val="00951A3A"/>
    <w:rsid w:val="009F2979"/>
    <w:rsid w:val="00A930BD"/>
    <w:rsid w:val="00B32E2A"/>
    <w:rsid w:val="00E61ECE"/>
    <w:rsid w:val="00E95425"/>
    <w:rsid w:val="00F54BFE"/>
    <w:rsid w:val="00F6440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0BD"/>
    <w:rPr>
      <w:rFonts w:ascii="Verdana" w:eastAsia="Times New Roman"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Ref. de nota al"/>
    <w:link w:val="4GChar"/>
    <w:qFormat/>
    <w:rsid w:val="00A930BD"/>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A930BD"/>
    <w:pPr>
      <w:jc w:val="both"/>
    </w:pPr>
    <w:rPr>
      <w:rFonts w:asciiTheme="minorHAnsi" w:eastAsiaTheme="minorEastAsia" w:hAnsiTheme="minorHAnsi" w:cstheme="minorBidi"/>
      <w:sz w:val="24"/>
      <w:szCs w:val="24"/>
      <w:vertAlign w:val="superscript"/>
      <w:lang w:val="es-ES_tradnl"/>
    </w:rPr>
  </w:style>
  <w:style w:type="paragraph" w:styleId="FootnoteText">
    <w:name w:val="footnote text"/>
    <w:aliases w:val="Footnote Text Char Char Char Char Char,Footnote Text Char Char Char Char,Footnote reference,FA Fu,Footnote Text Char Char Char,Footnote Text Cha,FA Fußnotentext,FA Fu?notentext,Texto nota pie Car,Footnote Text Char Char,FA Fuﬂnotentext,Ca"/>
    <w:basedOn w:val="Normal"/>
    <w:link w:val="FootnoteTextChar"/>
    <w:qFormat/>
    <w:rsid w:val="00A930BD"/>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
    <w:basedOn w:val="DefaultParagraphFont"/>
    <w:link w:val="FootnoteText"/>
    <w:qFormat/>
    <w:rsid w:val="00A930BD"/>
    <w:rPr>
      <w:rFonts w:ascii="Verdana" w:eastAsia="Times New Roman" w:hAnsi="Verdana" w:cs="Times New Roman"/>
      <w:sz w:val="20"/>
      <w:szCs w:val="20"/>
      <w:lang w:val="en-US"/>
    </w:rPr>
  </w:style>
  <w:style w:type="paragraph" w:customStyle="1" w:styleId="Numberedparagraphs">
    <w:name w:val="Numbered paragraphs"/>
    <w:basedOn w:val="Normal"/>
    <w:link w:val="NumberedparagraphsCar"/>
    <w:qFormat/>
    <w:rsid w:val="00A930BD"/>
    <w:pPr>
      <w:numPr>
        <w:numId w:val="1"/>
      </w:numPr>
      <w:spacing w:after="200"/>
      <w:jc w:val="both"/>
    </w:pPr>
    <w:rPr>
      <w:rFonts w:eastAsia="MS Mincho"/>
      <w:color w:val="000000"/>
      <w:lang w:val="es-ES_tradnl"/>
    </w:rPr>
  </w:style>
  <w:style w:type="character" w:customStyle="1" w:styleId="NumberedparagraphsCar">
    <w:name w:val="Numbered paragraphs Car"/>
    <w:basedOn w:val="DefaultParagraphFont"/>
    <w:link w:val="Numberedparagraphs"/>
    <w:rsid w:val="00A930BD"/>
    <w:rPr>
      <w:rFonts w:ascii="Verdana" w:eastAsia="MS Mincho" w:hAnsi="Verdana" w:cs="Times New Roman"/>
      <w:color w:val="000000"/>
      <w:sz w:val="20"/>
      <w:szCs w:val="20"/>
    </w:rPr>
  </w:style>
  <w:style w:type="paragraph" w:styleId="ListParagraph">
    <w:name w:val="List Paragraph"/>
    <w:basedOn w:val="Normal"/>
    <w:uiPriority w:val="34"/>
    <w:qFormat/>
    <w:rsid w:val="00A930BD"/>
    <w:pPr>
      <w:ind w:left="720"/>
      <w:contextualSpacing/>
    </w:pPr>
  </w:style>
  <w:style w:type="paragraph" w:styleId="BalloonText">
    <w:name w:val="Balloon Text"/>
    <w:basedOn w:val="Normal"/>
    <w:link w:val="BalloonTextChar"/>
    <w:uiPriority w:val="99"/>
    <w:semiHidden/>
    <w:unhideWhenUsed/>
    <w:rsid w:val="005E64F0"/>
    <w:rPr>
      <w:rFonts w:ascii="Tahoma" w:hAnsi="Tahoma" w:cs="Tahoma"/>
      <w:sz w:val="16"/>
      <w:szCs w:val="16"/>
    </w:rPr>
  </w:style>
  <w:style w:type="character" w:customStyle="1" w:styleId="BalloonTextChar">
    <w:name w:val="Balloon Text Char"/>
    <w:basedOn w:val="DefaultParagraphFont"/>
    <w:link w:val="BalloonText"/>
    <w:uiPriority w:val="99"/>
    <w:semiHidden/>
    <w:rsid w:val="005E64F0"/>
    <w:rPr>
      <w:rFonts w:ascii="Tahoma" w:eastAsia="Times New Roman" w:hAnsi="Tahoma" w:cs="Tahoma"/>
      <w:sz w:val="16"/>
      <w:szCs w:val="16"/>
      <w:lang w:val="en-US"/>
    </w:rPr>
  </w:style>
  <w:style w:type="paragraph" w:styleId="Header">
    <w:name w:val="header"/>
    <w:basedOn w:val="Normal"/>
    <w:link w:val="HeaderChar"/>
    <w:uiPriority w:val="99"/>
    <w:unhideWhenUsed/>
    <w:rsid w:val="003C0916"/>
    <w:pPr>
      <w:tabs>
        <w:tab w:val="center" w:pos="4419"/>
        <w:tab w:val="right" w:pos="8838"/>
      </w:tabs>
    </w:pPr>
  </w:style>
  <w:style w:type="character" w:customStyle="1" w:styleId="HeaderChar">
    <w:name w:val="Header Char"/>
    <w:basedOn w:val="DefaultParagraphFont"/>
    <w:link w:val="Header"/>
    <w:uiPriority w:val="99"/>
    <w:rsid w:val="003C0916"/>
    <w:rPr>
      <w:rFonts w:ascii="Verdana" w:eastAsia="Times New Roman" w:hAnsi="Verdana" w:cs="Times New Roman"/>
      <w:sz w:val="20"/>
      <w:szCs w:val="20"/>
      <w:lang w:val="en-US"/>
    </w:rPr>
  </w:style>
  <w:style w:type="paragraph" w:styleId="Footer">
    <w:name w:val="footer"/>
    <w:basedOn w:val="Normal"/>
    <w:link w:val="FooterChar"/>
    <w:uiPriority w:val="99"/>
    <w:unhideWhenUsed/>
    <w:rsid w:val="003C0916"/>
    <w:pPr>
      <w:tabs>
        <w:tab w:val="center" w:pos="4419"/>
        <w:tab w:val="right" w:pos="8838"/>
      </w:tabs>
    </w:pPr>
  </w:style>
  <w:style w:type="character" w:customStyle="1" w:styleId="FooterChar">
    <w:name w:val="Footer Char"/>
    <w:basedOn w:val="DefaultParagraphFont"/>
    <w:link w:val="Footer"/>
    <w:uiPriority w:val="99"/>
    <w:rsid w:val="003C0916"/>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0BD"/>
    <w:rPr>
      <w:rFonts w:ascii="Verdana" w:eastAsia="Times New Roman"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Ref. de nota al"/>
    <w:link w:val="4GChar"/>
    <w:qFormat/>
    <w:rsid w:val="00A930BD"/>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A930BD"/>
    <w:pPr>
      <w:jc w:val="both"/>
    </w:pPr>
    <w:rPr>
      <w:rFonts w:asciiTheme="minorHAnsi" w:eastAsiaTheme="minorEastAsia" w:hAnsiTheme="minorHAnsi" w:cstheme="minorBidi"/>
      <w:sz w:val="24"/>
      <w:szCs w:val="24"/>
      <w:vertAlign w:val="superscript"/>
      <w:lang w:val="es-ES_tradnl"/>
    </w:rPr>
  </w:style>
  <w:style w:type="paragraph" w:styleId="FootnoteText">
    <w:name w:val="footnote text"/>
    <w:aliases w:val="Footnote Text Char Char Char Char Char,Footnote Text Char Char Char Char,Footnote reference,FA Fu,Footnote Text Char Char Char,Footnote Text Cha,FA Fußnotentext,FA Fu?notentext,Texto nota pie Car,Footnote Text Char Char,FA Fuﬂnotentext,Ca"/>
    <w:basedOn w:val="Normal"/>
    <w:link w:val="FootnoteTextChar"/>
    <w:qFormat/>
    <w:rsid w:val="00A930BD"/>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
    <w:basedOn w:val="DefaultParagraphFont"/>
    <w:link w:val="FootnoteText"/>
    <w:qFormat/>
    <w:rsid w:val="00A930BD"/>
    <w:rPr>
      <w:rFonts w:ascii="Verdana" w:eastAsia="Times New Roman" w:hAnsi="Verdana" w:cs="Times New Roman"/>
      <w:sz w:val="20"/>
      <w:szCs w:val="20"/>
      <w:lang w:val="en-US"/>
    </w:rPr>
  </w:style>
  <w:style w:type="paragraph" w:customStyle="1" w:styleId="Numberedparagraphs">
    <w:name w:val="Numbered paragraphs"/>
    <w:basedOn w:val="Normal"/>
    <w:link w:val="NumberedparagraphsCar"/>
    <w:qFormat/>
    <w:rsid w:val="00A930BD"/>
    <w:pPr>
      <w:numPr>
        <w:numId w:val="1"/>
      </w:numPr>
      <w:spacing w:after="200"/>
      <w:jc w:val="both"/>
    </w:pPr>
    <w:rPr>
      <w:rFonts w:eastAsia="MS Mincho"/>
      <w:color w:val="000000"/>
      <w:lang w:val="es-ES_tradnl"/>
    </w:rPr>
  </w:style>
  <w:style w:type="character" w:customStyle="1" w:styleId="NumberedparagraphsCar">
    <w:name w:val="Numbered paragraphs Car"/>
    <w:basedOn w:val="DefaultParagraphFont"/>
    <w:link w:val="Numberedparagraphs"/>
    <w:rsid w:val="00A930BD"/>
    <w:rPr>
      <w:rFonts w:ascii="Verdana" w:eastAsia="MS Mincho" w:hAnsi="Verdana" w:cs="Times New Roman"/>
      <w:color w:val="000000"/>
      <w:sz w:val="20"/>
      <w:szCs w:val="20"/>
    </w:rPr>
  </w:style>
  <w:style w:type="paragraph" w:styleId="ListParagraph">
    <w:name w:val="List Paragraph"/>
    <w:basedOn w:val="Normal"/>
    <w:uiPriority w:val="34"/>
    <w:qFormat/>
    <w:rsid w:val="00A930BD"/>
    <w:pPr>
      <w:ind w:left="720"/>
      <w:contextualSpacing/>
    </w:pPr>
  </w:style>
  <w:style w:type="paragraph" w:styleId="BalloonText">
    <w:name w:val="Balloon Text"/>
    <w:basedOn w:val="Normal"/>
    <w:link w:val="BalloonTextChar"/>
    <w:uiPriority w:val="99"/>
    <w:semiHidden/>
    <w:unhideWhenUsed/>
    <w:rsid w:val="005E64F0"/>
    <w:rPr>
      <w:rFonts w:ascii="Tahoma" w:hAnsi="Tahoma" w:cs="Tahoma"/>
      <w:sz w:val="16"/>
      <w:szCs w:val="16"/>
    </w:rPr>
  </w:style>
  <w:style w:type="character" w:customStyle="1" w:styleId="BalloonTextChar">
    <w:name w:val="Balloon Text Char"/>
    <w:basedOn w:val="DefaultParagraphFont"/>
    <w:link w:val="BalloonText"/>
    <w:uiPriority w:val="99"/>
    <w:semiHidden/>
    <w:rsid w:val="005E64F0"/>
    <w:rPr>
      <w:rFonts w:ascii="Tahoma" w:eastAsia="Times New Roman" w:hAnsi="Tahoma" w:cs="Tahoma"/>
      <w:sz w:val="16"/>
      <w:szCs w:val="16"/>
      <w:lang w:val="en-US"/>
    </w:rPr>
  </w:style>
  <w:style w:type="paragraph" w:styleId="Header">
    <w:name w:val="header"/>
    <w:basedOn w:val="Normal"/>
    <w:link w:val="HeaderChar"/>
    <w:uiPriority w:val="99"/>
    <w:unhideWhenUsed/>
    <w:rsid w:val="003C0916"/>
    <w:pPr>
      <w:tabs>
        <w:tab w:val="center" w:pos="4419"/>
        <w:tab w:val="right" w:pos="8838"/>
      </w:tabs>
    </w:pPr>
  </w:style>
  <w:style w:type="character" w:customStyle="1" w:styleId="HeaderChar">
    <w:name w:val="Header Char"/>
    <w:basedOn w:val="DefaultParagraphFont"/>
    <w:link w:val="Header"/>
    <w:uiPriority w:val="99"/>
    <w:rsid w:val="003C0916"/>
    <w:rPr>
      <w:rFonts w:ascii="Verdana" w:eastAsia="Times New Roman" w:hAnsi="Verdana" w:cs="Times New Roman"/>
      <w:sz w:val="20"/>
      <w:szCs w:val="20"/>
      <w:lang w:val="en-US"/>
    </w:rPr>
  </w:style>
  <w:style w:type="paragraph" w:styleId="Footer">
    <w:name w:val="footer"/>
    <w:basedOn w:val="Normal"/>
    <w:link w:val="FooterChar"/>
    <w:uiPriority w:val="99"/>
    <w:unhideWhenUsed/>
    <w:rsid w:val="003C0916"/>
    <w:pPr>
      <w:tabs>
        <w:tab w:val="center" w:pos="4419"/>
        <w:tab w:val="right" w:pos="8838"/>
      </w:tabs>
    </w:pPr>
  </w:style>
  <w:style w:type="character" w:customStyle="1" w:styleId="FooterChar">
    <w:name w:val="Footer Char"/>
    <w:basedOn w:val="DefaultParagraphFont"/>
    <w:link w:val="Footer"/>
    <w:uiPriority w:val="99"/>
    <w:rsid w:val="003C0916"/>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4476</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Hannia Sanchez</cp:lastModifiedBy>
  <cp:revision>2</cp:revision>
  <cp:lastPrinted>2018-02-07T14:56:00Z</cp:lastPrinted>
  <dcterms:created xsi:type="dcterms:W3CDTF">2018-02-09T22:50:00Z</dcterms:created>
  <dcterms:modified xsi:type="dcterms:W3CDTF">2018-02-09T22:50:00Z</dcterms:modified>
</cp:coreProperties>
</file>