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DFDF51" w14:textId="77777777" w:rsidR="00162E90" w:rsidRDefault="00162E90" w:rsidP="00A03DC4">
      <w:pPr>
        <w:spacing w:line="240" w:lineRule="auto"/>
        <w:ind w:right="1444"/>
        <w:jc w:val="center"/>
        <w:rPr>
          <w:rFonts w:ascii="Verdana" w:hAnsi="Verdana" w:cs="Verdana"/>
          <w:b/>
          <w:bCs/>
          <w:sz w:val="20"/>
          <w:szCs w:val="20"/>
          <w:lang w:val="es-ES"/>
        </w:rPr>
      </w:pPr>
      <w:bookmarkStart w:id="0" w:name="_GoBack"/>
      <w:bookmarkEnd w:id="0"/>
    </w:p>
    <w:p w14:paraId="6B4835E3" w14:textId="77777777" w:rsidR="00162E90" w:rsidRDefault="00162E90" w:rsidP="00A03DC4">
      <w:pPr>
        <w:spacing w:line="240" w:lineRule="auto"/>
        <w:ind w:right="1444"/>
        <w:jc w:val="center"/>
        <w:rPr>
          <w:rFonts w:ascii="Verdana" w:hAnsi="Verdana" w:cs="Verdana"/>
          <w:b/>
          <w:bCs/>
          <w:sz w:val="20"/>
          <w:szCs w:val="20"/>
          <w:lang w:val="es-ES"/>
        </w:rPr>
      </w:pPr>
    </w:p>
    <w:p w14:paraId="72E663CF" w14:textId="77777777" w:rsidR="00746AF8" w:rsidRDefault="00746AF8" w:rsidP="00A03DC4">
      <w:pPr>
        <w:spacing w:line="240" w:lineRule="auto"/>
        <w:ind w:right="1444"/>
        <w:jc w:val="center"/>
        <w:rPr>
          <w:rFonts w:ascii="Verdana" w:hAnsi="Verdana" w:cs="Verdana"/>
          <w:b/>
          <w:bCs/>
          <w:sz w:val="20"/>
          <w:szCs w:val="20"/>
          <w:lang w:val="es-ES"/>
        </w:rPr>
      </w:pPr>
    </w:p>
    <w:p w14:paraId="19C86855" w14:textId="77777777" w:rsidR="00A03DC4" w:rsidRPr="0032068E" w:rsidRDefault="00A03DC4" w:rsidP="00A03DC4">
      <w:pPr>
        <w:spacing w:line="240" w:lineRule="auto"/>
        <w:ind w:right="1444"/>
        <w:jc w:val="center"/>
        <w:rPr>
          <w:rFonts w:ascii="Verdana" w:hAnsi="Verdana" w:cs="Verdana"/>
          <w:b/>
          <w:bCs/>
          <w:sz w:val="20"/>
          <w:szCs w:val="20"/>
          <w:lang w:val="es-ES"/>
        </w:rPr>
      </w:pPr>
      <w:r w:rsidRPr="0032068E">
        <w:rPr>
          <w:rFonts w:ascii="Verdana" w:hAnsi="Verdana" w:cs="Verdana"/>
          <w:b/>
          <w:bCs/>
          <w:sz w:val="20"/>
          <w:szCs w:val="20"/>
          <w:lang w:val="es-ES"/>
        </w:rPr>
        <w:t>RESOLUCIÓN DE LA</w:t>
      </w:r>
    </w:p>
    <w:p w14:paraId="385745EB" w14:textId="77777777" w:rsidR="00A03DC4" w:rsidRPr="0032068E" w:rsidRDefault="00A03DC4" w:rsidP="00A03DC4">
      <w:pPr>
        <w:ind w:right="1444"/>
        <w:jc w:val="center"/>
        <w:rPr>
          <w:rFonts w:ascii="Verdana" w:hAnsi="Verdana" w:cs="Verdana"/>
          <w:b/>
          <w:bCs/>
          <w:sz w:val="20"/>
          <w:szCs w:val="20"/>
          <w:lang w:val="es-ES"/>
        </w:rPr>
      </w:pPr>
      <w:r w:rsidRPr="0032068E">
        <w:rPr>
          <w:rFonts w:ascii="Verdana" w:hAnsi="Verdana" w:cs="Verdana"/>
          <w:b/>
          <w:bCs/>
          <w:sz w:val="20"/>
          <w:szCs w:val="20"/>
          <w:lang w:val="es-ES"/>
        </w:rPr>
        <w:t>CORTE INTERAMERICANA DE DERECHOS HUMANOS</w:t>
      </w:r>
    </w:p>
    <w:p w14:paraId="07221554" w14:textId="45F40882" w:rsidR="00A03DC4" w:rsidRPr="0032068E" w:rsidRDefault="00A03DC4" w:rsidP="00A03DC4">
      <w:pPr>
        <w:ind w:right="1444"/>
        <w:jc w:val="center"/>
        <w:rPr>
          <w:rFonts w:ascii="Verdana" w:eastAsia="Calibri" w:hAnsi="Verdana" w:cs="Times New Roman"/>
          <w:b/>
          <w:smallCaps/>
          <w:sz w:val="20"/>
          <w:szCs w:val="20"/>
          <w:lang w:val="es-ES"/>
        </w:rPr>
      </w:pPr>
      <w:r w:rsidRPr="0032068E">
        <w:rPr>
          <w:rFonts w:ascii="Verdana" w:eastAsia="Calibri" w:hAnsi="Verdana" w:cs="Times New Roman"/>
          <w:b/>
          <w:smallCaps/>
          <w:sz w:val="20"/>
          <w:szCs w:val="20"/>
          <w:lang w:val="es-ES"/>
        </w:rPr>
        <w:t xml:space="preserve">DE </w:t>
      </w:r>
      <w:r w:rsidR="00A31285">
        <w:rPr>
          <w:rFonts w:ascii="Verdana" w:eastAsia="Calibri" w:hAnsi="Verdana" w:cs="Times New Roman"/>
          <w:b/>
          <w:smallCaps/>
          <w:sz w:val="20"/>
          <w:szCs w:val="20"/>
          <w:lang w:val="es-ES"/>
        </w:rPr>
        <w:t>24</w:t>
      </w:r>
      <w:r w:rsidRPr="0032068E">
        <w:rPr>
          <w:rFonts w:ascii="Verdana" w:eastAsia="Calibri" w:hAnsi="Verdana" w:cs="Times New Roman"/>
          <w:b/>
          <w:smallCaps/>
          <w:sz w:val="20"/>
          <w:szCs w:val="20"/>
          <w:lang w:val="es-ES"/>
        </w:rPr>
        <w:t xml:space="preserve"> DE </w:t>
      </w:r>
      <w:r w:rsidR="00D33FC6" w:rsidRPr="0032068E">
        <w:rPr>
          <w:rFonts w:ascii="Verdana" w:eastAsia="Calibri" w:hAnsi="Verdana" w:cs="Times New Roman"/>
          <w:b/>
          <w:smallCaps/>
          <w:sz w:val="20"/>
          <w:szCs w:val="20"/>
          <w:lang w:val="es-ES"/>
        </w:rPr>
        <w:t>NOVIEMBRE</w:t>
      </w:r>
      <w:r w:rsidR="00264654" w:rsidRPr="0032068E">
        <w:rPr>
          <w:rFonts w:ascii="Verdana" w:eastAsia="Calibri" w:hAnsi="Verdana" w:cs="Times New Roman"/>
          <w:b/>
          <w:smallCaps/>
          <w:sz w:val="20"/>
          <w:szCs w:val="20"/>
          <w:lang w:val="es-ES"/>
        </w:rPr>
        <w:t xml:space="preserve"> </w:t>
      </w:r>
      <w:r w:rsidRPr="0032068E">
        <w:rPr>
          <w:rFonts w:ascii="Verdana" w:eastAsia="Calibri" w:hAnsi="Verdana" w:cs="Times New Roman"/>
          <w:b/>
          <w:smallCaps/>
          <w:sz w:val="20"/>
          <w:szCs w:val="20"/>
          <w:lang w:val="es-ES"/>
        </w:rPr>
        <w:t>DE 2015</w:t>
      </w:r>
    </w:p>
    <w:p w14:paraId="4198D989" w14:textId="77777777" w:rsidR="00A03DC4" w:rsidRPr="0032068E" w:rsidRDefault="00A03DC4" w:rsidP="00A03DC4">
      <w:pPr>
        <w:ind w:right="1444"/>
        <w:jc w:val="center"/>
        <w:rPr>
          <w:rFonts w:ascii="Verdana" w:hAnsi="Verdana" w:cs="Verdana"/>
          <w:b/>
          <w:bCs/>
          <w:i/>
          <w:sz w:val="20"/>
          <w:szCs w:val="20"/>
          <w:lang w:val="es-ES"/>
        </w:rPr>
      </w:pPr>
      <w:r w:rsidRPr="0032068E">
        <w:rPr>
          <w:rFonts w:ascii="Verdana" w:hAnsi="Verdana" w:cs="Verdana"/>
          <w:b/>
          <w:bCs/>
          <w:i/>
          <w:sz w:val="20"/>
          <w:szCs w:val="20"/>
          <w:lang w:val="es-ES"/>
        </w:rPr>
        <w:t xml:space="preserve">12 CASOS GUATEMALTECOS </w:t>
      </w:r>
    </w:p>
    <w:p w14:paraId="1FDE2215" w14:textId="78B302DF" w:rsidR="00A03DC4" w:rsidRDefault="00A03DC4" w:rsidP="00A03DC4">
      <w:pPr>
        <w:ind w:right="1444"/>
        <w:jc w:val="center"/>
        <w:rPr>
          <w:rFonts w:ascii="Verdana" w:hAnsi="Verdana" w:cs="Verdana"/>
          <w:b/>
          <w:bCs/>
          <w:sz w:val="20"/>
          <w:szCs w:val="20"/>
          <w:lang w:val="es-ES"/>
        </w:rPr>
      </w:pPr>
      <w:r w:rsidRPr="0032068E">
        <w:rPr>
          <w:rFonts w:ascii="Verdana" w:hAnsi="Verdana" w:cs="Verdana"/>
          <w:b/>
          <w:bCs/>
          <w:sz w:val="20"/>
          <w:szCs w:val="20"/>
          <w:lang w:val="es-ES"/>
        </w:rPr>
        <w:t>SUPERVISIÓ</w:t>
      </w:r>
      <w:r w:rsidR="004A422E">
        <w:rPr>
          <w:rFonts w:ascii="Verdana" w:hAnsi="Verdana" w:cs="Verdana"/>
          <w:b/>
          <w:bCs/>
          <w:sz w:val="20"/>
          <w:szCs w:val="20"/>
          <w:lang w:val="es-ES"/>
        </w:rPr>
        <w:t>N DE CUMPLIMIENTO DE SENTENCIAS</w:t>
      </w:r>
      <w:r w:rsidRPr="0032068E">
        <w:rPr>
          <w:rFonts w:ascii="Verdana" w:hAnsi="Verdana" w:cs="Verdana"/>
          <w:b/>
          <w:bCs/>
          <w:sz w:val="20"/>
          <w:szCs w:val="20"/>
          <w:lang w:val="es-ES"/>
        </w:rPr>
        <w:br/>
        <w:t>RESPECTO DE LA OBLIGACIÓN DE INVESTIGAR, JUZGAR Y, DE SER EL CASO, SANCIONAR A LOS RESPONSABLES DE LAS VIOLACIONES A LOS DERECHOS HUMANOS</w:t>
      </w:r>
    </w:p>
    <w:p w14:paraId="24165BE5" w14:textId="073E2435" w:rsidR="00211354" w:rsidRPr="0032068E" w:rsidRDefault="00211354" w:rsidP="00FA4065">
      <w:pPr>
        <w:numPr>
          <w:ilvl w:val="0"/>
          <w:numId w:val="2"/>
        </w:numPr>
        <w:spacing w:after="0" w:line="240" w:lineRule="auto"/>
        <w:ind w:left="0" w:right="1444" w:firstLine="0"/>
        <w:contextualSpacing/>
        <w:jc w:val="both"/>
        <w:rPr>
          <w:rFonts w:ascii="Verdana" w:hAnsi="Verdana" w:cs="Verdana"/>
          <w:sz w:val="20"/>
          <w:szCs w:val="20"/>
          <w:lang w:val="es-ES"/>
        </w:rPr>
      </w:pPr>
      <w:bookmarkStart w:id="1" w:name="_Ref437012689"/>
      <w:r>
        <w:rPr>
          <w:rFonts w:ascii="Verdana" w:hAnsi="Verdana" w:cs="Verdana"/>
          <w:sz w:val="20"/>
          <w:lang w:val="es-ES"/>
        </w:rPr>
        <w:t>E</w:t>
      </w:r>
      <w:r w:rsidRPr="0032068E">
        <w:rPr>
          <w:rFonts w:ascii="Verdana" w:hAnsi="Verdana" w:cs="Verdana"/>
          <w:sz w:val="20"/>
          <w:lang w:val="es-ES"/>
        </w:rPr>
        <w:t>n las sentencias</w:t>
      </w:r>
      <w:r w:rsidR="002E041E">
        <w:rPr>
          <w:rFonts w:ascii="Verdana" w:hAnsi="Verdana" w:cs="Verdana"/>
          <w:sz w:val="20"/>
          <w:lang w:val="es-ES"/>
        </w:rPr>
        <w:t xml:space="preserve"> </w:t>
      </w:r>
      <w:r w:rsidR="002E041E" w:rsidRPr="0032068E">
        <w:rPr>
          <w:rFonts w:ascii="Verdana" w:hAnsi="Verdana" w:cs="Arial"/>
          <w:sz w:val="20"/>
          <w:lang w:val="es-CR"/>
        </w:rPr>
        <w:t xml:space="preserve">emitidas por la Corte Interamericana de Derechos Humanos (en adelante “la </w:t>
      </w:r>
      <w:r w:rsidR="002E041E" w:rsidRPr="00211354">
        <w:rPr>
          <w:rFonts w:ascii="Verdana" w:hAnsi="Verdana" w:cs="Verdana"/>
          <w:sz w:val="20"/>
          <w:szCs w:val="20"/>
          <w:lang w:val="es-ES"/>
        </w:rPr>
        <w:t>Corte</w:t>
      </w:r>
      <w:r w:rsidR="002E041E" w:rsidRPr="0032068E">
        <w:rPr>
          <w:rFonts w:ascii="Verdana" w:hAnsi="Verdana" w:cs="Arial"/>
          <w:sz w:val="20"/>
          <w:lang w:val="es-CR"/>
        </w:rPr>
        <w:t xml:space="preserve">”, “la Corte Interamericana” o “el Tribunal”) </w:t>
      </w:r>
      <w:r w:rsidR="00FA4065" w:rsidRPr="0032068E">
        <w:rPr>
          <w:rFonts w:ascii="Verdana" w:hAnsi="Verdana" w:cs="Arial"/>
          <w:sz w:val="20"/>
          <w:lang w:val="es-CR"/>
        </w:rPr>
        <w:t xml:space="preserve">el 22 de enero de 1999 en el caso </w:t>
      </w:r>
      <w:r w:rsidR="00FA4065" w:rsidRPr="0032068E">
        <w:rPr>
          <w:rFonts w:ascii="Verdana" w:hAnsi="Verdana" w:cs="Arial"/>
          <w:i/>
          <w:sz w:val="20"/>
          <w:lang w:val="es-CR"/>
        </w:rPr>
        <w:t>Blake</w:t>
      </w:r>
      <w:r w:rsidR="00FA4065" w:rsidRPr="0032068E">
        <w:rPr>
          <w:rFonts w:ascii="Verdana" w:hAnsi="Verdana" w:cs="Arial"/>
          <w:sz w:val="20"/>
          <w:lang w:val="es-CR"/>
        </w:rPr>
        <w:t>; el 25 de mayo de 2001 en el caso de la “</w:t>
      </w:r>
      <w:r w:rsidR="00FA4065" w:rsidRPr="0032068E">
        <w:rPr>
          <w:rFonts w:ascii="Verdana" w:hAnsi="Verdana" w:cs="Arial"/>
          <w:i/>
          <w:sz w:val="20"/>
          <w:lang w:val="es-CR"/>
        </w:rPr>
        <w:t xml:space="preserve">Panel Blanca” (Paniagua Morales y otros) </w:t>
      </w:r>
      <w:r w:rsidR="00FA4065" w:rsidRPr="0032068E">
        <w:rPr>
          <w:rFonts w:ascii="Verdana" w:hAnsi="Verdana" w:cs="Arial"/>
          <w:sz w:val="20"/>
          <w:lang w:val="es-CR"/>
        </w:rPr>
        <w:t xml:space="preserve">(en lo sucesivo caso </w:t>
      </w:r>
      <w:r w:rsidR="00FA4065" w:rsidRPr="0032068E">
        <w:rPr>
          <w:rFonts w:ascii="Verdana" w:hAnsi="Verdana" w:cs="Arial"/>
          <w:i/>
          <w:sz w:val="20"/>
          <w:lang w:val="es-CR"/>
        </w:rPr>
        <w:t>Panel Blanca</w:t>
      </w:r>
      <w:r w:rsidR="00FA4065" w:rsidRPr="0032068E">
        <w:rPr>
          <w:rFonts w:ascii="Verdana" w:hAnsi="Verdana" w:cs="Arial"/>
          <w:sz w:val="20"/>
          <w:lang w:val="es-CR"/>
        </w:rPr>
        <w:t>); el 26 de mayo de 2001 en el caso “</w:t>
      </w:r>
      <w:r w:rsidR="00FA4065" w:rsidRPr="0032068E">
        <w:rPr>
          <w:rFonts w:ascii="Verdana" w:hAnsi="Verdana" w:cs="Arial"/>
          <w:i/>
          <w:sz w:val="20"/>
          <w:lang w:val="es-CR"/>
        </w:rPr>
        <w:t xml:space="preserve">Niños de la Calle” (Villagrán Morales y otros) </w:t>
      </w:r>
      <w:r w:rsidR="00FA4065" w:rsidRPr="0032068E">
        <w:rPr>
          <w:rFonts w:ascii="Verdana" w:hAnsi="Verdana" w:cs="Arial"/>
          <w:sz w:val="20"/>
          <w:lang w:val="es-CR"/>
        </w:rPr>
        <w:t xml:space="preserve">(en lo sucesivo, caso </w:t>
      </w:r>
      <w:r w:rsidR="00FA4065" w:rsidRPr="0032068E">
        <w:rPr>
          <w:rFonts w:ascii="Verdana" w:hAnsi="Verdana" w:cs="Arial"/>
          <w:i/>
          <w:sz w:val="20"/>
          <w:lang w:val="es-CR"/>
        </w:rPr>
        <w:t>Niños de la Calle</w:t>
      </w:r>
      <w:r w:rsidR="00FA4065" w:rsidRPr="0032068E">
        <w:rPr>
          <w:rFonts w:ascii="Verdana" w:hAnsi="Verdana" w:cs="Arial"/>
          <w:sz w:val="20"/>
          <w:lang w:val="es-CR"/>
        </w:rPr>
        <w:t xml:space="preserve">); el 22 de febrero de 2002 en el caso </w:t>
      </w:r>
      <w:r w:rsidR="00FA4065" w:rsidRPr="0032068E">
        <w:rPr>
          <w:rFonts w:ascii="Verdana" w:hAnsi="Verdana" w:cs="Arial"/>
          <w:i/>
          <w:sz w:val="20"/>
          <w:lang w:val="es-CR"/>
        </w:rPr>
        <w:t>Bámaca Velásquez</w:t>
      </w:r>
      <w:r w:rsidR="00FA4065" w:rsidRPr="0032068E">
        <w:rPr>
          <w:rFonts w:ascii="Verdana" w:hAnsi="Verdana" w:cs="Arial"/>
          <w:sz w:val="20"/>
          <w:lang w:val="es-CR"/>
        </w:rPr>
        <w:t xml:space="preserve">; el 25 de noviembre de 2003 en el caso </w:t>
      </w:r>
      <w:r w:rsidR="00FA4065" w:rsidRPr="0032068E">
        <w:rPr>
          <w:rFonts w:ascii="Verdana" w:hAnsi="Verdana" w:cs="Arial"/>
          <w:i/>
          <w:sz w:val="20"/>
          <w:lang w:val="es-CR"/>
        </w:rPr>
        <w:t>Myrna Mack Chang</w:t>
      </w:r>
      <w:r w:rsidR="00036BB0">
        <w:rPr>
          <w:rFonts w:ascii="Verdana" w:hAnsi="Verdana" w:cs="Arial"/>
          <w:sz w:val="20"/>
          <w:lang w:val="es-CR"/>
        </w:rPr>
        <w:t xml:space="preserve"> (en lo sucesivo, caso </w:t>
      </w:r>
      <w:r w:rsidR="00036BB0">
        <w:rPr>
          <w:rFonts w:ascii="Verdana" w:hAnsi="Verdana" w:cs="Arial"/>
          <w:i/>
          <w:sz w:val="20"/>
          <w:lang w:val="es-CR"/>
        </w:rPr>
        <w:t>Mack Chang</w:t>
      </w:r>
      <w:r w:rsidR="00036BB0">
        <w:rPr>
          <w:rFonts w:ascii="Verdana" w:hAnsi="Verdana" w:cs="Arial"/>
          <w:sz w:val="20"/>
          <w:lang w:val="es-CR"/>
        </w:rPr>
        <w:t>)</w:t>
      </w:r>
      <w:r w:rsidR="00FA4065" w:rsidRPr="0032068E">
        <w:rPr>
          <w:rFonts w:ascii="Verdana" w:hAnsi="Verdana" w:cs="Arial"/>
          <w:sz w:val="20"/>
          <w:lang w:val="es-CR"/>
        </w:rPr>
        <w:t xml:space="preserve">; el 27 de noviembre de 2003 en el caso </w:t>
      </w:r>
      <w:r w:rsidR="00FA4065" w:rsidRPr="0032068E">
        <w:rPr>
          <w:rFonts w:ascii="Verdana" w:hAnsi="Verdana" w:cs="Arial"/>
          <w:i/>
          <w:sz w:val="20"/>
          <w:lang w:val="es-CR"/>
        </w:rPr>
        <w:t>Maritza Urrutia</w:t>
      </w:r>
      <w:r w:rsidR="00FA4065" w:rsidRPr="0032068E">
        <w:rPr>
          <w:rFonts w:ascii="Verdana" w:hAnsi="Verdana" w:cs="Arial"/>
          <w:sz w:val="20"/>
          <w:lang w:val="es-CR"/>
        </w:rPr>
        <w:t xml:space="preserve">; el 3 de julio de 2004 en el caso </w:t>
      </w:r>
      <w:r w:rsidR="00FA4065" w:rsidRPr="0032068E">
        <w:rPr>
          <w:rFonts w:ascii="Verdana" w:hAnsi="Verdana" w:cs="Arial"/>
          <w:i/>
          <w:sz w:val="20"/>
          <w:lang w:val="es-CR"/>
        </w:rPr>
        <w:t xml:space="preserve">Molina Theissen; </w:t>
      </w:r>
      <w:r w:rsidR="00FA4065" w:rsidRPr="0032068E">
        <w:rPr>
          <w:rFonts w:ascii="Verdana" w:hAnsi="Verdana" w:cs="Arial"/>
          <w:sz w:val="20"/>
          <w:lang w:val="es-CR"/>
        </w:rPr>
        <w:t xml:space="preserve">el 19 de noviembre de 2004 en el caso </w:t>
      </w:r>
      <w:r w:rsidR="00FA4065" w:rsidRPr="0032068E">
        <w:rPr>
          <w:rFonts w:ascii="Verdana" w:hAnsi="Verdana" w:cs="Arial"/>
          <w:i/>
          <w:sz w:val="20"/>
          <w:lang w:val="es-CR"/>
        </w:rPr>
        <w:t>Masacre Plan de Sánchez</w:t>
      </w:r>
      <w:r w:rsidR="00FA4065" w:rsidRPr="0032068E">
        <w:rPr>
          <w:rFonts w:ascii="Verdana" w:hAnsi="Verdana" w:cs="Arial"/>
          <w:sz w:val="20"/>
          <w:lang w:val="es-CR"/>
        </w:rPr>
        <w:t xml:space="preserve">; el 22 de noviembre de 2004 en el caso </w:t>
      </w:r>
      <w:r w:rsidR="00FA4065" w:rsidRPr="0032068E">
        <w:rPr>
          <w:rFonts w:ascii="Verdana" w:hAnsi="Verdana" w:cs="Arial"/>
          <w:i/>
          <w:sz w:val="20"/>
          <w:lang w:val="es-CR"/>
        </w:rPr>
        <w:t>Carpio Nicolle</w:t>
      </w:r>
      <w:r w:rsidR="006142A0">
        <w:rPr>
          <w:rFonts w:ascii="Verdana" w:hAnsi="Verdana" w:cs="Arial"/>
          <w:i/>
          <w:sz w:val="20"/>
          <w:lang w:val="es-CR"/>
        </w:rPr>
        <w:t xml:space="preserve"> y otros</w:t>
      </w:r>
      <w:r w:rsidR="00FA4065" w:rsidRPr="0032068E">
        <w:rPr>
          <w:rFonts w:ascii="Verdana" w:hAnsi="Verdana" w:cs="Arial"/>
          <w:sz w:val="20"/>
          <w:lang w:val="es-CR"/>
        </w:rPr>
        <w:t xml:space="preserve">; el 26 de noviembre de 2008 en el caso </w:t>
      </w:r>
      <w:r w:rsidR="00FA4065" w:rsidRPr="0032068E">
        <w:rPr>
          <w:rFonts w:ascii="Verdana" w:hAnsi="Verdana" w:cs="Arial"/>
          <w:i/>
          <w:sz w:val="20"/>
          <w:lang w:val="es-CR"/>
        </w:rPr>
        <w:t>Tiu Tojín</w:t>
      </w:r>
      <w:r w:rsidR="00FA4065" w:rsidRPr="0032068E">
        <w:rPr>
          <w:rFonts w:ascii="Verdana" w:hAnsi="Verdana" w:cs="Arial"/>
          <w:sz w:val="20"/>
          <w:lang w:val="es-CR"/>
        </w:rPr>
        <w:t xml:space="preserve">; el 24 de noviembre de 2009 en el caso de la </w:t>
      </w:r>
      <w:r w:rsidR="00FA4065" w:rsidRPr="0032068E">
        <w:rPr>
          <w:rFonts w:ascii="Verdana" w:hAnsi="Verdana" w:cs="Arial"/>
          <w:i/>
          <w:sz w:val="20"/>
          <w:lang w:val="es-CR"/>
        </w:rPr>
        <w:t>Masacre de las Dos Erres</w:t>
      </w:r>
      <w:r w:rsidR="00FA4065" w:rsidRPr="0032068E">
        <w:rPr>
          <w:rFonts w:ascii="Verdana" w:hAnsi="Verdana" w:cs="Arial"/>
          <w:sz w:val="20"/>
          <w:lang w:val="es-CR"/>
        </w:rPr>
        <w:t xml:space="preserve">; y el 25 de mayo de 2010 en el caso </w:t>
      </w:r>
      <w:r w:rsidR="00FA4065" w:rsidRPr="0032068E">
        <w:rPr>
          <w:rFonts w:ascii="Verdana" w:hAnsi="Verdana" w:cs="Arial"/>
          <w:i/>
          <w:sz w:val="20"/>
          <w:lang w:val="es-CR"/>
        </w:rPr>
        <w:t>Chitay Nech</w:t>
      </w:r>
      <w:r w:rsidR="006142A0">
        <w:rPr>
          <w:rFonts w:ascii="Verdana" w:hAnsi="Verdana" w:cs="Arial"/>
          <w:i/>
          <w:sz w:val="20"/>
          <w:lang w:val="es-CR"/>
        </w:rPr>
        <w:t xml:space="preserve"> y otros</w:t>
      </w:r>
      <w:r w:rsidR="00FA4065" w:rsidRPr="0032068E">
        <w:rPr>
          <w:rFonts w:ascii="Verdana" w:hAnsi="Verdana" w:cs="Arial"/>
          <w:sz w:val="20"/>
          <w:lang w:val="es-CR"/>
        </w:rPr>
        <w:t xml:space="preserve">, en adelante todos ellos referidos en conjunto como </w:t>
      </w:r>
      <w:r w:rsidR="00FA4065" w:rsidRPr="0032068E">
        <w:rPr>
          <w:rFonts w:ascii="Verdana" w:hAnsi="Verdana" w:cs="Arial"/>
          <w:i/>
          <w:sz w:val="20"/>
          <w:lang w:val="es-CR"/>
        </w:rPr>
        <w:t>“los 12 Casos”</w:t>
      </w:r>
      <w:r w:rsidR="00FA4065">
        <w:rPr>
          <w:rFonts w:ascii="Verdana" w:hAnsi="Verdana" w:cs="Arial"/>
          <w:sz w:val="20"/>
          <w:lang w:val="es-CR"/>
        </w:rPr>
        <w:t>,</w:t>
      </w:r>
      <w:r w:rsidR="002E041E">
        <w:rPr>
          <w:rFonts w:ascii="Verdana" w:hAnsi="Verdana" w:cs="Arial"/>
          <w:sz w:val="20"/>
          <w:lang w:val="es-CR"/>
        </w:rPr>
        <w:t xml:space="preserve"> </w:t>
      </w:r>
      <w:r w:rsidRPr="0032068E">
        <w:rPr>
          <w:rFonts w:ascii="Verdana" w:hAnsi="Verdana" w:cs="Verdana"/>
          <w:sz w:val="20"/>
          <w:lang w:val="es-ES"/>
        </w:rPr>
        <w:t>se dispuso que Guatemala</w:t>
      </w:r>
      <w:r w:rsidR="00FA4065">
        <w:rPr>
          <w:rFonts w:ascii="Verdana" w:hAnsi="Verdana" w:cs="Verdana"/>
          <w:sz w:val="20"/>
          <w:lang w:val="es-ES"/>
        </w:rPr>
        <w:t>,</w:t>
      </w:r>
      <w:r w:rsidRPr="0032068E">
        <w:rPr>
          <w:rFonts w:ascii="Verdana" w:hAnsi="Verdana" w:cs="Verdana"/>
          <w:sz w:val="20"/>
          <w:lang w:val="es-ES"/>
        </w:rPr>
        <w:t xml:space="preserve"> </w:t>
      </w:r>
      <w:r w:rsidR="00FA4065" w:rsidRPr="0032068E">
        <w:rPr>
          <w:rFonts w:ascii="Verdana" w:hAnsi="Verdana" w:cs="Arial"/>
          <w:sz w:val="20"/>
          <w:lang w:val="es-CR"/>
        </w:rPr>
        <w:t>entre otras medidas de reparación, debía investigar, juzgar y</w:t>
      </w:r>
      <w:r w:rsidR="00C054CF">
        <w:rPr>
          <w:rFonts w:ascii="Verdana" w:hAnsi="Verdana" w:cs="Arial"/>
          <w:sz w:val="20"/>
          <w:lang w:val="es-CR"/>
        </w:rPr>
        <w:t>,</w:t>
      </w:r>
      <w:r w:rsidR="00FA4065" w:rsidRPr="0032068E">
        <w:rPr>
          <w:rFonts w:ascii="Verdana" w:hAnsi="Verdana" w:cs="Arial"/>
          <w:sz w:val="20"/>
          <w:lang w:val="es-CR"/>
        </w:rPr>
        <w:t xml:space="preserve"> de ser el caso, sancionar a los responsables de las graves violaciones a los derechos humanos referidas en dichas sentencias </w:t>
      </w:r>
      <w:r w:rsidRPr="00E721D7">
        <w:rPr>
          <w:rFonts w:ascii="Verdana" w:hAnsi="Verdana" w:cs="Verdana"/>
          <w:sz w:val="20"/>
          <w:lang w:val="es-ES"/>
        </w:rPr>
        <w:t>(</w:t>
      </w:r>
      <w:r w:rsidRPr="00E721D7">
        <w:rPr>
          <w:rFonts w:ascii="Verdana" w:hAnsi="Verdana" w:cs="Verdana"/>
          <w:i/>
          <w:sz w:val="20"/>
          <w:lang w:val="es-ES"/>
        </w:rPr>
        <w:t xml:space="preserve">infra </w:t>
      </w:r>
      <w:r w:rsidRPr="00E721D7">
        <w:rPr>
          <w:rFonts w:ascii="Verdana" w:hAnsi="Verdana" w:cs="Verdana"/>
          <w:sz w:val="20"/>
          <w:lang w:val="es-ES"/>
        </w:rPr>
        <w:t xml:space="preserve">Visto </w:t>
      </w:r>
      <w:r w:rsidRPr="00E721D7">
        <w:rPr>
          <w:rFonts w:ascii="Verdana" w:hAnsi="Verdana" w:cs="Verdana"/>
          <w:sz w:val="20"/>
          <w:lang w:val="es-ES"/>
        </w:rPr>
        <w:fldChar w:fldCharType="begin"/>
      </w:r>
      <w:r w:rsidRPr="00E721D7">
        <w:rPr>
          <w:rFonts w:ascii="Verdana" w:hAnsi="Verdana" w:cs="Verdana"/>
          <w:sz w:val="20"/>
          <w:lang w:val="es-ES"/>
        </w:rPr>
        <w:instrText xml:space="preserve"> REF _Ref437011051 \r \h </w:instrText>
      </w:r>
      <w:r w:rsidR="004B4974" w:rsidRPr="00E721D7">
        <w:rPr>
          <w:rFonts w:ascii="Verdana" w:hAnsi="Verdana" w:cs="Verdana"/>
          <w:sz w:val="20"/>
          <w:lang w:val="es-ES"/>
        </w:rPr>
        <w:instrText xml:space="preserve"> \* MERGEFORMAT </w:instrText>
      </w:r>
      <w:r w:rsidRPr="00E721D7">
        <w:rPr>
          <w:rFonts w:ascii="Verdana" w:hAnsi="Verdana" w:cs="Verdana"/>
          <w:sz w:val="20"/>
          <w:lang w:val="es-ES"/>
        </w:rPr>
      </w:r>
      <w:r w:rsidRPr="00E721D7">
        <w:rPr>
          <w:rFonts w:ascii="Verdana" w:hAnsi="Verdana" w:cs="Verdana"/>
          <w:sz w:val="20"/>
          <w:lang w:val="es-ES"/>
        </w:rPr>
        <w:fldChar w:fldCharType="separate"/>
      </w:r>
      <w:r w:rsidR="007E3C4B">
        <w:rPr>
          <w:rFonts w:ascii="Verdana" w:hAnsi="Verdana" w:cs="Verdana"/>
          <w:sz w:val="20"/>
          <w:lang w:val="es-ES"/>
        </w:rPr>
        <w:t>2</w:t>
      </w:r>
      <w:r w:rsidRPr="00E721D7">
        <w:rPr>
          <w:rFonts w:ascii="Verdana" w:hAnsi="Verdana" w:cs="Verdana"/>
          <w:sz w:val="20"/>
          <w:lang w:val="es-ES"/>
        </w:rPr>
        <w:fldChar w:fldCharType="end"/>
      </w:r>
      <w:r w:rsidRPr="00E721D7">
        <w:rPr>
          <w:rFonts w:ascii="Verdana" w:hAnsi="Verdana" w:cs="Verdana"/>
          <w:sz w:val="20"/>
          <w:lang w:val="es-ES"/>
        </w:rPr>
        <w:t xml:space="preserve"> y Considerandos </w:t>
      </w:r>
      <w:r w:rsidRPr="00E721D7">
        <w:rPr>
          <w:rFonts w:ascii="Verdana" w:hAnsi="Verdana" w:cs="Verdana"/>
          <w:sz w:val="20"/>
          <w:lang w:val="es-ES"/>
        </w:rPr>
        <w:fldChar w:fldCharType="begin"/>
      </w:r>
      <w:r w:rsidRPr="00E721D7">
        <w:rPr>
          <w:rFonts w:ascii="Verdana" w:hAnsi="Verdana" w:cs="Verdana"/>
          <w:sz w:val="20"/>
          <w:lang w:val="es-ES"/>
        </w:rPr>
        <w:instrText xml:space="preserve"> REF _Ref437011164 \r \h </w:instrText>
      </w:r>
      <w:r w:rsidR="004B4974" w:rsidRPr="00E721D7">
        <w:rPr>
          <w:rFonts w:ascii="Verdana" w:hAnsi="Verdana" w:cs="Verdana"/>
          <w:sz w:val="20"/>
          <w:lang w:val="es-ES"/>
        </w:rPr>
        <w:instrText xml:space="preserve"> \* MERGEFORMAT </w:instrText>
      </w:r>
      <w:r w:rsidRPr="00E721D7">
        <w:rPr>
          <w:rFonts w:ascii="Verdana" w:hAnsi="Verdana" w:cs="Verdana"/>
          <w:sz w:val="20"/>
          <w:lang w:val="es-ES"/>
        </w:rPr>
      </w:r>
      <w:r w:rsidRPr="00E721D7">
        <w:rPr>
          <w:rFonts w:ascii="Verdana" w:hAnsi="Verdana" w:cs="Verdana"/>
          <w:sz w:val="20"/>
          <w:lang w:val="es-ES"/>
        </w:rPr>
        <w:fldChar w:fldCharType="separate"/>
      </w:r>
      <w:r w:rsidR="007E3C4B">
        <w:rPr>
          <w:rFonts w:ascii="Verdana" w:hAnsi="Verdana" w:cs="Verdana"/>
          <w:sz w:val="20"/>
          <w:lang w:val="es-ES"/>
        </w:rPr>
        <w:t>18</w:t>
      </w:r>
      <w:r w:rsidRPr="00E721D7">
        <w:rPr>
          <w:rFonts w:ascii="Verdana" w:hAnsi="Verdana" w:cs="Verdana"/>
          <w:sz w:val="20"/>
          <w:lang w:val="es-ES"/>
        </w:rPr>
        <w:fldChar w:fldCharType="end"/>
      </w:r>
      <w:r w:rsidR="00E721D7" w:rsidRPr="00E721D7">
        <w:rPr>
          <w:rFonts w:ascii="Verdana" w:hAnsi="Verdana" w:cs="Verdana"/>
          <w:sz w:val="20"/>
          <w:lang w:val="es-ES"/>
        </w:rPr>
        <w:t>, 19, 39, 40 a 43</w:t>
      </w:r>
      <w:r w:rsidRPr="00E721D7">
        <w:rPr>
          <w:rFonts w:ascii="Verdana" w:hAnsi="Verdana" w:cs="Verdana"/>
          <w:sz w:val="20"/>
          <w:lang w:val="es-ES"/>
        </w:rPr>
        <w:t>)</w:t>
      </w:r>
      <w:r w:rsidR="00FA4065" w:rsidRPr="00E721D7">
        <w:rPr>
          <w:rFonts w:ascii="Verdana" w:hAnsi="Verdana" w:cs="Verdana"/>
          <w:sz w:val="20"/>
          <w:lang w:val="es-ES"/>
        </w:rPr>
        <w:t>.</w:t>
      </w:r>
      <w:r w:rsidRPr="0032068E">
        <w:rPr>
          <w:rFonts w:ascii="Verdana" w:hAnsi="Verdana" w:cs="Verdana"/>
          <w:sz w:val="20"/>
          <w:lang w:val="es-ES"/>
        </w:rPr>
        <w:t xml:space="preserve"> </w:t>
      </w:r>
      <w:r w:rsidR="00FA4065">
        <w:rPr>
          <w:rFonts w:ascii="Verdana" w:hAnsi="Verdana" w:cs="Verdana"/>
          <w:sz w:val="20"/>
          <w:lang w:val="es-ES"/>
        </w:rPr>
        <w:t>E</w:t>
      </w:r>
      <w:r w:rsidRPr="0032068E">
        <w:rPr>
          <w:rFonts w:ascii="Verdana" w:hAnsi="Verdana" w:cs="Verdana"/>
          <w:sz w:val="20"/>
          <w:lang w:val="es-ES"/>
        </w:rPr>
        <w:t>n la etapa de supervisión de cumplimiento de</w:t>
      </w:r>
      <w:r w:rsidR="00FA4065">
        <w:rPr>
          <w:rFonts w:ascii="Verdana" w:hAnsi="Verdana" w:cs="Verdana"/>
          <w:sz w:val="20"/>
          <w:lang w:val="es-ES"/>
        </w:rPr>
        <w:t xml:space="preserve"> dichas</w:t>
      </w:r>
      <w:r w:rsidRPr="0032068E">
        <w:rPr>
          <w:rFonts w:ascii="Verdana" w:hAnsi="Verdana" w:cs="Verdana"/>
          <w:sz w:val="20"/>
          <w:lang w:val="es-ES"/>
        </w:rPr>
        <w:t xml:space="preserve"> </w:t>
      </w:r>
      <w:r w:rsidR="00FA4065">
        <w:rPr>
          <w:rFonts w:ascii="Verdana" w:hAnsi="Verdana" w:cs="Verdana"/>
          <w:sz w:val="20"/>
          <w:lang w:val="es-ES"/>
        </w:rPr>
        <w:t>S</w:t>
      </w:r>
      <w:r w:rsidRPr="0032068E">
        <w:rPr>
          <w:rFonts w:ascii="Verdana" w:hAnsi="Verdana" w:cs="Verdana"/>
          <w:sz w:val="20"/>
          <w:lang w:val="es-ES"/>
        </w:rPr>
        <w:t>entencia</w:t>
      </w:r>
      <w:r w:rsidR="00FA4065">
        <w:rPr>
          <w:rFonts w:ascii="Verdana" w:hAnsi="Verdana" w:cs="Verdana"/>
          <w:sz w:val="20"/>
          <w:lang w:val="es-ES"/>
        </w:rPr>
        <w:t>s</w:t>
      </w:r>
      <w:r w:rsidRPr="0032068E">
        <w:rPr>
          <w:rFonts w:ascii="Verdana" w:hAnsi="Verdana" w:cs="Verdana"/>
          <w:sz w:val="20"/>
          <w:lang w:val="es-ES"/>
        </w:rPr>
        <w:t xml:space="preserve">, se identificó que se encuentran en la misma etapa del proceso penal o presentan dificultades similares </w:t>
      </w:r>
      <w:r w:rsidRPr="00E721D7">
        <w:rPr>
          <w:rFonts w:ascii="Verdana" w:hAnsi="Verdana" w:cs="Verdana"/>
          <w:sz w:val="20"/>
          <w:lang w:val="es-ES"/>
        </w:rPr>
        <w:t>(</w:t>
      </w:r>
      <w:r w:rsidRPr="00E721D7">
        <w:rPr>
          <w:rFonts w:ascii="Verdana" w:hAnsi="Verdana" w:cs="Verdana"/>
          <w:i/>
          <w:sz w:val="20"/>
          <w:lang w:val="es-ES"/>
        </w:rPr>
        <w:t xml:space="preserve">infra </w:t>
      </w:r>
      <w:r w:rsidRPr="00E721D7">
        <w:rPr>
          <w:rFonts w:ascii="Verdana" w:hAnsi="Verdana" w:cs="Verdana"/>
          <w:sz w:val="20"/>
          <w:lang w:val="es-ES"/>
        </w:rPr>
        <w:t xml:space="preserve">Considerando </w:t>
      </w:r>
      <w:r w:rsidRPr="00E721D7">
        <w:rPr>
          <w:rFonts w:ascii="Verdana" w:hAnsi="Verdana" w:cs="Verdana"/>
          <w:sz w:val="20"/>
          <w:lang w:val="es-ES"/>
        </w:rPr>
        <w:fldChar w:fldCharType="begin"/>
      </w:r>
      <w:r w:rsidRPr="00E721D7">
        <w:rPr>
          <w:rFonts w:ascii="Verdana" w:hAnsi="Verdana" w:cs="Verdana"/>
          <w:sz w:val="20"/>
          <w:lang w:val="es-ES"/>
        </w:rPr>
        <w:instrText xml:space="preserve"> REF _Ref437011347 \r \h </w:instrText>
      </w:r>
      <w:r w:rsidR="00E721D7">
        <w:rPr>
          <w:rFonts w:ascii="Verdana" w:hAnsi="Verdana" w:cs="Verdana"/>
          <w:sz w:val="20"/>
          <w:lang w:val="es-ES"/>
        </w:rPr>
        <w:instrText xml:space="preserve"> \* MERGEFORMAT </w:instrText>
      </w:r>
      <w:r w:rsidRPr="00E721D7">
        <w:rPr>
          <w:rFonts w:ascii="Verdana" w:hAnsi="Verdana" w:cs="Verdana"/>
          <w:sz w:val="20"/>
          <w:lang w:val="es-ES"/>
        </w:rPr>
      </w:r>
      <w:r w:rsidRPr="00E721D7">
        <w:rPr>
          <w:rFonts w:ascii="Verdana" w:hAnsi="Verdana" w:cs="Verdana"/>
          <w:sz w:val="20"/>
          <w:lang w:val="es-ES"/>
        </w:rPr>
        <w:fldChar w:fldCharType="separate"/>
      </w:r>
      <w:r w:rsidR="007E3C4B">
        <w:rPr>
          <w:rFonts w:ascii="Verdana" w:hAnsi="Verdana" w:cs="Verdana"/>
          <w:sz w:val="20"/>
          <w:lang w:val="es-ES"/>
        </w:rPr>
        <w:t>22</w:t>
      </w:r>
      <w:r w:rsidRPr="00E721D7">
        <w:rPr>
          <w:rFonts w:ascii="Verdana" w:hAnsi="Verdana" w:cs="Verdana"/>
          <w:sz w:val="20"/>
          <w:lang w:val="es-ES"/>
        </w:rPr>
        <w:fldChar w:fldCharType="end"/>
      </w:r>
      <w:r w:rsidRPr="00E721D7">
        <w:rPr>
          <w:rFonts w:ascii="Verdana" w:hAnsi="Verdana" w:cs="Verdana"/>
          <w:sz w:val="20"/>
          <w:lang w:val="es-ES"/>
        </w:rPr>
        <w:t>)</w:t>
      </w:r>
      <w:r w:rsidR="00FA4065" w:rsidRPr="00E721D7">
        <w:rPr>
          <w:rFonts w:ascii="Verdana" w:hAnsi="Verdana" w:cs="Verdana"/>
          <w:sz w:val="20"/>
          <w:lang w:val="es-ES"/>
        </w:rPr>
        <w:t>.</w:t>
      </w:r>
      <w:r w:rsidR="00FA4065">
        <w:rPr>
          <w:rFonts w:ascii="Verdana" w:hAnsi="Verdana" w:cs="Verdana"/>
          <w:sz w:val="20"/>
          <w:lang w:val="es-ES"/>
        </w:rPr>
        <w:t xml:space="preserve"> Por ello,</w:t>
      </w:r>
      <w:r w:rsidRPr="0032068E">
        <w:rPr>
          <w:rFonts w:ascii="Verdana" w:hAnsi="Verdana" w:cs="Verdana"/>
          <w:sz w:val="20"/>
          <w:lang w:val="es-ES"/>
        </w:rPr>
        <w:t xml:space="preserve"> en la presente Resolución</w:t>
      </w:r>
      <w:r w:rsidR="002E041E">
        <w:rPr>
          <w:rFonts w:ascii="Verdana" w:hAnsi="Verdana" w:cs="Verdana"/>
          <w:sz w:val="20"/>
          <w:lang w:val="es-ES"/>
        </w:rPr>
        <w:t>,</w:t>
      </w:r>
      <w:r w:rsidR="00E721D7">
        <w:rPr>
          <w:rFonts w:ascii="Verdana" w:hAnsi="Verdana" w:cs="Verdana"/>
          <w:sz w:val="20"/>
          <w:lang w:val="es-ES"/>
        </w:rPr>
        <w:t xml:space="preserve"> el Tribunal</w:t>
      </w:r>
      <w:r w:rsidRPr="0032068E">
        <w:rPr>
          <w:rFonts w:ascii="Verdana" w:hAnsi="Verdana" w:cs="Verdana"/>
          <w:sz w:val="20"/>
          <w:lang w:val="es-ES"/>
        </w:rPr>
        <w:t xml:space="preserve"> supervisará de manera conjunta el grado de cumplimiento de dicha reparación</w:t>
      </w:r>
      <w:r w:rsidRPr="0032068E">
        <w:rPr>
          <w:rFonts w:ascii="Verdana" w:hAnsi="Verdana" w:cs="Verdana"/>
          <w:sz w:val="20"/>
          <w:vertAlign w:val="superscript"/>
          <w:lang w:val="es-ES"/>
        </w:rPr>
        <w:footnoteReference w:id="1"/>
      </w:r>
      <w:r w:rsidR="00C054CF">
        <w:rPr>
          <w:rFonts w:ascii="Verdana" w:hAnsi="Verdana" w:cs="Verdana"/>
          <w:sz w:val="20"/>
          <w:lang w:val="es-ES"/>
        </w:rPr>
        <w:t>.</w:t>
      </w:r>
      <w:r w:rsidR="00BD5967">
        <w:rPr>
          <w:rFonts w:ascii="Verdana" w:hAnsi="Verdana" w:cs="Verdana"/>
          <w:sz w:val="20"/>
          <w:lang w:val="es-ES"/>
        </w:rPr>
        <w:t xml:space="preserve"> </w:t>
      </w:r>
      <w:r w:rsidR="00C054CF">
        <w:rPr>
          <w:rFonts w:ascii="Verdana" w:hAnsi="Verdana" w:cs="Verdana"/>
          <w:sz w:val="20"/>
          <w:lang w:val="es-ES"/>
        </w:rPr>
        <w:t>Primeramente efectuará consideraciones</w:t>
      </w:r>
      <w:r w:rsidR="00BD5967">
        <w:rPr>
          <w:rFonts w:ascii="Verdana" w:hAnsi="Verdana" w:cs="Verdana"/>
          <w:sz w:val="20"/>
          <w:lang w:val="es-ES"/>
        </w:rPr>
        <w:t xml:space="preserve"> de forma individual para cada caso. Posteriormente, la Corte identificará y se referirá a algunos obstáculos estructurales y comunes a los </w:t>
      </w:r>
      <w:r w:rsidR="00BD5967">
        <w:rPr>
          <w:rFonts w:ascii="Verdana" w:hAnsi="Verdana" w:cs="Verdana"/>
          <w:i/>
          <w:sz w:val="20"/>
          <w:lang w:val="es-ES"/>
        </w:rPr>
        <w:t>12 casos</w:t>
      </w:r>
      <w:r w:rsidRPr="0032068E">
        <w:rPr>
          <w:rFonts w:ascii="Verdana" w:hAnsi="Verdana" w:cs="Verdana"/>
          <w:sz w:val="20"/>
          <w:lang w:val="es-ES"/>
        </w:rPr>
        <w:t xml:space="preserve">. En posteriores </w:t>
      </w:r>
      <w:r>
        <w:rPr>
          <w:rFonts w:ascii="Verdana" w:hAnsi="Verdana" w:cs="Verdana"/>
          <w:sz w:val="20"/>
          <w:lang w:val="es-ES"/>
        </w:rPr>
        <w:t>R</w:t>
      </w:r>
      <w:r w:rsidRPr="0032068E">
        <w:rPr>
          <w:rFonts w:ascii="Verdana" w:hAnsi="Verdana" w:cs="Verdana"/>
          <w:sz w:val="20"/>
          <w:lang w:val="es-ES"/>
        </w:rPr>
        <w:t xml:space="preserve">esoluciones, la Corte </w:t>
      </w:r>
      <w:r w:rsidR="00C054CF">
        <w:rPr>
          <w:rFonts w:ascii="Verdana" w:hAnsi="Verdana" w:cs="Verdana"/>
          <w:sz w:val="20"/>
          <w:lang w:val="es-ES"/>
        </w:rPr>
        <w:t>evaluará</w:t>
      </w:r>
      <w:r w:rsidRPr="0032068E">
        <w:rPr>
          <w:rFonts w:ascii="Verdana" w:hAnsi="Verdana" w:cs="Verdana"/>
          <w:sz w:val="20"/>
          <w:lang w:val="es-ES"/>
        </w:rPr>
        <w:t>, de f</w:t>
      </w:r>
      <w:r w:rsidR="00E721D7">
        <w:rPr>
          <w:rFonts w:ascii="Verdana" w:hAnsi="Verdana" w:cs="Verdana"/>
          <w:sz w:val="20"/>
          <w:lang w:val="es-ES"/>
        </w:rPr>
        <w:t>orma particular para cada caso,</w:t>
      </w:r>
      <w:r w:rsidRPr="0032068E">
        <w:rPr>
          <w:rFonts w:ascii="Verdana" w:hAnsi="Verdana" w:cs="Verdana"/>
          <w:sz w:val="20"/>
          <w:lang w:val="es-ES"/>
        </w:rPr>
        <w:t xml:space="preserve"> las otras medidas de reparación pendientes de cumplimiento en los referidos casos.</w:t>
      </w:r>
      <w:r w:rsidR="00FA4065">
        <w:rPr>
          <w:rFonts w:ascii="Verdana" w:hAnsi="Verdana" w:cs="Verdana"/>
          <w:sz w:val="20"/>
          <w:lang w:val="es-ES"/>
        </w:rPr>
        <w:t xml:space="preserve"> </w:t>
      </w:r>
      <w:r w:rsidR="002E041E">
        <w:rPr>
          <w:rFonts w:ascii="Verdana" w:hAnsi="Verdana" w:cs="Verdana"/>
          <w:sz w:val="20"/>
          <w:lang w:val="es-ES"/>
        </w:rPr>
        <w:t>En esta oportunidad</w:t>
      </w:r>
      <w:r w:rsidR="00FA4065">
        <w:rPr>
          <w:rFonts w:ascii="Verdana" w:hAnsi="Verdana" w:cs="Verdana"/>
          <w:sz w:val="20"/>
          <w:lang w:val="es-ES"/>
        </w:rPr>
        <w:t xml:space="preserve">, </w:t>
      </w:r>
      <w:r w:rsidR="00FA4065">
        <w:rPr>
          <w:rFonts w:ascii="Verdana" w:hAnsi="Verdana" w:cs="Verdana"/>
          <w:sz w:val="20"/>
          <w:szCs w:val="20"/>
          <w:lang w:val="es-ES"/>
        </w:rPr>
        <w:t>l</w:t>
      </w:r>
      <w:r w:rsidRPr="0032068E">
        <w:rPr>
          <w:rFonts w:ascii="Verdana" w:hAnsi="Verdana" w:cs="Verdana"/>
          <w:sz w:val="20"/>
          <w:szCs w:val="20"/>
          <w:lang w:val="es-ES"/>
        </w:rPr>
        <w:t>a Corte valorará la información y observaciones presentadas por las partes, el Ministerio Público de Guatemala y la Comisión</w:t>
      </w:r>
      <w:r w:rsidR="00C054CF">
        <w:rPr>
          <w:rFonts w:ascii="Verdana" w:hAnsi="Verdana" w:cs="Verdana"/>
          <w:sz w:val="20"/>
          <w:szCs w:val="20"/>
          <w:lang w:val="es-ES"/>
        </w:rPr>
        <w:t xml:space="preserve"> Interamericana de Derechos Humanos (en adelante “la Comisión” o “la Comisión Interamericana”)</w:t>
      </w:r>
      <w:r w:rsidRPr="0032068E">
        <w:rPr>
          <w:rFonts w:ascii="Verdana" w:hAnsi="Verdana" w:cs="Verdana"/>
          <w:sz w:val="20"/>
          <w:szCs w:val="20"/>
          <w:lang w:val="es-ES"/>
        </w:rPr>
        <w:t>, especialmente la más actualizada allegada al Tribunal durante los años 2014 y 2015, con relación a la</w:t>
      </w:r>
      <w:r w:rsidR="002E041E">
        <w:rPr>
          <w:rFonts w:ascii="Verdana" w:hAnsi="Verdana" w:cs="Verdana"/>
          <w:sz w:val="20"/>
          <w:szCs w:val="20"/>
          <w:lang w:val="es-ES"/>
        </w:rPr>
        <w:t xml:space="preserve"> señalada</w:t>
      </w:r>
      <w:r w:rsidRPr="0032068E">
        <w:rPr>
          <w:rFonts w:ascii="Verdana" w:hAnsi="Verdana" w:cs="Verdana"/>
          <w:sz w:val="20"/>
          <w:szCs w:val="20"/>
          <w:lang w:val="es-ES"/>
        </w:rPr>
        <w:t xml:space="preserve"> obligación de investigar </w:t>
      </w:r>
      <w:r w:rsidRPr="00E721D7">
        <w:rPr>
          <w:rFonts w:ascii="Verdana" w:hAnsi="Verdana" w:cs="Verdana"/>
          <w:sz w:val="20"/>
          <w:szCs w:val="20"/>
          <w:lang w:val="es-ES"/>
        </w:rPr>
        <w:t>(</w:t>
      </w:r>
      <w:r w:rsidRPr="00E721D7">
        <w:rPr>
          <w:rFonts w:ascii="Verdana" w:hAnsi="Verdana" w:cs="Verdana"/>
          <w:i/>
          <w:sz w:val="20"/>
          <w:szCs w:val="20"/>
          <w:lang w:val="es-ES"/>
        </w:rPr>
        <w:t xml:space="preserve">infra </w:t>
      </w:r>
      <w:r w:rsidRPr="00E721D7">
        <w:rPr>
          <w:rFonts w:ascii="Verdana" w:hAnsi="Verdana" w:cs="Verdana"/>
          <w:sz w:val="20"/>
          <w:szCs w:val="20"/>
          <w:lang w:val="es-ES"/>
        </w:rPr>
        <w:t xml:space="preserve">Considerandos </w:t>
      </w:r>
      <w:r w:rsidR="00FA4065" w:rsidRPr="00E721D7">
        <w:rPr>
          <w:rFonts w:ascii="Verdana" w:hAnsi="Verdana" w:cs="Verdana"/>
          <w:sz w:val="20"/>
          <w:szCs w:val="20"/>
          <w:lang w:val="es-ES"/>
        </w:rPr>
        <w:fldChar w:fldCharType="begin"/>
      </w:r>
      <w:r w:rsidR="00FA4065" w:rsidRPr="00E721D7">
        <w:rPr>
          <w:rFonts w:ascii="Verdana" w:hAnsi="Verdana" w:cs="Verdana"/>
          <w:sz w:val="20"/>
          <w:szCs w:val="20"/>
          <w:lang w:val="es-ES"/>
        </w:rPr>
        <w:instrText xml:space="preserve"> REF _Ref437011705 \r \h </w:instrText>
      </w:r>
      <w:r w:rsidR="00E721D7">
        <w:rPr>
          <w:rFonts w:ascii="Verdana" w:hAnsi="Verdana" w:cs="Verdana"/>
          <w:sz w:val="20"/>
          <w:szCs w:val="20"/>
          <w:lang w:val="es-ES"/>
        </w:rPr>
        <w:instrText xml:space="preserve"> \* MERGEFORMAT </w:instrText>
      </w:r>
      <w:r w:rsidR="00FA4065" w:rsidRPr="00E721D7">
        <w:rPr>
          <w:rFonts w:ascii="Verdana" w:hAnsi="Verdana" w:cs="Verdana"/>
          <w:sz w:val="20"/>
          <w:szCs w:val="20"/>
          <w:lang w:val="es-ES"/>
        </w:rPr>
      </w:r>
      <w:r w:rsidR="00FA4065" w:rsidRPr="00E721D7">
        <w:rPr>
          <w:rFonts w:ascii="Verdana" w:hAnsi="Verdana" w:cs="Verdana"/>
          <w:sz w:val="20"/>
          <w:szCs w:val="20"/>
          <w:lang w:val="es-ES"/>
        </w:rPr>
        <w:fldChar w:fldCharType="separate"/>
      </w:r>
      <w:r w:rsidR="007E3C4B">
        <w:rPr>
          <w:rFonts w:ascii="Verdana" w:hAnsi="Verdana" w:cs="Verdana"/>
          <w:sz w:val="20"/>
          <w:szCs w:val="20"/>
          <w:lang w:val="es-ES"/>
        </w:rPr>
        <w:t>31</w:t>
      </w:r>
      <w:r w:rsidR="00FA4065" w:rsidRPr="00E721D7">
        <w:rPr>
          <w:rFonts w:ascii="Verdana" w:hAnsi="Verdana" w:cs="Verdana"/>
          <w:sz w:val="20"/>
          <w:szCs w:val="20"/>
          <w:lang w:val="es-ES"/>
        </w:rPr>
        <w:fldChar w:fldCharType="end"/>
      </w:r>
      <w:r w:rsidRPr="00E721D7">
        <w:rPr>
          <w:rFonts w:ascii="Verdana" w:hAnsi="Verdana" w:cs="Verdana"/>
          <w:sz w:val="20"/>
          <w:szCs w:val="20"/>
          <w:lang w:val="es-ES"/>
        </w:rPr>
        <w:t xml:space="preserve"> al </w:t>
      </w:r>
      <w:r w:rsidR="00FA4065" w:rsidRPr="00E721D7">
        <w:rPr>
          <w:rFonts w:ascii="Verdana" w:hAnsi="Verdana" w:cs="Verdana"/>
          <w:sz w:val="20"/>
          <w:szCs w:val="20"/>
          <w:lang w:val="es-ES"/>
        </w:rPr>
        <w:fldChar w:fldCharType="begin"/>
      </w:r>
      <w:r w:rsidR="00FA4065" w:rsidRPr="00E721D7">
        <w:rPr>
          <w:rFonts w:ascii="Verdana" w:hAnsi="Verdana" w:cs="Verdana"/>
          <w:sz w:val="20"/>
          <w:szCs w:val="20"/>
          <w:lang w:val="es-ES"/>
        </w:rPr>
        <w:instrText xml:space="preserve"> REF _Ref437011727 \r \h </w:instrText>
      </w:r>
      <w:r w:rsidR="00E721D7">
        <w:rPr>
          <w:rFonts w:ascii="Verdana" w:hAnsi="Verdana" w:cs="Verdana"/>
          <w:sz w:val="20"/>
          <w:szCs w:val="20"/>
          <w:lang w:val="es-ES"/>
        </w:rPr>
        <w:instrText xml:space="preserve"> \* MERGEFORMAT </w:instrText>
      </w:r>
      <w:r w:rsidR="00FA4065" w:rsidRPr="00E721D7">
        <w:rPr>
          <w:rFonts w:ascii="Verdana" w:hAnsi="Verdana" w:cs="Verdana"/>
          <w:sz w:val="20"/>
          <w:szCs w:val="20"/>
          <w:lang w:val="es-ES"/>
        </w:rPr>
      </w:r>
      <w:r w:rsidR="00FA4065" w:rsidRPr="00E721D7">
        <w:rPr>
          <w:rFonts w:ascii="Verdana" w:hAnsi="Verdana" w:cs="Verdana"/>
          <w:sz w:val="20"/>
          <w:szCs w:val="20"/>
          <w:lang w:val="es-ES"/>
        </w:rPr>
        <w:fldChar w:fldCharType="separate"/>
      </w:r>
      <w:r w:rsidR="007E3C4B">
        <w:rPr>
          <w:rFonts w:ascii="Verdana" w:hAnsi="Verdana" w:cs="Verdana"/>
          <w:sz w:val="20"/>
          <w:szCs w:val="20"/>
          <w:lang w:val="es-ES"/>
        </w:rPr>
        <w:t>38</w:t>
      </w:r>
      <w:r w:rsidR="00FA4065" w:rsidRPr="00E721D7">
        <w:rPr>
          <w:rFonts w:ascii="Verdana" w:hAnsi="Verdana" w:cs="Verdana"/>
          <w:sz w:val="20"/>
          <w:szCs w:val="20"/>
          <w:lang w:val="es-ES"/>
        </w:rPr>
        <w:fldChar w:fldCharType="end"/>
      </w:r>
      <w:r w:rsidRPr="00E721D7">
        <w:rPr>
          <w:rFonts w:ascii="Verdana" w:hAnsi="Verdana" w:cs="Verdana"/>
          <w:sz w:val="20"/>
          <w:szCs w:val="20"/>
          <w:lang w:val="es-ES"/>
        </w:rPr>
        <w:t>).</w:t>
      </w:r>
      <w:r w:rsidRPr="0032068E">
        <w:rPr>
          <w:rFonts w:ascii="Verdana" w:hAnsi="Verdana" w:cs="Verdana"/>
          <w:sz w:val="20"/>
          <w:szCs w:val="20"/>
          <w:lang w:val="es-ES"/>
        </w:rPr>
        <w:t xml:space="preserve"> Las consideraciones se realizarán en el siguiente orden:</w:t>
      </w:r>
      <w:bookmarkEnd w:id="1"/>
    </w:p>
    <w:p w14:paraId="32F49008" w14:textId="1626727F" w:rsidR="00162E90" w:rsidRDefault="00162E90">
      <w:pPr>
        <w:rPr>
          <w:rFonts w:ascii="Verdana" w:hAnsi="Verdana" w:cs="Verdana"/>
          <w:b/>
          <w:bCs/>
          <w:sz w:val="20"/>
          <w:szCs w:val="20"/>
          <w:lang w:val="es-ES"/>
        </w:rPr>
      </w:pPr>
      <w:r>
        <w:rPr>
          <w:rFonts w:ascii="Verdana" w:hAnsi="Verdana" w:cs="Verdana"/>
          <w:b/>
          <w:bCs/>
          <w:sz w:val="20"/>
          <w:szCs w:val="20"/>
          <w:lang w:val="es-ES"/>
        </w:rPr>
        <w:lastRenderedPageBreak/>
        <w:br w:type="page"/>
      </w:r>
    </w:p>
    <w:p w14:paraId="5C033007" w14:textId="16673670" w:rsidR="00211354" w:rsidRDefault="00F040E9" w:rsidP="00F040E9">
      <w:pPr>
        <w:tabs>
          <w:tab w:val="left" w:pos="2869"/>
          <w:tab w:val="left" w:pos="3416"/>
          <w:tab w:val="left" w:pos="5476"/>
        </w:tabs>
        <w:ind w:right="1444"/>
        <w:rPr>
          <w:rFonts w:ascii="Verdana" w:hAnsi="Verdana" w:cs="Verdana"/>
          <w:b/>
          <w:bCs/>
          <w:sz w:val="20"/>
          <w:szCs w:val="20"/>
          <w:lang w:val="es-ES"/>
        </w:rPr>
      </w:pPr>
      <w:r>
        <w:rPr>
          <w:rFonts w:ascii="Verdana" w:hAnsi="Verdana" w:cs="Verdana"/>
          <w:b/>
          <w:bCs/>
          <w:sz w:val="20"/>
          <w:szCs w:val="20"/>
          <w:lang w:val="es-ES"/>
        </w:rPr>
        <w:lastRenderedPageBreak/>
        <w:tab/>
      </w:r>
      <w:r>
        <w:rPr>
          <w:rFonts w:ascii="Verdana" w:hAnsi="Verdana" w:cs="Verdana"/>
          <w:b/>
          <w:bCs/>
          <w:sz w:val="20"/>
          <w:szCs w:val="20"/>
          <w:lang w:val="es-ES"/>
        </w:rPr>
        <w:tab/>
      </w:r>
      <w:r>
        <w:rPr>
          <w:rFonts w:ascii="Verdana" w:hAnsi="Verdana" w:cs="Verdana"/>
          <w:b/>
          <w:bCs/>
          <w:sz w:val="20"/>
          <w:szCs w:val="20"/>
          <w:lang w:val="es-ES"/>
        </w:rPr>
        <w:tab/>
      </w:r>
    </w:p>
    <w:p w14:paraId="3D0EB0CB" w14:textId="77777777" w:rsidR="00093BAD" w:rsidRDefault="00162E90">
      <w:pPr>
        <w:pStyle w:val="TOC1"/>
        <w:rPr>
          <w:rFonts w:asciiTheme="minorHAnsi" w:eastAsiaTheme="minorEastAsia" w:hAnsiTheme="minorHAnsi"/>
          <w:b w:val="0"/>
          <w:sz w:val="22"/>
          <w:szCs w:val="22"/>
        </w:rPr>
      </w:pPr>
      <w:r w:rsidRPr="002E041E">
        <w:rPr>
          <w:rFonts w:cs="Verdana"/>
          <w:b w:val="0"/>
          <w:bCs/>
          <w:lang w:val="es-ES"/>
        </w:rPr>
        <w:fldChar w:fldCharType="begin"/>
      </w:r>
      <w:r w:rsidRPr="002E041E">
        <w:rPr>
          <w:rFonts w:cs="Verdana"/>
          <w:b w:val="0"/>
          <w:bCs/>
          <w:lang w:val="es-ES"/>
        </w:rPr>
        <w:instrText xml:space="preserve"> TOC \o "1-3" \h \z \u </w:instrText>
      </w:r>
      <w:r w:rsidRPr="002E041E">
        <w:rPr>
          <w:rFonts w:cs="Verdana"/>
          <w:b w:val="0"/>
          <w:bCs/>
          <w:lang w:val="es-ES"/>
        </w:rPr>
        <w:fldChar w:fldCharType="separate"/>
      </w:r>
      <w:hyperlink w:anchor="_Toc439248776" w:history="1">
        <w:r w:rsidR="00093BAD" w:rsidRPr="00D84F59">
          <w:rPr>
            <w:rStyle w:val="Hyperlink"/>
            <w:smallCaps/>
            <w:lang w:val="es-CR"/>
          </w:rPr>
          <w:t>I.</w:t>
        </w:r>
        <w:r w:rsidR="00093BAD">
          <w:rPr>
            <w:rFonts w:asciiTheme="minorHAnsi" w:eastAsiaTheme="minorEastAsia" w:hAnsiTheme="minorHAnsi"/>
            <w:b w:val="0"/>
            <w:sz w:val="22"/>
            <w:szCs w:val="22"/>
          </w:rPr>
          <w:tab/>
        </w:r>
        <w:r w:rsidR="00093BAD" w:rsidRPr="00D84F59">
          <w:rPr>
            <w:rStyle w:val="Hyperlink"/>
          </w:rPr>
          <w:t>VISTO:</w:t>
        </w:r>
        <w:r w:rsidR="00093BAD">
          <w:rPr>
            <w:webHidden/>
          </w:rPr>
          <w:tab/>
        </w:r>
        <w:r w:rsidR="00093BAD">
          <w:rPr>
            <w:webHidden/>
          </w:rPr>
          <w:fldChar w:fldCharType="begin"/>
        </w:r>
        <w:r w:rsidR="00093BAD">
          <w:rPr>
            <w:webHidden/>
          </w:rPr>
          <w:instrText xml:space="preserve"> PAGEREF _Toc439248776 \h </w:instrText>
        </w:r>
        <w:r w:rsidR="00093BAD">
          <w:rPr>
            <w:webHidden/>
          </w:rPr>
        </w:r>
        <w:r w:rsidR="00093BAD">
          <w:rPr>
            <w:webHidden/>
          </w:rPr>
          <w:fldChar w:fldCharType="separate"/>
        </w:r>
        <w:r w:rsidR="007E3C4B">
          <w:rPr>
            <w:webHidden/>
          </w:rPr>
          <w:t>4</w:t>
        </w:r>
        <w:r w:rsidR="00093BAD">
          <w:rPr>
            <w:webHidden/>
          </w:rPr>
          <w:fldChar w:fldCharType="end"/>
        </w:r>
      </w:hyperlink>
    </w:p>
    <w:p w14:paraId="77A1379B" w14:textId="77777777" w:rsidR="00093BAD" w:rsidRDefault="007E32D6">
      <w:pPr>
        <w:pStyle w:val="TOC1"/>
        <w:rPr>
          <w:rFonts w:asciiTheme="minorHAnsi" w:eastAsiaTheme="minorEastAsia" w:hAnsiTheme="minorHAnsi"/>
          <w:b w:val="0"/>
          <w:sz w:val="22"/>
          <w:szCs w:val="22"/>
        </w:rPr>
      </w:pPr>
      <w:hyperlink w:anchor="_Toc439248777" w:history="1">
        <w:r w:rsidR="00093BAD" w:rsidRPr="00D84F59">
          <w:rPr>
            <w:rStyle w:val="Hyperlink"/>
          </w:rPr>
          <w:t>II.</w:t>
        </w:r>
        <w:r w:rsidR="00093BAD">
          <w:rPr>
            <w:rFonts w:asciiTheme="minorHAnsi" w:eastAsiaTheme="minorEastAsia" w:hAnsiTheme="minorHAnsi"/>
            <w:b w:val="0"/>
            <w:sz w:val="22"/>
            <w:szCs w:val="22"/>
          </w:rPr>
          <w:tab/>
        </w:r>
        <w:r w:rsidR="00093BAD" w:rsidRPr="00D84F59">
          <w:rPr>
            <w:rStyle w:val="Hyperlink"/>
          </w:rPr>
          <w:t xml:space="preserve">La medida ordenada por la Corte en cada uno de los </w:t>
        </w:r>
        <w:r w:rsidR="00093BAD" w:rsidRPr="00D84F59">
          <w:rPr>
            <w:rStyle w:val="Hyperlink"/>
            <w:i/>
          </w:rPr>
          <w:t>12 casos</w:t>
        </w:r>
        <w:r w:rsidR="00093BAD">
          <w:rPr>
            <w:webHidden/>
          </w:rPr>
          <w:tab/>
        </w:r>
        <w:r w:rsidR="00093BAD">
          <w:rPr>
            <w:webHidden/>
          </w:rPr>
          <w:fldChar w:fldCharType="begin"/>
        </w:r>
        <w:r w:rsidR="00093BAD">
          <w:rPr>
            <w:webHidden/>
          </w:rPr>
          <w:instrText xml:space="preserve"> PAGEREF _Toc439248777 \h </w:instrText>
        </w:r>
        <w:r w:rsidR="00093BAD">
          <w:rPr>
            <w:webHidden/>
          </w:rPr>
        </w:r>
        <w:r w:rsidR="00093BAD">
          <w:rPr>
            <w:webHidden/>
          </w:rPr>
          <w:fldChar w:fldCharType="separate"/>
        </w:r>
        <w:r w:rsidR="007E3C4B">
          <w:rPr>
            <w:webHidden/>
          </w:rPr>
          <w:t>6</w:t>
        </w:r>
        <w:r w:rsidR="00093BAD">
          <w:rPr>
            <w:webHidden/>
          </w:rPr>
          <w:fldChar w:fldCharType="end"/>
        </w:r>
      </w:hyperlink>
    </w:p>
    <w:p w14:paraId="7EDF29AB" w14:textId="77777777" w:rsidR="00093BAD" w:rsidRDefault="007E32D6">
      <w:pPr>
        <w:pStyle w:val="TOC1"/>
        <w:rPr>
          <w:rFonts w:asciiTheme="minorHAnsi" w:eastAsiaTheme="minorEastAsia" w:hAnsiTheme="minorHAnsi"/>
          <w:b w:val="0"/>
          <w:sz w:val="22"/>
          <w:szCs w:val="22"/>
        </w:rPr>
      </w:pPr>
      <w:hyperlink w:anchor="_Toc439248778" w:history="1">
        <w:r w:rsidR="00093BAD" w:rsidRPr="00D84F59">
          <w:rPr>
            <w:rStyle w:val="Hyperlink"/>
          </w:rPr>
          <w:t>III.</w:t>
        </w:r>
        <w:r w:rsidR="00093BAD">
          <w:rPr>
            <w:rFonts w:asciiTheme="minorHAnsi" w:eastAsiaTheme="minorEastAsia" w:hAnsiTheme="minorHAnsi"/>
            <w:b w:val="0"/>
            <w:sz w:val="22"/>
            <w:szCs w:val="22"/>
          </w:rPr>
          <w:tab/>
        </w:r>
        <w:r w:rsidR="00093BAD" w:rsidRPr="00D84F59">
          <w:rPr>
            <w:rStyle w:val="Hyperlink"/>
          </w:rPr>
          <w:t xml:space="preserve">La supervisión conjunta de los </w:t>
        </w:r>
        <w:r w:rsidR="00093BAD" w:rsidRPr="00D84F59">
          <w:rPr>
            <w:rStyle w:val="Hyperlink"/>
            <w:i/>
          </w:rPr>
          <w:t>12 casos</w:t>
        </w:r>
        <w:r w:rsidR="00093BAD">
          <w:rPr>
            <w:webHidden/>
          </w:rPr>
          <w:tab/>
        </w:r>
        <w:r w:rsidR="00093BAD">
          <w:rPr>
            <w:webHidden/>
          </w:rPr>
          <w:fldChar w:fldCharType="begin"/>
        </w:r>
        <w:r w:rsidR="00093BAD">
          <w:rPr>
            <w:webHidden/>
          </w:rPr>
          <w:instrText xml:space="preserve"> PAGEREF _Toc439248778 \h </w:instrText>
        </w:r>
        <w:r w:rsidR="00093BAD">
          <w:rPr>
            <w:webHidden/>
          </w:rPr>
        </w:r>
        <w:r w:rsidR="00093BAD">
          <w:rPr>
            <w:webHidden/>
          </w:rPr>
          <w:fldChar w:fldCharType="separate"/>
        </w:r>
        <w:r w:rsidR="007E3C4B">
          <w:rPr>
            <w:webHidden/>
          </w:rPr>
          <w:t>9</w:t>
        </w:r>
        <w:r w:rsidR="00093BAD">
          <w:rPr>
            <w:webHidden/>
          </w:rPr>
          <w:fldChar w:fldCharType="end"/>
        </w:r>
      </w:hyperlink>
    </w:p>
    <w:p w14:paraId="524E88C5" w14:textId="77777777" w:rsidR="00093BAD" w:rsidRDefault="007E32D6">
      <w:pPr>
        <w:pStyle w:val="TOC1"/>
        <w:rPr>
          <w:rFonts w:asciiTheme="minorHAnsi" w:eastAsiaTheme="minorEastAsia" w:hAnsiTheme="minorHAnsi"/>
          <w:b w:val="0"/>
          <w:sz w:val="22"/>
          <w:szCs w:val="22"/>
        </w:rPr>
      </w:pPr>
      <w:hyperlink w:anchor="_Toc439248779" w:history="1">
        <w:r w:rsidR="00093BAD" w:rsidRPr="00D84F59">
          <w:rPr>
            <w:rStyle w:val="Hyperlink"/>
          </w:rPr>
          <w:t>IV.</w:t>
        </w:r>
        <w:r w:rsidR="00093BAD">
          <w:rPr>
            <w:rFonts w:asciiTheme="minorHAnsi" w:eastAsiaTheme="minorEastAsia" w:hAnsiTheme="minorHAnsi"/>
            <w:b w:val="0"/>
            <w:sz w:val="22"/>
            <w:szCs w:val="22"/>
          </w:rPr>
          <w:tab/>
        </w:r>
        <w:r w:rsidR="00093BAD" w:rsidRPr="00D84F59">
          <w:rPr>
            <w:rStyle w:val="Hyperlink"/>
          </w:rPr>
          <w:t>El grado de cumplimiento de la obligación de investigar por parte del Estado de Guatemala en los 12 Casos</w:t>
        </w:r>
        <w:r w:rsidR="00093BAD">
          <w:rPr>
            <w:webHidden/>
          </w:rPr>
          <w:tab/>
        </w:r>
        <w:r w:rsidR="00093BAD">
          <w:rPr>
            <w:webHidden/>
          </w:rPr>
          <w:fldChar w:fldCharType="begin"/>
        </w:r>
        <w:r w:rsidR="00093BAD">
          <w:rPr>
            <w:webHidden/>
          </w:rPr>
          <w:instrText xml:space="preserve"> PAGEREF _Toc439248779 \h </w:instrText>
        </w:r>
        <w:r w:rsidR="00093BAD">
          <w:rPr>
            <w:webHidden/>
          </w:rPr>
        </w:r>
        <w:r w:rsidR="00093BAD">
          <w:rPr>
            <w:webHidden/>
          </w:rPr>
          <w:fldChar w:fldCharType="separate"/>
        </w:r>
        <w:r w:rsidR="007E3C4B">
          <w:rPr>
            <w:webHidden/>
          </w:rPr>
          <w:t>12</w:t>
        </w:r>
        <w:r w:rsidR="00093BAD">
          <w:rPr>
            <w:webHidden/>
          </w:rPr>
          <w:fldChar w:fldCharType="end"/>
        </w:r>
      </w:hyperlink>
    </w:p>
    <w:p w14:paraId="29E1CCF4" w14:textId="77777777" w:rsidR="00093BAD" w:rsidRDefault="007E32D6">
      <w:pPr>
        <w:pStyle w:val="TOC2"/>
        <w:rPr>
          <w:rFonts w:eastAsiaTheme="minorEastAsia"/>
          <w:noProof/>
        </w:rPr>
      </w:pPr>
      <w:hyperlink w:anchor="_Toc439248780" w:history="1">
        <w:r w:rsidR="00093BAD" w:rsidRPr="00D84F59">
          <w:rPr>
            <w:rStyle w:val="Hyperlink"/>
            <w:noProof/>
          </w:rPr>
          <w:t>A)</w:t>
        </w:r>
        <w:r w:rsidR="00093BAD">
          <w:rPr>
            <w:rFonts w:eastAsiaTheme="minorEastAsia"/>
            <w:noProof/>
          </w:rPr>
          <w:tab/>
        </w:r>
        <w:r w:rsidR="00093BAD" w:rsidRPr="00D84F59">
          <w:rPr>
            <w:rStyle w:val="Hyperlink"/>
            <w:noProof/>
          </w:rPr>
          <w:t>Información aportada por el Ministerio Público de Guatemala</w:t>
        </w:r>
        <w:r w:rsidR="00093BAD">
          <w:rPr>
            <w:noProof/>
            <w:webHidden/>
          </w:rPr>
          <w:tab/>
        </w:r>
        <w:r w:rsidR="00093BAD">
          <w:rPr>
            <w:noProof/>
            <w:webHidden/>
          </w:rPr>
          <w:fldChar w:fldCharType="begin"/>
        </w:r>
        <w:r w:rsidR="00093BAD">
          <w:rPr>
            <w:noProof/>
            <w:webHidden/>
          </w:rPr>
          <w:instrText xml:space="preserve"> PAGEREF _Toc439248780 \h </w:instrText>
        </w:r>
        <w:r w:rsidR="00093BAD">
          <w:rPr>
            <w:noProof/>
            <w:webHidden/>
          </w:rPr>
        </w:r>
        <w:r w:rsidR="00093BAD">
          <w:rPr>
            <w:noProof/>
            <w:webHidden/>
          </w:rPr>
          <w:fldChar w:fldCharType="separate"/>
        </w:r>
        <w:r w:rsidR="007E3C4B">
          <w:rPr>
            <w:noProof/>
            <w:webHidden/>
          </w:rPr>
          <w:t>12</w:t>
        </w:r>
        <w:r w:rsidR="00093BAD">
          <w:rPr>
            <w:noProof/>
            <w:webHidden/>
          </w:rPr>
          <w:fldChar w:fldCharType="end"/>
        </w:r>
      </w:hyperlink>
    </w:p>
    <w:p w14:paraId="568068E2" w14:textId="77777777" w:rsidR="00093BAD" w:rsidRDefault="007E32D6">
      <w:pPr>
        <w:pStyle w:val="TOC2"/>
        <w:rPr>
          <w:rFonts w:eastAsiaTheme="minorEastAsia"/>
          <w:noProof/>
        </w:rPr>
      </w:pPr>
      <w:hyperlink w:anchor="_Toc439248781" w:history="1">
        <w:r w:rsidR="00093BAD" w:rsidRPr="00D84F59">
          <w:rPr>
            <w:rStyle w:val="Hyperlink"/>
            <w:noProof/>
          </w:rPr>
          <w:t>B)</w:t>
        </w:r>
        <w:r w:rsidR="00093BAD">
          <w:rPr>
            <w:rFonts w:eastAsiaTheme="minorEastAsia"/>
            <w:noProof/>
          </w:rPr>
          <w:tab/>
        </w:r>
        <w:r w:rsidR="00093BAD" w:rsidRPr="00D84F59">
          <w:rPr>
            <w:rStyle w:val="Hyperlink"/>
            <w:noProof/>
          </w:rPr>
          <w:t>Información y observaciones de las partes y de la Comisión</w:t>
        </w:r>
        <w:r w:rsidR="00093BAD">
          <w:rPr>
            <w:noProof/>
            <w:webHidden/>
          </w:rPr>
          <w:tab/>
        </w:r>
        <w:r w:rsidR="00093BAD">
          <w:rPr>
            <w:noProof/>
            <w:webHidden/>
          </w:rPr>
          <w:fldChar w:fldCharType="begin"/>
        </w:r>
        <w:r w:rsidR="00093BAD">
          <w:rPr>
            <w:noProof/>
            <w:webHidden/>
          </w:rPr>
          <w:instrText xml:space="preserve"> PAGEREF _Toc439248781 \h </w:instrText>
        </w:r>
        <w:r w:rsidR="00093BAD">
          <w:rPr>
            <w:noProof/>
            <w:webHidden/>
          </w:rPr>
        </w:r>
        <w:r w:rsidR="00093BAD">
          <w:rPr>
            <w:noProof/>
            <w:webHidden/>
          </w:rPr>
          <w:fldChar w:fldCharType="separate"/>
        </w:r>
        <w:r w:rsidR="007E3C4B">
          <w:rPr>
            <w:noProof/>
            <w:webHidden/>
          </w:rPr>
          <w:t>12</w:t>
        </w:r>
        <w:r w:rsidR="00093BAD">
          <w:rPr>
            <w:noProof/>
            <w:webHidden/>
          </w:rPr>
          <w:fldChar w:fldCharType="end"/>
        </w:r>
      </w:hyperlink>
    </w:p>
    <w:p w14:paraId="17448171" w14:textId="77777777" w:rsidR="00093BAD" w:rsidRDefault="007E32D6">
      <w:pPr>
        <w:pStyle w:val="TOC2"/>
        <w:rPr>
          <w:rFonts w:eastAsiaTheme="minorEastAsia"/>
          <w:noProof/>
        </w:rPr>
      </w:pPr>
      <w:hyperlink w:anchor="_Toc439248782" w:history="1">
        <w:r w:rsidR="00093BAD" w:rsidRPr="00D84F59">
          <w:rPr>
            <w:rStyle w:val="Hyperlink"/>
            <w:noProof/>
          </w:rPr>
          <w:t>C)</w:t>
        </w:r>
        <w:r w:rsidR="00093BAD">
          <w:rPr>
            <w:rFonts w:eastAsiaTheme="minorEastAsia"/>
            <w:noProof/>
          </w:rPr>
          <w:tab/>
        </w:r>
        <w:r w:rsidR="00093BAD" w:rsidRPr="00D84F59">
          <w:rPr>
            <w:rStyle w:val="Hyperlink"/>
            <w:noProof/>
          </w:rPr>
          <w:t>Consideraciones de la Corte</w:t>
        </w:r>
        <w:r w:rsidR="00093BAD">
          <w:rPr>
            <w:noProof/>
            <w:webHidden/>
          </w:rPr>
          <w:tab/>
        </w:r>
        <w:r w:rsidR="00093BAD">
          <w:rPr>
            <w:noProof/>
            <w:webHidden/>
          </w:rPr>
          <w:fldChar w:fldCharType="begin"/>
        </w:r>
        <w:r w:rsidR="00093BAD">
          <w:rPr>
            <w:noProof/>
            <w:webHidden/>
          </w:rPr>
          <w:instrText xml:space="preserve"> PAGEREF _Toc439248782 \h </w:instrText>
        </w:r>
        <w:r w:rsidR="00093BAD">
          <w:rPr>
            <w:noProof/>
            <w:webHidden/>
          </w:rPr>
        </w:r>
        <w:r w:rsidR="00093BAD">
          <w:rPr>
            <w:noProof/>
            <w:webHidden/>
          </w:rPr>
          <w:fldChar w:fldCharType="separate"/>
        </w:r>
        <w:r w:rsidR="007E3C4B">
          <w:rPr>
            <w:noProof/>
            <w:webHidden/>
          </w:rPr>
          <w:t>14</w:t>
        </w:r>
        <w:r w:rsidR="00093BAD">
          <w:rPr>
            <w:noProof/>
            <w:webHidden/>
          </w:rPr>
          <w:fldChar w:fldCharType="end"/>
        </w:r>
      </w:hyperlink>
    </w:p>
    <w:p w14:paraId="3A268FA3" w14:textId="77777777" w:rsidR="00093BAD" w:rsidRDefault="007E32D6">
      <w:pPr>
        <w:pStyle w:val="TOC2"/>
        <w:rPr>
          <w:rFonts w:eastAsiaTheme="minorEastAsia"/>
          <w:noProof/>
        </w:rPr>
      </w:pPr>
      <w:hyperlink w:anchor="_Toc439248783" w:history="1">
        <w:r w:rsidR="00093BAD" w:rsidRPr="00D84F59">
          <w:rPr>
            <w:rStyle w:val="Hyperlink"/>
            <w:noProof/>
          </w:rPr>
          <w:t>D) Consideraciones particulares sobre cada uno de los 12 Casos</w:t>
        </w:r>
        <w:r w:rsidR="00093BAD">
          <w:rPr>
            <w:noProof/>
            <w:webHidden/>
          </w:rPr>
          <w:tab/>
        </w:r>
        <w:r w:rsidR="00093BAD">
          <w:rPr>
            <w:noProof/>
            <w:webHidden/>
          </w:rPr>
          <w:fldChar w:fldCharType="begin"/>
        </w:r>
        <w:r w:rsidR="00093BAD">
          <w:rPr>
            <w:noProof/>
            <w:webHidden/>
          </w:rPr>
          <w:instrText xml:space="preserve"> PAGEREF _Toc439248783 \h </w:instrText>
        </w:r>
        <w:r w:rsidR="00093BAD">
          <w:rPr>
            <w:noProof/>
            <w:webHidden/>
          </w:rPr>
        </w:r>
        <w:r w:rsidR="00093BAD">
          <w:rPr>
            <w:noProof/>
            <w:webHidden/>
          </w:rPr>
          <w:fldChar w:fldCharType="separate"/>
        </w:r>
        <w:r w:rsidR="007E3C4B">
          <w:rPr>
            <w:noProof/>
            <w:webHidden/>
          </w:rPr>
          <w:t>16</w:t>
        </w:r>
        <w:r w:rsidR="00093BAD">
          <w:rPr>
            <w:noProof/>
            <w:webHidden/>
          </w:rPr>
          <w:fldChar w:fldCharType="end"/>
        </w:r>
      </w:hyperlink>
    </w:p>
    <w:p w14:paraId="746133E8" w14:textId="77777777" w:rsidR="00093BAD" w:rsidRDefault="007E32D6">
      <w:pPr>
        <w:pStyle w:val="TOC3"/>
        <w:rPr>
          <w:rFonts w:eastAsiaTheme="minorEastAsia"/>
          <w:noProof/>
        </w:rPr>
      </w:pPr>
      <w:hyperlink w:anchor="_Toc439248784" w:history="1">
        <w:r w:rsidR="00093BAD" w:rsidRPr="00D84F59">
          <w:rPr>
            <w:rStyle w:val="Hyperlink"/>
            <w:noProof/>
          </w:rPr>
          <w:t>i)</w:t>
        </w:r>
        <w:r w:rsidR="00093BAD">
          <w:rPr>
            <w:rFonts w:eastAsiaTheme="minorEastAsia"/>
            <w:noProof/>
          </w:rPr>
          <w:tab/>
        </w:r>
        <w:r w:rsidR="00093BAD" w:rsidRPr="00D84F59">
          <w:rPr>
            <w:rStyle w:val="Hyperlink"/>
            <w:noProof/>
          </w:rPr>
          <w:t>Caso Blake</w:t>
        </w:r>
        <w:r w:rsidR="00093BAD">
          <w:rPr>
            <w:noProof/>
            <w:webHidden/>
          </w:rPr>
          <w:tab/>
        </w:r>
        <w:r w:rsidR="00093BAD">
          <w:rPr>
            <w:noProof/>
            <w:webHidden/>
          </w:rPr>
          <w:fldChar w:fldCharType="begin"/>
        </w:r>
        <w:r w:rsidR="00093BAD">
          <w:rPr>
            <w:noProof/>
            <w:webHidden/>
          </w:rPr>
          <w:instrText xml:space="preserve"> PAGEREF _Toc439248784 \h </w:instrText>
        </w:r>
        <w:r w:rsidR="00093BAD">
          <w:rPr>
            <w:noProof/>
            <w:webHidden/>
          </w:rPr>
        </w:r>
        <w:r w:rsidR="00093BAD">
          <w:rPr>
            <w:noProof/>
            <w:webHidden/>
          </w:rPr>
          <w:fldChar w:fldCharType="separate"/>
        </w:r>
        <w:r w:rsidR="007E3C4B">
          <w:rPr>
            <w:noProof/>
            <w:webHidden/>
          </w:rPr>
          <w:t>16</w:t>
        </w:r>
        <w:r w:rsidR="00093BAD">
          <w:rPr>
            <w:noProof/>
            <w:webHidden/>
          </w:rPr>
          <w:fldChar w:fldCharType="end"/>
        </w:r>
      </w:hyperlink>
    </w:p>
    <w:p w14:paraId="5011475D" w14:textId="77777777" w:rsidR="00093BAD" w:rsidRDefault="007E32D6">
      <w:pPr>
        <w:pStyle w:val="TOC3"/>
        <w:rPr>
          <w:rFonts w:eastAsiaTheme="minorEastAsia"/>
          <w:noProof/>
        </w:rPr>
      </w:pPr>
      <w:hyperlink w:anchor="_Toc439248785" w:history="1">
        <w:r w:rsidR="00093BAD" w:rsidRPr="00D84F59">
          <w:rPr>
            <w:rStyle w:val="Hyperlink"/>
            <w:noProof/>
          </w:rPr>
          <w:t>ii)</w:t>
        </w:r>
        <w:r w:rsidR="00093BAD">
          <w:rPr>
            <w:rFonts w:eastAsiaTheme="minorEastAsia"/>
            <w:noProof/>
          </w:rPr>
          <w:tab/>
        </w:r>
        <w:r w:rsidR="00093BAD" w:rsidRPr="00D84F59">
          <w:rPr>
            <w:rStyle w:val="Hyperlink"/>
            <w:noProof/>
          </w:rPr>
          <w:t>Caso Panel Blanca</w:t>
        </w:r>
        <w:r w:rsidR="00093BAD">
          <w:rPr>
            <w:noProof/>
            <w:webHidden/>
          </w:rPr>
          <w:tab/>
        </w:r>
        <w:r w:rsidR="00093BAD">
          <w:rPr>
            <w:noProof/>
            <w:webHidden/>
          </w:rPr>
          <w:fldChar w:fldCharType="begin"/>
        </w:r>
        <w:r w:rsidR="00093BAD">
          <w:rPr>
            <w:noProof/>
            <w:webHidden/>
          </w:rPr>
          <w:instrText xml:space="preserve"> PAGEREF _Toc439248785 \h </w:instrText>
        </w:r>
        <w:r w:rsidR="00093BAD">
          <w:rPr>
            <w:noProof/>
            <w:webHidden/>
          </w:rPr>
        </w:r>
        <w:r w:rsidR="00093BAD">
          <w:rPr>
            <w:noProof/>
            <w:webHidden/>
          </w:rPr>
          <w:fldChar w:fldCharType="separate"/>
        </w:r>
        <w:r w:rsidR="007E3C4B">
          <w:rPr>
            <w:noProof/>
            <w:webHidden/>
          </w:rPr>
          <w:t>18</w:t>
        </w:r>
        <w:r w:rsidR="00093BAD">
          <w:rPr>
            <w:noProof/>
            <w:webHidden/>
          </w:rPr>
          <w:fldChar w:fldCharType="end"/>
        </w:r>
      </w:hyperlink>
    </w:p>
    <w:p w14:paraId="41EB8CD5" w14:textId="77777777" w:rsidR="00093BAD" w:rsidRDefault="007E32D6">
      <w:pPr>
        <w:pStyle w:val="TOC3"/>
        <w:rPr>
          <w:rFonts w:eastAsiaTheme="minorEastAsia"/>
          <w:noProof/>
        </w:rPr>
      </w:pPr>
      <w:hyperlink w:anchor="_Toc439248786" w:history="1">
        <w:r w:rsidR="00093BAD" w:rsidRPr="00D84F59">
          <w:rPr>
            <w:rStyle w:val="Hyperlink"/>
            <w:noProof/>
          </w:rPr>
          <w:t>iii)</w:t>
        </w:r>
        <w:r w:rsidR="00093BAD">
          <w:rPr>
            <w:rFonts w:eastAsiaTheme="minorEastAsia"/>
            <w:noProof/>
          </w:rPr>
          <w:tab/>
        </w:r>
        <w:r w:rsidR="00093BAD" w:rsidRPr="00D84F59">
          <w:rPr>
            <w:rStyle w:val="Hyperlink"/>
            <w:noProof/>
          </w:rPr>
          <w:t>Caso Niños de la Calle</w:t>
        </w:r>
        <w:r w:rsidR="00093BAD">
          <w:rPr>
            <w:noProof/>
            <w:webHidden/>
          </w:rPr>
          <w:tab/>
        </w:r>
        <w:r w:rsidR="00093BAD">
          <w:rPr>
            <w:noProof/>
            <w:webHidden/>
          </w:rPr>
          <w:fldChar w:fldCharType="begin"/>
        </w:r>
        <w:r w:rsidR="00093BAD">
          <w:rPr>
            <w:noProof/>
            <w:webHidden/>
          </w:rPr>
          <w:instrText xml:space="preserve"> PAGEREF _Toc439248786 \h </w:instrText>
        </w:r>
        <w:r w:rsidR="00093BAD">
          <w:rPr>
            <w:noProof/>
            <w:webHidden/>
          </w:rPr>
        </w:r>
        <w:r w:rsidR="00093BAD">
          <w:rPr>
            <w:noProof/>
            <w:webHidden/>
          </w:rPr>
          <w:fldChar w:fldCharType="separate"/>
        </w:r>
        <w:r w:rsidR="007E3C4B">
          <w:rPr>
            <w:noProof/>
            <w:webHidden/>
          </w:rPr>
          <w:t>19</w:t>
        </w:r>
        <w:r w:rsidR="00093BAD">
          <w:rPr>
            <w:noProof/>
            <w:webHidden/>
          </w:rPr>
          <w:fldChar w:fldCharType="end"/>
        </w:r>
      </w:hyperlink>
    </w:p>
    <w:p w14:paraId="04869D40" w14:textId="77777777" w:rsidR="00093BAD" w:rsidRDefault="007E32D6">
      <w:pPr>
        <w:pStyle w:val="TOC3"/>
        <w:rPr>
          <w:rFonts w:eastAsiaTheme="minorEastAsia"/>
          <w:noProof/>
        </w:rPr>
      </w:pPr>
      <w:hyperlink w:anchor="_Toc439248787" w:history="1">
        <w:r w:rsidR="00093BAD" w:rsidRPr="00D84F59">
          <w:rPr>
            <w:rStyle w:val="Hyperlink"/>
            <w:noProof/>
          </w:rPr>
          <w:t>iv)</w:t>
        </w:r>
        <w:r w:rsidR="00093BAD">
          <w:rPr>
            <w:rFonts w:eastAsiaTheme="minorEastAsia"/>
            <w:noProof/>
          </w:rPr>
          <w:tab/>
        </w:r>
        <w:r w:rsidR="00093BAD" w:rsidRPr="00D84F59">
          <w:rPr>
            <w:rStyle w:val="Hyperlink"/>
            <w:noProof/>
          </w:rPr>
          <w:t>Caso Bámaca Velásquez</w:t>
        </w:r>
        <w:r w:rsidR="00093BAD">
          <w:rPr>
            <w:noProof/>
            <w:webHidden/>
          </w:rPr>
          <w:tab/>
        </w:r>
        <w:r w:rsidR="00093BAD">
          <w:rPr>
            <w:noProof/>
            <w:webHidden/>
          </w:rPr>
          <w:fldChar w:fldCharType="begin"/>
        </w:r>
        <w:r w:rsidR="00093BAD">
          <w:rPr>
            <w:noProof/>
            <w:webHidden/>
          </w:rPr>
          <w:instrText xml:space="preserve"> PAGEREF _Toc439248787 \h </w:instrText>
        </w:r>
        <w:r w:rsidR="00093BAD">
          <w:rPr>
            <w:noProof/>
            <w:webHidden/>
          </w:rPr>
        </w:r>
        <w:r w:rsidR="00093BAD">
          <w:rPr>
            <w:noProof/>
            <w:webHidden/>
          </w:rPr>
          <w:fldChar w:fldCharType="separate"/>
        </w:r>
        <w:r w:rsidR="007E3C4B">
          <w:rPr>
            <w:noProof/>
            <w:webHidden/>
          </w:rPr>
          <w:t>22</w:t>
        </w:r>
        <w:r w:rsidR="00093BAD">
          <w:rPr>
            <w:noProof/>
            <w:webHidden/>
          </w:rPr>
          <w:fldChar w:fldCharType="end"/>
        </w:r>
      </w:hyperlink>
    </w:p>
    <w:p w14:paraId="3B4B59DF" w14:textId="77777777" w:rsidR="00093BAD" w:rsidRDefault="007E32D6">
      <w:pPr>
        <w:pStyle w:val="TOC3"/>
        <w:rPr>
          <w:rFonts w:eastAsiaTheme="minorEastAsia"/>
          <w:noProof/>
        </w:rPr>
      </w:pPr>
      <w:hyperlink w:anchor="_Toc439248788" w:history="1">
        <w:r w:rsidR="00093BAD" w:rsidRPr="00D84F59">
          <w:rPr>
            <w:rStyle w:val="Hyperlink"/>
            <w:noProof/>
          </w:rPr>
          <w:t>v)</w:t>
        </w:r>
        <w:r w:rsidR="00093BAD">
          <w:rPr>
            <w:rFonts w:eastAsiaTheme="minorEastAsia"/>
            <w:noProof/>
          </w:rPr>
          <w:tab/>
        </w:r>
        <w:r w:rsidR="00093BAD" w:rsidRPr="00D84F59">
          <w:rPr>
            <w:rStyle w:val="Hyperlink"/>
            <w:noProof/>
          </w:rPr>
          <w:t>Caso Mack Chang</w:t>
        </w:r>
        <w:r w:rsidR="00093BAD">
          <w:rPr>
            <w:noProof/>
            <w:webHidden/>
          </w:rPr>
          <w:tab/>
        </w:r>
        <w:r w:rsidR="00093BAD">
          <w:rPr>
            <w:noProof/>
            <w:webHidden/>
          </w:rPr>
          <w:fldChar w:fldCharType="begin"/>
        </w:r>
        <w:r w:rsidR="00093BAD">
          <w:rPr>
            <w:noProof/>
            <w:webHidden/>
          </w:rPr>
          <w:instrText xml:space="preserve"> PAGEREF _Toc439248788 \h </w:instrText>
        </w:r>
        <w:r w:rsidR="00093BAD">
          <w:rPr>
            <w:noProof/>
            <w:webHidden/>
          </w:rPr>
        </w:r>
        <w:r w:rsidR="00093BAD">
          <w:rPr>
            <w:noProof/>
            <w:webHidden/>
          </w:rPr>
          <w:fldChar w:fldCharType="separate"/>
        </w:r>
        <w:r w:rsidR="007E3C4B">
          <w:rPr>
            <w:noProof/>
            <w:webHidden/>
          </w:rPr>
          <w:t>26</w:t>
        </w:r>
        <w:r w:rsidR="00093BAD">
          <w:rPr>
            <w:noProof/>
            <w:webHidden/>
          </w:rPr>
          <w:fldChar w:fldCharType="end"/>
        </w:r>
      </w:hyperlink>
    </w:p>
    <w:p w14:paraId="54C38DA3" w14:textId="77777777" w:rsidR="00093BAD" w:rsidRDefault="007E32D6">
      <w:pPr>
        <w:pStyle w:val="TOC3"/>
        <w:rPr>
          <w:rFonts w:eastAsiaTheme="minorEastAsia"/>
          <w:noProof/>
        </w:rPr>
      </w:pPr>
      <w:hyperlink w:anchor="_Toc439248789" w:history="1">
        <w:r w:rsidR="00093BAD" w:rsidRPr="00D84F59">
          <w:rPr>
            <w:rStyle w:val="Hyperlink"/>
            <w:noProof/>
          </w:rPr>
          <w:t>vi)</w:t>
        </w:r>
        <w:r w:rsidR="00093BAD">
          <w:rPr>
            <w:rFonts w:eastAsiaTheme="minorEastAsia"/>
            <w:noProof/>
          </w:rPr>
          <w:tab/>
        </w:r>
        <w:r w:rsidR="00093BAD" w:rsidRPr="00D84F59">
          <w:rPr>
            <w:rStyle w:val="Hyperlink"/>
            <w:noProof/>
          </w:rPr>
          <w:t>Caso Maritza Urrutia</w:t>
        </w:r>
        <w:r w:rsidR="00093BAD">
          <w:rPr>
            <w:noProof/>
            <w:webHidden/>
          </w:rPr>
          <w:tab/>
        </w:r>
        <w:r w:rsidR="00093BAD">
          <w:rPr>
            <w:noProof/>
            <w:webHidden/>
          </w:rPr>
          <w:fldChar w:fldCharType="begin"/>
        </w:r>
        <w:r w:rsidR="00093BAD">
          <w:rPr>
            <w:noProof/>
            <w:webHidden/>
          </w:rPr>
          <w:instrText xml:space="preserve"> PAGEREF _Toc439248789 \h </w:instrText>
        </w:r>
        <w:r w:rsidR="00093BAD">
          <w:rPr>
            <w:noProof/>
            <w:webHidden/>
          </w:rPr>
        </w:r>
        <w:r w:rsidR="00093BAD">
          <w:rPr>
            <w:noProof/>
            <w:webHidden/>
          </w:rPr>
          <w:fldChar w:fldCharType="separate"/>
        </w:r>
        <w:r w:rsidR="007E3C4B">
          <w:rPr>
            <w:noProof/>
            <w:webHidden/>
          </w:rPr>
          <w:t>27</w:t>
        </w:r>
        <w:r w:rsidR="00093BAD">
          <w:rPr>
            <w:noProof/>
            <w:webHidden/>
          </w:rPr>
          <w:fldChar w:fldCharType="end"/>
        </w:r>
      </w:hyperlink>
    </w:p>
    <w:p w14:paraId="6D1D86F2" w14:textId="77777777" w:rsidR="00093BAD" w:rsidRDefault="007E32D6">
      <w:pPr>
        <w:pStyle w:val="TOC3"/>
        <w:rPr>
          <w:rFonts w:eastAsiaTheme="minorEastAsia"/>
          <w:noProof/>
        </w:rPr>
      </w:pPr>
      <w:hyperlink w:anchor="_Toc439248790" w:history="1">
        <w:r w:rsidR="00093BAD" w:rsidRPr="00D84F59">
          <w:rPr>
            <w:rStyle w:val="Hyperlink"/>
            <w:noProof/>
          </w:rPr>
          <w:t>vii)</w:t>
        </w:r>
        <w:r w:rsidR="00093BAD">
          <w:rPr>
            <w:rFonts w:eastAsiaTheme="minorEastAsia"/>
            <w:noProof/>
          </w:rPr>
          <w:tab/>
        </w:r>
        <w:r w:rsidR="00093BAD" w:rsidRPr="00D84F59">
          <w:rPr>
            <w:rStyle w:val="Hyperlink"/>
            <w:noProof/>
          </w:rPr>
          <w:t>Caso Molina Theissen</w:t>
        </w:r>
        <w:r w:rsidR="00093BAD">
          <w:rPr>
            <w:noProof/>
            <w:webHidden/>
          </w:rPr>
          <w:tab/>
        </w:r>
        <w:r w:rsidR="00093BAD">
          <w:rPr>
            <w:noProof/>
            <w:webHidden/>
          </w:rPr>
          <w:fldChar w:fldCharType="begin"/>
        </w:r>
        <w:r w:rsidR="00093BAD">
          <w:rPr>
            <w:noProof/>
            <w:webHidden/>
          </w:rPr>
          <w:instrText xml:space="preserve"> PAGEREF _Toc439248790 \h </w:instrText>
        </w:r>
        <w:r w:rsidR="00093BAD">
          <w:rPr>
            <w:noProof/>
            <w:webHidden/>
          </w:rPr>
        </w:r>
        <w:r w:rsidR="00093BAD">
          <w:rPr>
            <w:noProof/>
            <w:webHidden/>
          </w:rPr>
          <w:fldChar w:fldCharType="separate"/>
        </w:r>
        <w:r w:rsidR="007E3C4B">
          <w:rPr>
            <w:noProof/>
            <w:webHidden/>
          </w:rPr>
          <w:t>29</w:t>
        </w:r>
        <w:r w:rsidR="00093BAD">
          <w:rPr>
            <w:noProof/>
            <w:webHidden/>
          </w:rPr>
          <w:fldChar w:fldCharType="end"/>
        </w:r>
      </w:hyperlink>
    </w:p>
    <w:p w14:paraId="20CEDEDD" w14:textId="77777777" w:rsidR="00093BAD" w:rsidRDefault="007E32D6">
      <w:pPr>
        <w:pStyle w:val="TOC3"/>
        <w:rPr>
          <w:rFonts w:eastAsiaTheme="minorEastAsia"/>
          <w:noProof/>
        </w:rPr>
      </w:pPr>
      <w:hyperlink w:anchor="_Toc439248791" w:history="1">
        <w:r w:rsidR="00093BAD" w:rsidRPr="00D84F59">
          <w:rPr>
            <w:rStyle w:val="Hyperlink"/>
            <w:noProof/>
          </w:rPr>
          <w:t>viii)</w:t>
        </w:r>
        <w:r w:rsidR="00093BAD">
          <w:rPr>
            <w:rFonts w:eastAsiaTheme="minorEastAsia"/>
            <w:noProof/>
          </w:rPr>
          <w:tab/>
        </w:r>
        <w:r w:rsidR="00093BAD" w:rsidRPr="00D84F59">
          <w:rPr>
            <w:rStyle w:val="Hyperlink"/>
            <w:noProof/>
          </w:rPr>
          <w:t>Caso Masacre Plan de Sánchez</w:t>
        </w:r>
        <w:r w:rsidR="00093BAD">
          <w:rPr>
            <w:noProof/>
            <w:webHidden/>
          </w:rPr>
          <w:tab/>
        </w:r>
        <w:r w:rsidR="00093BAD">
          <w:rPr>
            <w:noProof/>
            <w:webHidden/>
          </w:rPr>
          <w:fldChar w:fldCharType="begin"/>
        </w:r>
        <w:r w:rsidR="00093BAD">
          <w:rPr>
            <w:noProof/>
            <w:webHidden/>
          </w:rPr>
          <w:instrText xml:space="preserve"> PAGEREF _Toc439248791 \h </w:instrText>
        </w:r>
        <w:r w:rsidR="00093BAD">
          <w:rPr>
            <w:noProof/>
            <w:webHidden/>
          </w:rPr>
        </w:r>
        <w:r w:rsidR="00093BAD">
          <w:rPr>
            <w:noProof/>
            <w:webHidden/>
          </w:rPr>
          <w:fldChar w:fldCharType="separate"/>
        </w:r>
        <w:r w:rsidR="007E3C4B">
          <w:rPr>
            <w:noProof/>
            <w:webHidden/>
          </w:rPr>
          <w:t>31</w:t>
        </w:r>
        <w:r w:rsidR="00093BAD">
          <w:rPr>
            <w:noProof/>
            <w:webHidden/>
          </w:rPr>
          <w:fldChar w:fldCharType="end"/>
        </w:r>
      </w:hyperlink>
    </w:p>
    <w:p w14:paraId="3B487BCF" w14:textId="77777777" w:rsidR="00093BAD" w:rsidRDefault="007E32D6">
      <w:pPr>
        <w:pStyle w:val="TOC3"/>
        <w:rPr>
          <w:rFonts w:eastAsiaTheme="minorEastAsia"/>
          <w:noProof/>
        </w:rPr>
      </w:pPr>
      <w:hyperlink w:anchor="_Toc439248792" w:history="1">
        <w:r w:rsidR="00093BAD" w:rsidRPr="00D84F59">
          <w:rPr>
            <w:rStyle w:val="Hyperlink"/>
            <w:noProof/>
          </w:rPr>
          <w:t>ix)</w:t>
        </w:r>
        <w:r w:rsidR="00093BAD">
          <w:rPr>
            <w:rFonts w:eastAsiaTheme="minorEastAsia"/>
            <w:noProof/>
          </w:rPr>
          <w:tab/>
        </w:r>
        <w:r w:rsidR="00093BAD" w:rsidRPr="00D84F59">
          <w:rPr>
            <w:rStyle w:val="Hyperlink"/>
            <w:noProof/>
          </w:rPr>
          <w:t>Caso Carpio Nicolle</w:t>
        </w:r>
        <w:r w:rsidR="00093BAD">
          <w:rPr>
            <w:noProof/>
            <w:webHidden/>
          </w:rPr>
          <w:tab/>
        </w:r>
        <w:r w:rsidR="00093BAD">
          <w:rPr>
            <w:noProof/>
            <w:webHidden/>
          </w:rPr>
          <w:fldChar w:fldCharType="begin"/>
        </w:r>
        <w:r w:rsidR="00093BAD">
          <w:rPr>
            <w:noProof/>
            <w:webHidden/>
          </w:rPr>
          <w:instrText xml:space="preserve"> PAGEREF _Toc439248792 \h </w:instrText>
        </w:r>
        <w:r w:rsidR="00093BAD">
          <w:rPr>
            <w:noProof/>
            <w:webHidden/>
          </w:rPr>
        </w:r>
        <w:r w:rsidR="00093BAD">
          <w:rPr>
            <w:noProof/>
            <w:webHidden/>
          </w:rPr>
          <w:fldChar w:fldCharType="separate"/>
        </w:r>
        <w:r w:rsidR="007E3C4B">
          <w:rPr>
            <w:noProof/>
            <w:webHidden/>
          </w:rPr>
          <w:t>33</w:t>
        </w:r>
        <w:r w:rsidR="00093BAD">
          <w:rPr>
            <w:noProof/>
            <w:webHidden/>
          </w:rPr>
          <w:fldChar w:fldCharType="end"/>
        </w:r>
      </w:hyperlink>
    </w:p>
    <w:p w14:paraId="66C27E87" w14:textId="77777777" w:rsidR="00093BAD" w:rsidRDefault="007E32D6">
      <w:pPr>
        <w:pStyle w:val="TOC3"/>
        <w:rPr>
          <w:rFonts w:eastAsiaTheme="minorEastAsia"/>
          <w:noProof/>
        </w:rPr>
      </w:pPr>
      <w:hyperlink w:anchor="_Toc439248793" w:history="1">
        <w:r w:rsidR="00093BAD" w:rsidRPr="00D84F59">
          <w:rPr>
            <w:rStyle w:val="Hyperlink"/>
            <w:noProof/>
          </w:rPr>
          <w:t>x)</w:t>
        </w:r>
        <w:r w:rsidR="00093BAD">
          <w:rPr>
            <w:rFonts w:eastAsiaTheme="minorEastAsia"/>
            <w:noProof/>
          </w:rPr>
          <w:tab/>
        </w:r>
        <w:r w:rsidR="00093BAD" w:rsidRPr="00D84F59">
          <w:rPr>
            <w:rStyle w:val="Hyperlink"/>
            <w:noProof/>
          </w:rPr>
          <w:t>Caso Tiu Tojín</w:t>
        </w:r>
        <w:r w:rsidR="00093BAD">
          <w:rPr>
            <w:noProof/>
            <w:webHidden/>
          </w:rPr>
          <w:tab/>
        </w:r>
        <w:r w:rsidR="00093BAD">
          <w:rPr>
            <w:noProof/>
            <w:webHidden/>
          </w:rPr>
          <w:fldChar w:fldCharType="begin"/>
        </w:r>
        <w:r w:rsidR="00093BAD">
          <w:rPr>
            <w:noProof/>
            <w:webHidden/>
          </w:rPr>
          <w:instrText xml:space="preserve"> PAGEREF _Toc439248793 \h </w:instrText>
        </w:r>
        <w:r w:rsidR="00093BAD">
          <w:rPr>
            <w:noProof/>
            <w:webHidden/>
          </w:rPr>
        </w:r>
        <w:r w:rsidR="00093BAD">
          <w:rPr>
            <w:noProof/>
            <w:webHidden/>
          </w:rPr>
          <w:fldChar w:fldCharType="separate"/>
        </w:r>
        <w:r w:rsidR="007E3C4B">
          <w:rPr>
            <w:noProof/>
            <w:webHidden/>
          </w:rPr>
          <w:t>34</w:t>
        </w:r>
        <w:r w:rsidR="00093BAD">
          <w:rPr>
            <w:noProof/>
            <w:webHidden/>
          </w:rPr>
          <w:fldChar w:fldCharType="end"/>
        </w:r>
      </w:hyperlink>
    </w:p>
    <w:p w14:paraId="4E7CE213" w14:textId="77777777" w:rsidR="00093BAD" w:rsidRDefault="007E32D6">
      <w:pPr>
        <w:pStyle w:val="TOC3"/>
        <w:rPr>
          <w:rFonts w:eastAsiaTheme="minorEastAsia"/>
          <w:noProof/>
        </w:rPr>
      </w:pPr>
      <w:hyperlink w:anchor="_Toc439248794" w:history="1">
        <w:r w:rsidR="00093BAD" w:rsidRPr="00D84F59">
          <w:rPr>
            <w:rStyle w:val="Hyperlink"/>
            <w:noProof/>
          </w:rPr>
          <w:t>xi)</w:t>
        </w:r>
        <w:r w:rsidR="00093BAD">
          <w:rPr>
            <w:rFonts w:eastAsiaTheme="minorEastAsia"/>
            <w:noProof/>
          </w:rPr>
          <w:tab/>
        </w:r>
        <w:r w:rsidR="00093BAD" w:rsidRPr="00D84F59">
          <w:rPr>
            <w:rStyle w:val="Hyperlink"/>
            <w:noProof/>
          </w:rPr>
          <w:t>Caso Masacre de las Dos Erres</w:t>
        </w:r>
        <w:r w:rsidR="00093BAD">
          <w:rPr>
            <w:noProof/>
            <w:webHidden/>
          </w:rPr>
          <w:tab/>
        </w:r>
        <w:r w:rsidR="00093BAD">
          <w:rPr>
            <w:noProof/>
            <w:webHidden/>
          </w:rPr>
          <w:fldChar w:fldCharType="begin"/>
        </w:r>
        <w:r w:rsidR="00093BAD">
          <w:rPr>
            <w:noProof/>
            <w:webHidden/>
          </w:rPr>
          <w:instrText xml:space="preserve"> PAGEREF _Toc439248794 \h </w:instrText>
        </w:r>
        <w:r w:rsidR="00093BAD">
          <w:rPr>
            <w:noProof/>
            <w:webHidden/>
          </w:rPr>
        </w:r>
        <w:r w:rsidR="00093BAD">
          <w:rPr>
            <w:noProof/>
            <w:webHidden/>
          </w:rPr>
          <w:fldChar w:fldCharType="separate"/>
        </w:r>
        <w:r w:rsidR="007E3C4B">
          <w:rPr>
            <w:noProof/>
            <w:webHidden/>
          </w:rPr>
          <w:t>36</w:t>
        </w:r>
        <w:r w:rsidR="00093BAD">
          <w:rPr>
            <w:noProof/>
            <w:webHidden/>
          </w:rPr>
          <w:fldChar w:fldCharType="end"/>
        </w:r>
      </w:hyperlink>
    </w:p>
    <w:p w14:paraId="27F9D55C" w14:textId="77777777" w:rsidR="00093BAD" w:rsidRDefault="007E32D6">
      <w:pPr>
        <w:pStyle w:val="TOC3"/>
        <w:rPr>
          <w:rFonts w:eastAsiaTheme="minorEastAsia"/>
          <w:noProof/>
        </w:rPr>
      </w:pPr>
      <w:hyperlink w:anchor="_Toc439248795" w:history="1">
        <w:r w:rsidR="00093BAD" w:rsidRPr="00D84F59">
          <w:rPr>
            <w:rStyle w:val="Hyperlink"/>
            <w:noProof/>
          </w:rPr>
          <w:t>xii)</w:t>
        </w:r>
        <w:r w:rsidR="00093BAD">
          <w:rPr>
            <w:rFonts w:eastAsiaTheme="minorEastAsia"/>
            <w:noProof/>
          </w:rPr>
          <w:tab/>
        </w:r>
        <w:r w:rsidR="00093BAD" w:rsidRPr="00D84F59">
          <w:rPr>
            <w:rStyle w:val="Hyperlink"/>
            <w:noProof/>
          </w:rPr>
          <w:t>Caso Chitay Nech y otros</w:t>
        </w:r>
        <w:r w:rsidR="00093BAD">
          <w:rPr>
            <w:noProof/>
            <w:webHidden/>
          </w:rPr>
          <w:tab/>
        </w:r>
        <w:r w:rsidR="00093BAD">
          <w:rPr>
            <w:noProof/>
            <w:webHidden/>
          </w:rPr>
          <w:fldChar w:fldCharType="begin"/>
        </w:r>
        <w:r w:rsidR="00093BAD">
          <w:rPr>
            <w:noProof/>
            <w:webHidden/>
          </w:rPr>
          <w:instrText xml:space="preserve"> PAGEREF _Toc439248795 \h </w:instrText>
        </w:r>
        <w:r w:rsidR="00093BAD">
          <w:rPr>
            <w:noProof/>
            <w:webHidden/>
          </w:rPr>
        </w:r>
        <w:r w:rsidR="00093BAD">
          <w:rPr>
            <w:noProof/>
            <w:webHidden/>
          </w:rPr>
          <w:fldChar w:fldCharType="separate"/>
        </w:r>
        <w:r w:rsidR="007E3C4B">
          <w:rPr>
            <w:noProof/>
            <w:webHidden/>
          </w:rPr>
          <w:t>39</w:t>
        </w:r>
        <w:r w:rsidR="00093BAD">
          <w:rPr>
            <w:noProof/>
            <w:webHidden/>
          </w:rPr>
          <w:fldChar w:fldCharType="end"/>
        </w:r>
      </w:hyperlink>
    </w:p>
    <w:p w14:paraId="367AF7D3" w14:textId="77777777" w:rsidR="00093BAD" w:rsidRDefault="007E32D6">
      <w:pPr>
        <w:pStyle w:val="TOC2"/>
        <w:rPr>
          <w:rFonts w:eastAsiaTheme="minorEastAsia"/>
          <w:noProof/>
        </w:rPr>
      </w:pPr>
      <w:hyperlink w:anchor="_Toc439248796" w:history="1">
        <w:r w:rsidR="00093BAD" w:rsidRPr="00D84F59">
          <w:rPr>
            <w:rStyle w:val="Hyperlink"/>
            <w:noProof/>
          </w:rPr>
          <w:t>E) Obstáculos estructurales y comunes para el cumplimiento de la obligación de investigar dispuesta en las Sentencias de los 12 Casos</w:t>
        </w:r>
        <w:r w:rsidR="00093BAD">
          <w:rPr>
            <w:noProof/>
            <w:webHidden/>
          </w:rPr>
          <w:tab/>
        </w:r>
        <w:r w:rsidR="00093BAD">
          <w:rPr>
            <w:noProof/>
            <w:webHidden/>
          </w:rPr>
          <w:fldChar w:fldCharType="begin"/>
        </w:r>
        <w:r w:rsidR="00093BAD">
          <w:rPr>
            <w:noProof/>
            <w:webHidden/>
          </w:rPr>
          <w:instrText xml:space="preserve"> PAGEREF _Toc439248796 \h </w:instrText>
        </w:r>
        <w:r w:rsidR="00093BAD">
          <w:rPr>
            <w:noProof/>
            <w:webHidden/>
          </w:rPr>
        </w:r>
        <w:r w:rsidR="00093BAD">
          <w:rPr>
            <w:noProof/>
            <w:webHidden/>
          </w:rPr>
          <w:fldChar w:fldCharType="separate"/>
        </w:r>
        <w:r w:rsidR="007E3C4B">
          <w:rPr>
            <w:noProof/>
            <w:webHidden/>
          </w:rPr>
          <w:t>41</w:t>
        </w:r>
        <w:r w:rsidR="00093BAD">
          <w:rPr>
            <w:noProof/>
            <w:webHidden/>
          </w:rPr>
          <w:fldChar w:fldCharType="end"/>
        </w:r>
      </w:hyperlink>
    </w:p>
    <w:p w14:paraId="2682257B" w14:textId="77777777" w:rsidR="00093BAD" w:rsidRDefault="007E32D6">
      <w:pPr>
        <w:pStyle w:val="TOC3"/>
        <w:rPr>
          <w:rFonts w:eastAsiaTheme="minorEastAsia"/>
          <w:noProof/>
        </w:rPr>
      </w:pPr>
      <w:hyperlink w:anchor="_Toc439248797" w:history="1">
        <w:r w:rsidR="00093BAD" w:rsidRPr="00D84F59">
          <w:rPr>
            <w:rStyle w:val="Hyperlink"/>
            <w:noProof/>
          </w:rPr>
          <w:t>i)</w:t>
        </w:r>
        <w:r w:rsidR="00093BAD">
          <w:rPr>
            <w:rFonts w:eastAsiaTheme="minorEastAsia"/>
            <w:noProof/>
          </w:rPr>
          <w:tab/>
        </w:r>
        <w:r w:rsidR="00093BAD" w:rsidRPr="00D84F59">
          <w:rPr>
            <w:rStyle w:val="Hyperlink"/>
            <w:noProof/>
          </w:rPr>
          <w:t>Limitaciones en el acceso a la información relevante para la investigación</w:t>
        </w:r>
        <w:r w:rsidR="00093BAD">
          <w:rPr>
            <w:noProof/>
            <w:webHidden/>
          </w:rPr>
          <w:tab/>
        </w:r>
        <w:r w:rsidR="00093BAD">
          <w:rPr>
            <w:noProof/>
            <w:webHidden/>
          </w:rPr>
          <w:fldChar w:fldCharType="begin"/>
        </w:r>
        <w:r w:rsidR="00093BAD">
          <w:rPr>
            <w:noProof/>
            <w:webHidden/>
          </w:rPr>
          <w:instrText xml:space="preserve"> PAGEREF _Toc439248797 \h </w:instrText>
        </w:r>
        <w:r w:rsidR="00093BAD">
          <w:rPr>
            <w:noProof/>
            <w:webHidden/>
          </w:rPr>
        </w:r>
        <w:r w:rsidR="00093BAD">
          <w:rPr>
            <w:noProof/>
            <w:webHidden/>
          </w:rPr>
          <w:fldChar w:fldCharType="separate"/>
        </w:r>
        <w:r w:rsidR="007E3C4B">
          <w:rPr>
            <w:noProof/>
            <w:webHidden/>
          </w:rPr>
          <w:t>42</w:t>
        </w:r>
        <w:r w:rsidR="00093BAD">
          <w:rPr>
            <w:noProof/>
            <w:webHidden/>
          </w:rPr>
          <w:fldChar w:fldCharType="end"/>
        </w:r>
      </w:hyperlink>
    </w:p>
    <w:p w14:paraId="69E4B2A1" w14:textId="77777777" w:rsidR="00093BAD" w:rsidRDefault="007E32D6">
      <w:pPr>
        <w:pStyle w:val="TOC3"/>
        <w:rPr>
          <w:rFonts w:eastAsiaTheme="minorEastAsia"/>
          <w:noProof/>
        </w:rPr>
      </w:pPr>
      <w:hyperlink w:anchor="_Toc439248798" w:history="1">
        <w:r w:rsidR="00093BAD" w:rsidRPr="00D84F59">
          <w:rPr>
            <w:rStyle w:val="Hyperlink"/>
            <w:noProof/>
          </w:rPr>
          <w:t>ii)</w:t>
        </w:r>
        <w:r w:rsidR="00093BAD">
          <w:rPr>
            <w:rFonts w:eastAsiaTheme="minorEastAsia"/>
            <w:noProof/>
          </w:rPr>
          <w:tab/>
        </w:r>
        <w:r w:rsidR="00093BAD" w:rsidRPr="00D84F59">
          <w:rPr>
            <w:rStyle w:val="Hyperlink"/>
            <w:noProof/>
          </w:rPr>
          <w:t>Uso dilatorio de recursos judiciales y el rol del juez en la dirección del proceso</w:t>
        </w:r>
        <w:r w:rsidR="00093BAD">
          <w:rPr>
            <w:noProof/>
            <w:webHidden/>
          </w:rPr>
          <w:tab/>
        </w:r>
        <w:r w:rsidR="00093BAD">
          <w:rPr>
            <w:noProof/>
            <w:webHidden/>
          </w:rPr>
          <w:fldChar w:fldCharType="begin"/>
        </w:r>
        <w:r w:rsidR="00093BAD">
          <w:rPr>
            <w:noProof/>
            <w:webHidden/>
          </w:rPr>
          <w:instrText xml:space="preserve"> PAGEREF _Toc439248798 \h </w:instrText>
        </w:r>
        <w:r w:rsidR="00093BAD">
          <w:rPr>
            <w:noProof/>
            <w:webHidden/>
          </w:rPr>
        </w:r>
        <w:r w:rsidR="00093BAD">
          <w:rPr>
            <w:noProof/>
            <w:webHidden/>
          </w:rPr>
          <w:fldChar w:fldCharType="separate"/>
        </w:r>
        <w:r w:rsidR="007E3C4B">
          <w:rPr>
            <w:noProof/>
            <w:webHidden/>
          </w:rPr>
          <w:t>44</w:t>
        </w:r>
        <w:r w:rsidR="00093BAD">
          <w:rPr>
            <w:noProof/>
            <w:webHidden/>
          </w:rPr>
          <w:fldChar w:fldCharType="end"/>
        </w:r>
      </w:hyperlink>
    </w:p>
    <w:p w14:paraId="05A5A741" w14:textId="77777777" w:rsidR="00093BAD" w:rsidRDefault="007E32D6">
      <w:pPr>
        <w:pStyle w:val="TOC3"/>
        <w:rPr>
          <w:rFonts w:eastAsiaTheme="minorEastAsia"/>
          <w:noProof/>
        </w:rPr>
      </w:pPr>
      <w:hyperlink w:anchor="_Toc439248799" w:history="1">
        <w:r w:rsidR="00093BAD" w:rsidRPr="00D84F59">
          <w:rPr>
            <w:rStyle w:val="Hyperlink"/>
            <w:noProof/>
          </w:rPr>
          <w:t>iii)</w:t>
        </w:r>
        <w:r w:rsidR="00093BAD">
          <w:rPr>
            <w:rFonts w:eastAsiaTheme="minorEastAsia"/>
            <w:noProof/>
          </w:rPr>
          <w:tab/>
        </w:r>
        <w:r w:rsidR="00093BAD" w:rsidRPr="00D84F59">
          <w:rPr>
            <w:rStyle w:val="Hyperlink"/>
            <w:noProof/>
          </w:rPr>
          <w:t>Decisiones y recursos judiciales relativos a eximentes de responsabilidad</w:t>
        </w:r>
        <w:r w:rsidR="00093BAD">
          <w:rPr>
            <w:noProof/>
            <w:webHidden/>
          </w:rPr>
          <w:tab/>
        </w:r>
        <w:r w:rsidR="00093BAD">
          <w:rPr>
            <w:noProof/>
            <w:webHidden/>
          </w:rPr>
          <w:fldChar w:fldCharType="begin"/>
        </w:r>
        <w:r w:rsidR="00093BAD">
          <w:rPr>
            <w:noProof/>
            <w:webHidden/>
          </w:rPr>
          <w:instrText xml:space="preserve"> PAGEREF _Toc439248799 \h </w:instrText>
        </w:r>
        <w:r w:rsidR="00093BAD">
          <w:rPr>
            <w:noProof/>
            <w:webHidden/>
          </w:rPr>
        </w:r>
        <w:r w:rsidR="00093BAD">
          <w:rPr>
            <w:noProof/>
            <w:webHidden/>
          </w:rPr>
          <w:fldChar w:fldCharType="separate"/>
        </w:r>
        <w:r w:rsidR="007E3C4B">
          <w:rPr>
            <w:noProof/>
            <w:webHidden/>
          </w:rPr>
          <w:t>46</w:t>
        </w:r>
        <w:r w:rsidR="00093BAD">
          <w:rPr>
            <w:noProof/>
            <w:webHidden/>
          </w:rPr>
          <w:fldChar w:fldCharType="end"/>
        </w:r>
      </w:hyperlink>
    </w:p>
    <w:p w14:paraId="3F0E1725" w14:textId="77777777" w:rsidR="00093BAD" w:rsidRDefault="007E32D6">
      <w:pPr>
        <w:pStyle w:val="TOC3"/>
        <w:rPr>
          <w:rFonts w:eastAsiaTheme="minorEastAsia"/>
          <w:noProof/>
        </w:rPr>
      </w:pPr>
      <w:hyperlink w:anchor="_Toc439248800" w:history="1">
        <w:r w:rsidR="00093BAD" w:rsidRPr="00D84F59">
          <w:rPr>
            <w:rStyle w:val="Hyperlink"/>
            <w:noProof/>
          </w:rPr>
          <w:t>iv)</w:t>
        </w:r>
        <w:r w:rsidR="00093BAD">
          <w:rPr>
            <w:rFonts w:eastAsiaTheme="minorEastAsia"/>
            <w:noProof/>
          </w:rPr>
          <w:tab/>
        </w:r>
        <w:r w:rsidR="00093BAD" w:rsidRPr="00D84F59">
          <w:rPr>
            <w:rStyle w:val="Hyperlink"/>
            <w:noProof/>
          </w:rPr>
          <w:t>Falta de apoyo en la ejecución de las órdenes de aprehensión</w:t>
        </w:r>
        <w:r w:rsidR="00093BAD">
          <w:rPr>
            <w:noProof/>
            <w:webHidden/>
          </w:rPr>
          <w:tab/>
        </w:r>
        <w:r w:rsidR="00093BAD">
          <w:rPr>
            <w:noProof/>
            <w:webHidden/>
          </w:rPr>
          <w:fldChar w:fldCharType="begin"/>
        </w:r>
        <w:r w:rsidR="00093BAD">
          <w:rPr>
            <w:noProof/>
            <w:webHidden/>
          </w:rPr>
          <w:instrText xml:space="preserve"> PAGEREF _Toc439248800 \h </w:instrText>
        </w:r>
        <w:r w:rsidR="00093BAD">
          <w:rPr>
            <w:noProof/>
            <w:webHidden/>
          </w:rPr>
        </w:r>
        <w:r w:rsidR="00093BAD">
          <w:rPr>
            <w:noProof/>
            <w:webHidden/>
          </w:rPr>
          <w:fldChar w:fldCharType="separate"/>
        </w:r>
        <w:r w:rsidR="007E3C4B">
          <w:rPr>
            <w:noProof/>
            <w:webHidden/>
          </w:rPr>
          <w:t>50</w:t>
        </w:r>
        <w:r w:rsidR="00093BAD">
          <w:rPr>
            <w:noProof/>
            <w:webHidden/>
          </w:rPr>
          <w:fldChar w:fldCharType="end"/>
        </w:r>
      </w:hyperlink>
    </w:p>
    <w:p w14:paraId="1A9AB891" w14:textId="77777777" w:rsidR="00093BAD" w:rsidRDefault="007E32D6">
      <w:pPr>
        <w:pStyle w:val="TOC3"/>
        <w:rPr>
          <w:rFonts w:eastAsiaTheme="minorEastAsia"/>
          <w:noProof/>
        </w:rPr>
      </w:pPr>
      <w:hyperlink w:anchor="_Toc439248801" w:history="1">
        <w:r w:rsidR="00093BAD" w:rsidRPr="00D84F59">
          <w:rPr>
            <w:rStyle w:val="Hyperlink"/>
            <w:noProof/>
          </w:rPr>
          <w:t>v)</w:t>
        </w:r>
        <w:r w:rsidR="00093BAD">
          <w:rPr>
            <w:rFonts w:eastAsiaTheme="minorEastAsia"/>
            <w:noProof/>
          </w:rPr>
          <w:tab/>
        </w:r>
        <w:r w:rsidR="00093BAD" w:rsidRPr="00D84F59">
          <w:rPr>
            <w:rStyle w:val="Hyperlink"/>
            <w:noProof/>
          </w:rPr>
          <w:t>Falta de claridad sobre las líneas lógicas de investigación</w:t>
        </w:r>
        <w:r w:rsidR="00093BAD">
          <w:rPr>
            <w:noProof/>
            <w:webHidden/>
          </w:rPr>
          <w:tab/>
        </w:r>
        <w:r w:rsidR="00093BAD">
          <w:rPr>
            <w:noProof/>
            <w:webHidden/>
          </w:rPr>
          <w:fldChar w:fldCharType="begin"/>
        </w:r>
        <w:r w:rsidR="00093BAD">
          <w:rPr>
            <w:noProof/>
            <w:webHidden/>
          </w:rPr>
          <w:instrText xml:space="preserve"> PAGEREF _Toc439248801 \h </w:instrText>
        </w:r>
        <w:r w:rsidR="00093BAD">
          <w:rPr>
            <w:noProof/>
            <w:webHidden/>
          </w:rPr>
        </w:r>
        <w:r w:rsidR="00093BAD">
          <w:rPr>
            <w:noProof/>
            <w:webHidden/>
          </w:rPr>
          <w:fldChar w:fldCharType="separate"/>
        </w:r>
        <w:r w:rsidR="007E3C4B">
          <w:rPr>
            <w:noProof/>
            <w:webHidden/>
          </w:rPr>
          <w:t>52</w:t>
        </w:r>
        <w:r w:rsidR="00093BAD">
          <w:rPr>
            <w:noProof/>
            <w:webHidden/>
          </w:rPr>
          <w:fldChar w:fldCharType="end"/>
        </w:r>
      </w:hyperlink>
    </w:p>
    <w:p w14:paraId="3CA74926" w14:textId="77777777" w:rsidR="00093BAD" w:rsidRDefault="007E32D6">
      <w:pPr>
        <w:pStyle w:val="TOC3"/>
        <w:rPr>
          <w:rFonts w:eastAsiaTheme="minorEastAsia"/>
          <w:noProof/>
        </w:rPr>
      </w:pPr>
      <w:hyperlink w:anchor="_Toc439248802" w:history="1">
        <w:r w:rsidR="00093BAD" w:rsidRPr="00D84F59">
          <w:rPr>
            <w:rStyle w:val="Hyperlink"/>
            <w:noProof/>
          </w:rPr>
          <w:t>vi)</w:t>
        </w:r>
        <w:r w:rsidR="00093BAD">
          <w:rPr>
            <w:rFonts w:eastAsiaTheme="minorEastAsia"/>
            <w:noProof/>
          </w:rPr>
          <w:tab/>
        </w:r>
        <w:r w:rsidR="00093BAD" w:rsidRPr="00D84F59">
          <w:rPr>
            <w:rStyle w:val="Hyperlink"/>
            <w:noProof/>
          </w:rPr>
          <w:t>Otros obstáculos alegados</w:t>
        </w:r>
        <w:r w:rsidR="00093BAD">
          <w:rPr>
            <w:noProof/>
            <w:webHidden/>
          </w:rPr>
          <w:tab/>
        </w:r>
        <w:r w:rsidR="00093BAD">
          <w:rPr>
            <w:noProof/>
            <w:webHidden/>
          </w:rPr>
          <w:fldChar w:fldCharType="begin"/>
        </w:r>
        <w:r w:rsidR="00093BAD">
          <w:rPr>
            <w:noProof/>
            <w:webHidden/>
          </w:rPr>
          <w:instrText xml:space="preserve"> PAGEREF _Toc439248802 \h </w:instrText>
        </w:r>
        <w:r w:rsidR="00093BAD">
          <w:rPr>
            <w:noProof/>
            <w:webHidden/>
          </w:rPr>
        </w:r>
        <w:r w:rsidR="00093BAD">
          <w:rPr>
            <w:noProof/>
            <w:webHidden/>
          </w:rPr>
          <w:fldChar w:fldCharType="separate"/>
        </w:r>
        <w:r w:rsidR="007E3C4B">
          <w:rPr>
            <w:noProof/>
            <w:webHidden/>
          </w:rPr>
          <w:t>54</w:t>
        </w:r>
        <w:r w:rsidR="00093BAD">
          <w:rPr>
            <w:noProof/>
            <w:webHidden/>
          </w:rPr>
          <w:fldChar w:fldCharType="end"/>
        </w:r>
      </w:hyperlink>
    </w:p>
    <w:p w14:paraId="78AE12AA" w14:textId="77777777" w:rsidR="00093BAD" w:rsidRDefault="007E32D6">
      <w:pPr>
        <w:pStyle w:val="TOC2"/>
        <w:rPr>
          <w:rFonts w:eastAsiaTheme="minorEastAsia"/>
          <w:noProof/>
        </w:rPr>
      </w:pPr>
      <w:hyperlink w:anchor="_Toc439248803" w:history="1">
        <w:r w:rsidR="00093BAD" w:rsidRPr="00D84F59">
          <w:rPr>
            <w:rStyle w:val="Hyperlink"/>
            <w:noProof/>
          </w:rPr>
          <w:t>F) Lineamentos del informe solicitado al Estado</w:t>
        </w:r>
        <w:r w:rsidR="00093BAD">
          <w:rPr>
            <w:noProof/>
            <w:webHidden/>
          </w:rPr>
          <w:tab/>
        </w:r>
        <w:r w:rsidR="00093BAD">
          <w:rPr>
            <w:noProof/>
            <w:webHidden/>
          </w:rPr>
          <w:fldChar w:fldCharType="begin"/>
        </w:r>
        <w:r w:rsidR="00093BAD">
          <w:rPr>
            <w:noProof/>
            <w:webHidden/>
          </w:rPr>
          <w:instrText xml:space="preserve"> PAGEREF _Toc439248803 \h </w:instrText>
        </w:r>
        <w:r w:rsidR="00093BAD">
          <w:rPr>
            <w:noProof/>
            <w:webHidden/>
          </w:rPr>
        </w:r>
        <w:r w:rsidR="00093BAD">
          <w:rPr>
            <w:noProof/>
            <w:webHidden/>
          </w:rPr>
          <w:fldChar w:fldCharType="separate"/>
        </w:r>
        <w:r w:rsidR="007E3C4B">
          <w:rPr>
            <w:noProof/>
            <w:webHidden/>
          </w:rPr>
          <w:t>57</w:t>
        </w:r>
        <w:r w:rsidR="00093BAD">
          <w:rPr>
            <w:noProof/>
            <w:webHidden/>
          </w:rPr>
          <w:fldChar w:fldCharType="end"/>
        </w:r>
      </w:hyperlink>
    </w:p>
    <w:p w14:paraId="490EF81F" w14:textId="77777777" w:rsidR="00093BAD" w:rsidRDefault="007E32D6">
      <w:pPr>
        <w:pStyle w:val="TOC1"/>
        <w:rPr>
          <w:rFonts w:asciiTheme="minorHAnsi" w:eastAsiaTheme="minorEastAsia" w:hAnsiTheme="minorHAnsi"/>
          <w:b w:val="0"/>
          <w:sz w:val="22"/>
          <w:szCs w:val="22"/>
        </w:rPr>
      </w:pPr>
      <w:hyperlink w:anchor="_Toc439248804" w:history="1">
        <w:r w:rsidR="00093BAD" w:rsidRPr="00D84F59">
          <w:rPr>
            <w:rStyle w:val="Hyperlink"/>
          </w:rPr>
          <w:t>RESUELVE:</w:t>
        </w:r>
        <w:r w:rsidR="00093BAD">
          <w:rPr>
            <w:webHidden/>
          </w:rPr>
          <w:tab/>
        </w:r>
        <w:r w:rsidR="00093BAD">
          <w:rPr>
            <w:webHidden/>
          </w:rPr>
          <w:fldChar w:fldCharType="begin"/>
        </w:r>
        <w:r w:rsidR="00093BAD">
          <w:rPr>
            <w:webHidden/>
          </w:rPr>
          <w:instrText xml:space="preserve"> PAGEREF _Toc439248804 \h </w:instrText>
        </w:r>
        <w:r w:rsidR="00093BAD">
          <w:rPr>
            <w:webHidden/>
          </w:rPr>
        </w:r>
        <w:r w:rsidR="00093BAD">
          <w:rPr>
            <w:webHidden/>
          </w:rPr>
          <w:fldChar w:fldCharType="separate"/>
        </w:r>
        <w:r w:rsidR="007E3C4B">
          <w:rPr>
            <w:webHidden/>
          </w:rPr>
          <w:t>60</w:t>
        </w:r>
        <w:r w:rsidR="00093BAD">
          <w:rPr>
            <w:webHidden/>
          </w:rPr>
          <w:fldChar w:fldCharType="end"/>
        </w:r>
      </w:hyperlink>
    </w:p>
    <w:p w14:paraId="095D516B" w14:textId="2DA6671B" w:rsidR="002E041E" w:rsidRDefault="00162E90" w:rsidP="006651CE">
      <w:pPr>
        <w:ind w:right="1444"/>
        <w:rPr>
          <w:rFonts w:ascii="Verdana" w:hAnsi="Verdana" w:cs="Verdana"/>
          <w:b/>
          <w:bCs/>
          <w:sz w:val="20"/>
          <w:szCs w:val="20"/>
          <w:lang w:val="es-ES"/>
        </w:rPr>
      </w:pPr>
      <w:r w:rsidRPr="002E041E">
        <w:rPr>
          <w:rFonts w:ascii="Verdana" w:hAnsi="Verdana" w:cs="Verdana"/>
          <w:b/>
          <w:bCs/>
          <w:sz w:val="20"/>
          <w:szCs w:val="20"/>
          <w:lang w:val="es-ES"/>
        </w:rPr>
        <w:lastRenderedPageBreak/>
        <w:fldChar w:fldCharType="end"/>
      </w:r>
    </w:p>
    <w:p w14:paraId="38FDF70C" w14:textId="4D9FCA79" w:rsidR="00162E90" w:rsidRDefault="004A422E" w:rsidP="00162E90">
      <w:pPr>
        <w:pStyle w:val="Heading1"/>
        <w:rPr>
          <w:b w:val="0"/>
          <w:smallCaps/>
          <w:lang w:val="es-CR"/>
        </w:rPr>
      </w:pPr>
      <w:bookmarkStart w:id="2" w:name="_Toc439248776"/>
      <w:r>
        <w:t>VISTO:</w:t>
      </w:r>
      <w:bookmarkEnd w:id="2"/>
    </w:p>
    <w:p w14:paraId="555232FC" w14:textId="77777777" w:rsidR="004A422E" w:rsidRPr="004A422E" w:rsidRDefault="004A422E" w:rsidP="004A422E">
      <w:pPr>
        <w:spacing w:after="0" w:line="240" w:lineRule="auto"/>
        <w:rPr>
          <w:lang w:val="es-CR"/>
        </w:rPr>
      </w:pPr>
    </w:p>
    <w:p w14:paraId="5B145516" w14:textId="1FDCE0C2" w:rsidR="00A03DC4" w:rsidRPr="0032068E" w:rsidRDefault="00A03DC4" w:rsidP="00211354">
      <w:pPr>
        <w:numPr>
          <w:ilvl w:val="0"/>
          <w:numId w:val="2"/>
        </w:numPr>
        <w:spacing w:after="0" w:line="240" w:lineRule="auto"/>
        <w:ind w:left="0" w:right="1444" w:firstLine="0"/>
        <w:contextualSpacing/>
        <w:jc w:val="both"/>
        <w:rPr>
          <w:rFonts w:ascii="Verdana" w:hAnsi="Verdana" w:cs="Arial"/>
          <w:b/>
          <w:i/>
          <w:sz w:val="20"/>
          <w:lang w:val="es-CR"/>
        </w:rPr>
      </w:pPr>
      <w:bookmarkStart w:id="3" w:name="_Ref437011051"/>
      <w:r w:rsidRPr="0032068E">
        <w:rPr>
          <w:rFonts w:ascii="Verdana" w:hAnsi="Verdana" w:cs="Arial"/>
          <w:sz w:val="20"/>
          <w:lang w:val="es-CR"/>
        </w:rPr>
        <w:t xml:space="preserve">Las Sentencias emitidas por la Corte Interamericana </w:t>
      </w:r>
      <w:r w:rsidR="007A7136" w:rsidRPr="0032068E">
        <w:rPr>
          <w:rFonts w:ascii="Verdana" w:hAnsi="Verdana" w:cs="Arial"/>
          <w:sz w:val="20"/>
          <w:lang w:val="es-CR"/>
        </w:rPr>
        <w:t xml:space="preserve">entre los años 1999 y 2010 </w:t>
      </w:r>
      <w:r w:rsidR="003F3E0F" w:rsidRPr="0032068E">
        <w:rPr>
          <w:rFonts w:ascii="Verdana" w:hAnsi="Verdana" w:cs="Arial"/>
          <w:sz w:val="20"/>
          <w:lang w:val="es-CR"/>
        </w:rPr>
        <w:t xml:space="preserve">en </w:t>
      </w:r>
      <w:r w:rsidRPr="0032068E">
        <w:rPr>
          <w:rFonts w:ascii="Verdana" w:hAnsi="Verdana" w:cs="Arial"/>
          <w:i/>
          <w:sz w:val="20"/>
          <w:lang w:val="es-CR"/>
        </w:rPr>
        <w:t>los 12 Casos</w:t>
      </w:r>
      <w:r w:rsidR="002E041E" w:rsidRPr="002E041E">
        <w:rPr>
          <w:rFonts w:ascii="Verdana" w:hAnsi="Verdana" w:cs="Arial"/>
          <w:sz w:val="20"/>
          <w:lang w:val="es-CR"/>
        </w:rPr>
        <w:t>,</w:t>
      </w:r>
      <w:r w:rsidR="00264654" w:rsidRPr="0032068E">
        <w:rPr>
          <w:rFonts w:ascii="Verdana" w:hAnsi="Verdana" w:cs="Arial"/>
          <w:i/>
          <w:sz w:val="20"/>
          <w:lang w:val="es-CR"/>
        </w:rPr>
        <w:t xml:space="preserve"> </w:t>
      </w:r>
      <w:r w:rsidR="00264654" w:rsidRPr="0032068E">
        <w:rPr>
          <w:rFonts w:ascii="Verdana" w:hAnsi="Verdana" w:cs="Arial"/>
          <w:sz w:val="20"/>
          <w:lang w:val="es-CR"/>
        </w:rPr>
        <w:t>relativ</w:t>
      </w:r>
      <w:r w:rsidR="002E041E">
        <w:rPr>
          <w:rFonts w:ascii="Verdana" w:hAnsi="Verdana" w:cs="Arial"/>
          <w:sz w:val="20"/>
          <w:lang w:val="es-CR"/>
        </w:rPr>
        <w:t>o</w:t>
      </w:r>
      <w:r w:rsidR="00264654" w:rsidRPr="0032068E">
        <w:rPr>
          <w:rFonts w:ascii="Verdana" w:hAnsi="Verdana" w:cs="Arial"/>
          <w:sz w:val="20"/>
          <w:lang w:val="es-CR"/>
        </w:rPr>
        <w:t xml:space="preserve">s a graves violaciones </w:t>
      </w:r>
      <w:r w:rsidR="002E041E">
        <w:rPr>
          <w:rFonts w:ascii="Verdana" w:hAnsi="Verdana" w:cs="Arial"/>
          <w:sz w:val="20"/>
          <w:lang w:val="es-CR"/>
        </w:rPr>
        <w:t>a los</w:t>
      </w:r>
      <w:r w:rsidR="00264654" w:rsidRPr="0032068E">
        <w:rPr>
          <w:rFonts w:ascii="Verdana" w:hAnsi="Verdana" w:cs="Arial"/>
          <w:sz w:val="20"/>
          <w:lang w:val="es-CR"/>
        </w:rPr>
        <w:t xml:space="preserve"> derechos humanos</w:t>
      </w:r>
      <w:r w:rsidR="002E041E">
        <w:rPr>
          <w:rFonts w:ascii="Verdana" w:hAnsi="Verdana" w:cs="Arial"/>
          <w:sz w:val="20"/>
          <w:lang w:val="es-CR"/>
        </w:rPr>
        <w:t xml:space="preserve"> </w:t>
      </w:r>
      <w:r w:rsidR="002E041E" w:rsidRPr="006651CE">
        <w:rPr>
          <w:rFonts w:ascii="Verdana" w:hAnsi="Verdana" w:cs="Arial"/>
          <w:sz w:val="20"/>
          <w:lang w:val="es-CR"/>
        </w:rPr>
        <w:t>(</w:t>
      </w:r>
      <w:r w:rsidR="002E041E" w:rsidRPr="006651CE">
        <w:rPr>
          <w:rFonts w:ascii="Verdana" w:hAnsi="Verdana" w:cs="Arial"/>
          <w:i/>
          <w:sz w:val="20"/>
          <w:lang w:val="es-CR"/>
        </w:rPr>
        <w:t xml:space="preserve">supra </w:t>
      </w:r>
      <w:r w:rsidR="002E041E" w:rsidRPr="006651CE">
        <w:rPr>
          <w:rFonts w:ascii="Verdana" w:hAnsi="Verdana" w:cs="Arial"/>
          <w:sz w:val="20"/>
          <w:lang w:val="es-CR"/>
        </w:rPr>
        <w:t>párr.</w:t>
      </w:r>
      <w:r w:rsidR="002E041E" w:rsidRPr="006651CE">
        <w:rPr>
          <w:rFonts w:ascii="Verdana" w:hAnsi="Verdana" w:cs="Arial"/>
          <w:i/>
          <w:sz w:val="20"/>
          <w:lang w:val="es-CR"/>
        </w:rPr>
        <w:t xml:space="preserve"> </w:t>
      </w:r>
      <w:r w:rsidR="002E041E" w:rsidRPr="006651CE">
        <w:rPr>
          <w:rFonts w:ascii="Verdana" w:hAnsi="Verdana" w:cs="Arial"/>
          <w:sz w:val="20"/>
          <w:lang w:val="es-CR"/>
        </w:rPr>
        <w:fldChar w:fldCharType="begin"/>
      </w:r>
      <w:r w:rsidR="002E041E" w:rsidRPr="006651CE">
        <w:rPr>
          <w:rFonts w:ascii="Verdana" w:hAnsi="Verdana" w:cs="Arial"/>
          <w:sz w:val="20"/>
          <w:lang w:val="es-CR"/>
        </w:rPr>
        <w:instrText xml:space="preserve"> REF _Ref437012689 \r \h  \* MERGEFORMAT </w:instrText>
      </w:r>
      <w:r w:rsidR="002E041E" w:rsidRPr="006651CE">
        <w:rPr>
          <w:rFonts w:ascii="Verdana" w:hAnsi="Verdana" w:cs="Arial"/>
          <w:sz w:val="20"/>
          <w:lang w:val="es-CR"/>
        </w:rPr>
      </w:r>
      <w:r w:rsidR="002E041E" w:rsidRPr="006651CE">
        <w:rPr>
          <w:rFonts w:ascii="Verdana" w:hAnsi="Verdana" w:cs="Arial"/>
          <w:sz w:val="20"/>
          <w:lang w:val="es-CR"/>
        </w:rPr>
        <w:fldChar w:fldCharType="separate"/>
      </w:r>
      <w:r w:rsidR="007E3C4B">
        <w:rPr>
          <w:rFonts w:ascii="Verdana" w:hAnsi="Verdana" w:cs="Arial"/>
          <w:sz w:val="20"/>
          <w:lang w:val="es-CR"/>
        </w:rPr>
        <w:t>1</w:t>
      </w:r>
      <w:r w:rsidR="002E041E" w:rsidRPr="006651CE">
        <w:rPr>
          <w:rFonts w:ascii="Verdana" w:hAnsi="Verdana" w:cs="Arial"/>
          <w:sz w:val="20"/>
          <w:lang w:val="es-CR"/>
        </w:rPr>
        <w:fldChar w:fldCharType="end"/>
      </w:r>
      <w:r w:rsidR="002E041E" w:rsidRPr="006651CE">
        <w:rPr>
          <w:rFonts w:ascii="Verdana" w:hAnsi="Verdana" w:cs="Arial"/>
          <w:sz w:val="20"/>
          <w:lang w:val="es-CR"/>
        </w:rPr>
        <w:t>)</w:t>
      </w:r>
      <w:r w:rsidR="007A7136" w:rsidRPr="006651CE">
        <w:rPr>
          <w:rFonts w:ascii="Verdana" w:hAnsi="Verdana" w:cs="Arial"/>
          <w:sz w:val="20"/>
          <w:lang w:val="es-CR"/>
        </w:rPr>
        <w:t>.</w:t>
      </w:r>
      <w:bookmarkEnd w:id="3"/>
    </w:p>
    <w:p w14:paraId="361124F4" w14:textId="77777777" w:rsidR="00A03DC4" w:rsidRPr="0032068E" w:rsidRDefault="00A03DC4" w:rsidP="00A03DC4">
      <w:pPr>
        <w:spacing w:after="0" w:line="240" w:lineRule="auto"/>
        <w:ind w:right="1444"/>
        <w:jc w:val="both"/>
        <w:rPr>
          <w:rFonts w:ascii="Verdana" w:hAnsi="Verdana" w:cs="Arial"/>
          <w:b/>
          <w:sz w:val="20"/>
          <w:lang w:val="es-CR"/>
        </w:rPr>
      </w:pPr>
    </w:p>
    <w:p w14:paraId="4AC37710" w14:textId="63CE3333" w:rsidR="00A03DC4" w:rsidRPr="00AC0F61" w:rsidRDefault="00A03DC4" w:rsidP="00211354">
      <w:pPr>
        <w:numPr>
          <w:ilvl w:val="0"/>
          <w:numId w:val="2"/>
        </w:numPr>
        <w:spacing w:after="0" w:line="240" w:lineRule="auto"/>
        <w:ind w:left="0" w:right="1444" w:firstLine="0"/>
        <w:contextualSpacing/>
        <w:jc w:val="both"/>
        <w:rPr>
          <w:rFonts w:ascii="Verdana" w:hAnsi="Verdana" w:cs="Arial"/>
          <w:b/>
          <w:i/>
          <w:sz w:val="20"/>
          <w:lang w:val="es-CR"/>
        </w:rPr>
      </w:pPr>
      <w:r w:rsidRPr="00AC0F61">
        <w:rPr>
          <w:rFonts w:ascii="Verdana" w:hAnsi="Verdana" w:cs="Arial"/>
          <w:sz w:val="20"/>
          <w:lang w:val="es-CR"/>
        </w:rPr>
        <w:t xml:space="preserve">Las </w:t>
      </w:r>
      <w:r w:rsidR="00945FB9">
        <w:rPr>
          <w:rFonts w:ascii="Verdana" w:hAnsi="Verdana" w:cs="Verdana"/>
          <w:sz w:val="20"/>
          <w:szCs w:val="20"/>
          <w:lang w:val="es-ES"/>
        </w:rPr>
        <w:t>R</w:t>
      </w:r>
      <w:r w:rsidRPr="00AC0F61">
        <w:rPr>
          <w:rFonts w:ascii="Verdana" w:hAnsi="Verdana" w:cs="Verdana"/>
          <w:sz w:val="20"/>
          <w:szCs w:val="20"/>
          <w:lang w:val="es-ES"/>
        </w:rPr>
        <w:t>esoluciones</w:t>
      </w:r>
      <w:r w:rsidRPr="00AC0F61">
        <w:rPr>
          <w:rFonts w:ascii="Verdana" w:hAnsi="Verdana" w:cs="Arial"/>
          <w:sz w:val="20"/>
          <w:lang w:val="es-CR"/>
        </w:rPr>
        <w:t xml:space="preserve"> de supervisión de cumplimiento de </w:t>
      </w:r>
      <w:r w:rsidR="008456D9" w:rsidRPr="00AC0F61">
        <w:rPr>
          <w:rFonts w:ascii="Verdana" w:hAnsi="Verdana" w:cs="Arial"/>
          <w:sz w:val="20"/>
          <w:lang w:val="es-CR"/>
        </w:rPr>
        <w:t>s</w:t>
      </w:r>
      <w:r w:rsidRPr="00AC0F61">
        <w:rPr>
          <w:rFonts w:ascii="Verdana" w:hAnsi="Verdana" w:cs="Arial"/>
          <w:sz w:val="20"/>
          <w:lang w:val="es-CR"/>
        </w:rPr>
        <w:t xml:space="preserve">entencias emitidas por la Corte </w:t>
      </w:r>
      <w:r w:rsidR="006172D8">
        <w:rPr>
          <w:rFonts w:ascii="Verdana" w:hAnsi="Verdana" w:cs="Arial"/>
          <w:sz w:val="20"/>
          <w:lang w:val="es-CR"/>
        </w:rPr>
        <w:t>en</w:t>
      </w:r>
      <w:r w:rsidR="00AD428A" w:rsidRPr="00AC0F61">
        <w:rPr>
          <w:rFonts w:ascii="Verdana" w:hAnsi="Verdana" w:cs="Arial"/>
          <w:sz w:val="20"/>
          <w:lang w:val="es-CR"/>
        </w:rPr>
        <w:t xml:space="preserve"> </w:t>
      </w:r>
      <w:r w:rsidRPr="00AC0F61">
        <w:rPr>
          <w:rFonts w:ascii="Verdana" w:hAnsi="Verdana" w:cs="Arial"/>
          <w:sz w:val="20"/>
          <w:lang w:val="es-CR"/>
        </w:rPr>
        <w:t>l</w:t>
      </w:r>
      <w:r w:rsidR="00AD428A" w:rsidRPr="00AC0F61">
        <w:rPr>
          <w:rFonts w:ascii="Verdana" w:hAnsi="Verdana" w:cs="Arial"/>
          <w:sz w:val="20"/>
          <w:lang w:val="es-CR"/>
        </w:rPr>
        <w:t>os</w:t>
      </w:r>
      <w:r w:rsidRPr="00AC0F61">
        <w:rPr>
          <w:rFonts w:ascii="Verdana" w:hAnsi="Verdana" w:cs="Arial"/>
          <w:sz w:val="20"/>
          <w:lang w:val="es-CR"/>
        </w:rPr>
        <w:t xml:space="preserve"> caso</w:t>
      </w:r>
      <w:r w:rsidR="00AD428A" w:rsidRPr="00AC0F61">
        <w:rPr>
          <w:rFonts w:ascii="Verdana" w:hAnsi="Verdana" w:cs="Arial"/>
          <w:sz w:val="20"/>
          <w:lang w:val="es-CR"/>
        </w:rPr>
        <w:t>s</w:t>
      </w:r>
      <w:r w:rsidR="00AB73FB" w:rsidRPr="00AC0F61">
        <w:rPr>
          <w:rFonts w:ascii="Verdana" w:hAnsi="Verdana" w:cs="Arial"/>
          <w:sz w:val="20"/>
          <w:lang w:val="es-CR"/>
        </w:rPr>
        <w:t>:</w:t>
      </w:r>
      <w:r w:rsidRPr="00AC0F61">
        <w:rPr>
          <w:rFonts w:ascii="Verdana" w:hAnsi="Verdana" w:cs="Arial"/>
          <w:sz w:val="20"/>
          <w:lang w:val="es-CR"/>
        </w:rPr>
        <w:t xml:space="preserve"> </w:t>
      </w:r>
      <w:r w:rsidRPr="00AC0F61">
        <w:rPr>
          <w:rFonts w:ascii="Verdana" w:hAnsi="Verdana" w:cs="Arial"/>
          <w:i/>
          <w:sz w:val="20"/>
          <w:lang w:val="es-CR"/>
        </w:rPr>
        <w:t>Blake</w:t>
      </w:r>
      <w:r w:rsidRPr="00AC0F61">
        <w:rPr>
          <w:rStyle w:val="FootnoteReference"/>
          <w:rFonts w:ascii="Verdana" w:hAnsi="Verdana" w:cs="Arial"/>
          <w:i/>
          <w:sz w:val="20"/>
          <w:lang w:val="es-CR"/>
        </w:rPr>
        <w:footnoteReference w:id="2"/>
      </w:r>
      <w:r w:rsidR="00AB73FB" w:rsidRPr="00AC0F61">
        <w:rPr>
          <w:rFonts w:ascii="Verdana" w:hAnsi="Verdana" w:cs="Arial"/>
          <w:sz w:val="20"/>
          <w:lang w:val="es-CR"/>
        </w:rPr>
        <w:t>,</w:t>
      </w:r>
      <w:r w:rsidR="00945FB9" w:rsidRPr="00945FB9">
        <w:rPr>
          <w:rFonts w:ascii="Verdana" w:hAnsi="Verdana" w:cs="Arial"/>
          <w:i/>
          <w:sz w:val="20"/>
          <w:lang w:val="es-CR"/>
        </w:rPr>
        <w:t xml:space="preserve"> </w:t>
      </w:r>
      <w:r w:rsidR="00945FB9" w:rsidRPr="00AC0F61">
        <w:rPr>
          <w:rFonts w:ascii="Verdana" w:hAnsi="Verdana" w:cs="Arial"/>
          <w:i/>
          <w:sz w:val="20"/>
          <w:lang w:val="es-CR"/>
        </w:rPr>
        <w:t>Panel Blanca</w:t>
      </w:r>
      <w:r w:rsidR="00945FB9" w:rsidRPr="00AC0F61">
        <w:rPr>
          <w:rStyle w:val="FootnoteReference"/>
          <w:rFonts w:ascii="Verdana" w:hAnsi="Verdana" w:cs="Arial"/>
          <w:i/>
          <w:sz w:val="20"/>
          <w:lang w:val="es-CR"/>
        </w:rPr>
        <w:footnoteReference w:id="3"/>
      </w:r>
      <w:r w:rsidR="00945FB9">
        <w:rPr>
          <w:rFonts w:ascii="Verdana" w:hAnsi="Verdana" w:cs="Arial"/>
          <w:i/>
          <w:sz w:val="20"/>
          <w:lang w:val="es-CR"/>
        </w:rPr>
        <w:t>,</w:t>
      </w:r>
      <w:r w:rsidRPr="00AC0F61">
        <w:rPr>
          <w:rFonts w:ascii="Verdana" w:hAnsi="Verdana" w:cs="Arial"/>
          <w:sz w:val="20"/>
          <w:lang w:val="es-CR"/>
        </w:rPr>
        <w:t xml:space="preserve"> </w:t>
      </w:r>
      <w:r w:rsidRPr="00AC0F61">
        <w:rPr>
          <w:rFonts w:ascii="Verdana" w:hAnsi="Verdana" w:cs="Arial"/>
          <w:i/>
          <w:sz w:val="20"/>
          <w:lang w:val="es-CR"/>
        </w:rPr>
        <w:t>Niños de la Calle</w:t>
      </w:r>
      <w:r w:rsidRPr="00AC0F61">
        <w:rPr>
          <w:rStyle w:val="FootnoteReference"/>
          <w:rFonts w:ascii="Verdana" w:hAnsi="Verdana" w:cs="Arial"/>
          <w:i/>
          <w:sz w:val="20"/>
          <w:lang w:val="es-CR"/>
        </w:rPr>
        <w:footnoteReference w:id="4"/>
      </w:r>
      <w:r w:rsidR="00AB73FB" w:rsidRPr="00AC0F61">
        <w:rPr>
          <w:rFonts w:ascii="Verdana" w:hAnsi="Verdana" w:cs="Arial"/>
          <w:sz w:val="20"/>
          <w:lang w:val="es-CR"/>
        </w:rPr>
        <w:t>,</w:t>
      </w:r>
      <w:r w:rsidRPr="00AC0F61">
        <w:rPr>
          <w:rFonts w:ascii="Verdana" w:hAnsi="Verdana" w:cs="Arial"/>
          <w:sz w:val="20"/>
          <w:lang w:val="es-CR"/>
        </w:rPr>
        <w:t xml:space="preserve"> </w:t>
      </w:r>
      <w:r w:rsidRPr="00AC0F61">
        <w:rPr>
          <w:rFonts w:ascii="Verdana" w:hAnsi="Verdana" w:cs="Arial"/>
          <w:i/>
          <w:sz w:val="20"/>
          <w:lang w:val="es-CR"/>
        </w:rPr>
        <w:t>Bámaca Velásquez</w:t>
      </w:r>
      <w:r w:rsidRPr="00AC0F61">
        <w:rPr>
          <w:rStyle w:val="FootnoteReference"/>
          <w:rFonts w:ascii="Verdana" w:hAnsi="Verdana" w:cs="Arial"/>
          <w:i/>
          <w:sz w:val="20"/>
          <w:lang w:val="es-CR"/>
        </w:rPr>
        <w:footnoteReference w:id="5"/>
      </w:r>
      <w:r w:rsidR="00AB73FB" w:rsidRPr="00AC0F61">
        <w:rPr>
          <w:rFonts w:ascii="Verdana" w:hAnsi="Verdana" w:cs="Arial"/>
          <w:sz w:val="20"/>
          <w:lang w:val="es-CR"/>
        </w:rPr>
        <w:t>,</w:t>
      </w:r>
      <w:r w:rsidR="00945FB9" w:rsidRPr="00945FB9">
        <w:rPr>
          <w:rFonts w:ascii="Verdana" w:hAnsi="Verdana" w:cs="Arial"/>
          <w:i/>
          <w:sz w:val="20"/>
          <w:lang w:val="es-CR"/>
        </w:rPr>
        <w:t xml:space="preserve"> </w:t>
      </w:r>
      <w:r w:rsidR="00945FB9" w:rsidRPr="00AC0F61">
        <w:rPr>
          <w:rFonts w:ascii="Verdana" w:hAnsi="Verdana" w:cs="Arial"/>
          <w:i/>
          <w:sz w:val="20"/>
          <w:lang w:val="es-CR"/>
        </w:rPr>
        <w:t>Mack Chang</w:t>
      </w:r>
      <w:r w:rsidR="00945FB9" w:rsidRPr="00AC0F61">
        <w:rPr>
          <w:rStyle w:val="FootnoteReference"/>
          <w:rFonts w:ascii="Verdana" w:hAnsi="Verdana" w:cs="Arial"/>
          <w:i/>
          <w:sz w:val="20"/>
          <w:lang w:val="es-CR"/>
        </w:rPr>
        <w:footnoteReference w:id="6"/>
      </w:r>
      <w:r w:rsidR="00945FB9">
        <w:rPr>
          <w:rFonts w:ascii="Verdana" w:hAnsi="Verdana" w:cs="Arial"/>
          <w:i/>
          <w:sz w:val="20"/>
          <w:lang w:val="es-CR"/>
        </w:rPr>
        <w:t>,</w:t>
      </w:r>
      <w:r w:rsidRPr="00AC0F61">
        <w:rPr>
          <w:rFonts w:ascii="Verdana" w:hAnsi="Verdana" w:cs="Arial"/>
          <w:sz w:val="20"/>
          <w:lang w:val="es-CR"/>
        </w:rPr>
        <w:t xml:space="preserve"> </w:t>
      </w:r>
      <w:r w:rsidRPr="00AC0F61">
        <w:rPr>
          <w:rFonts w:ascii="Verdana" w:hAnsi="Verdana" w:cs="Arial"/>
          <w:i/>
          <w:sz w:val="20"/>
          <w:lang w:val="es-CR"/>
        </w:rPr>
        <w:t>Maritza Urrutia</w:t>
      </w:r>
      <w:r w:rsidRPr="00AC0F61">
        <w:rPr>
          <w:rStyle w:val="FootnoteReference"/>
          <w:rFonts w:ascii="Verdana" w:hAnsi="Verdana" w:cs="Arial"/>
          <w:i/>
          <w:sz w:val="20"/>
          <w:lang w:val="es-CR"/>
        </w:rPr>
        <w:footnoteReference w:id="7"/>
      </w:r>
      <w:r w:rsidR="00AB73FB" w:rsidRPr="00AC0F61">
        <w:rPr>
          <w:rFonts w:ascii="Verdana" w:hAnsi="Verdana" w:cs="Arial"/>
          <w:sz w:val="20"/>
          <w:lang w:val="es-CR"/>
        </w:rPr>
        <w:t>,</w:t>
      </w:r>
      <w:r w:rsidRPr="00AC0F61">
        <w:rPr>
          <w:rFonts w:ascii="Verdana" w:hAnsi="Verdana" w:cs="Arial"/>
          <w:sz w:val="20"/>
          <w:lang w:val="es-CR"/>
        </w:rPr>
        <w:t xml:space="preserve"> </w:t>
      </w:r>
      <w:r w:rsidR="00945FB9" w:rsidRPr="00AC0F61">
        <w:rPr>
          <w:rFonts w:ascii="Verdana" w:hAnsi="Verdana" w:cs="Arial"/>
          <w:i/>
          <w:sz w:val="20"/>
          <w:lang w:val="es-CR"/>
        </w:rPr>
        <w:t>Molina Theissen</w:t>
      </w:r>
      <w:r w:rsidR="00945FB9" w:rsidRPr="00AC0F61">
        <w:rPr>
          <w:rStyle w:val="FootnoteReference"/>
          <w:rFonts w:ascii="Verdana" w:hAnsi="Verdana" w:cs="Arial"/>
          <w:i/>
          <w:sz w:val="20"/>
          <w:lang w:val="es-CR"/>
        </w:rPr>
        <w:footnoteReference w:id="8"/>
      </w:r>
      <w:r w:rsidR="00945FB9" w:rsidRPr="00AC0F61">
        <w:rPr>
          <w:rFonts w:ascii="Verdana" w:hAnsi="Verdana" w:cs="Arial"/>
          <w:sz w:val="20"/>
          <w:lang w:val="es-CR"/>
        </w:rPr>
        <w:t xml:space="preserve">, </w:t>
      </w:r>
      <w:r w:rsidRPr="00AC0F61">
        <w:rPr>
          <w:rFonts w:ascii="Verdana" w:hAnsi="Verdana" w:cs="Arial"/>
          <w:i/>
          <w:sz w:val="20"/>
          <w:lang w:val="es-CR"/>
        </w:rPr>
        <w:t>Masacre Plan de Sánchez</w:t>
      </w:r>
      <w:r w:rsidRPr="00AC0F61">
        <w:rPr>
          <w:rStyle w:val="FootnoteReference"/>
          <w:rFonts w:ascii="Verdana" w:hAnsi="Verdana" w:cs="Arial"/>
          <w:i/>
          <w:sz w:val="20"/>
          <w:lang w:val="es-CR"/>
        </w:rPr>
        <w:footnoteReference w:id="9"/>
      </w:r>
      <w:r w:rsidR="00AB73FB" w:rsidRPr="00AC0F61">
        <w:rPr>
          <w:rFonts w:ascii="Verdana" w:hAnsi="Verdana" w:cs="Arial"/>
          <w:sz w:val="20"/>
          <w:lang w:val="es-CR"/>
        </w:rPr>
        <w:t>,</w:t>
      </w:r>
      <w:r w:rsidRPr="00AC0F61">
        <w:rPr>
          <w:rFonts w:ascii="Verdana" w:hAnsi="Verdana" w:cs="Arial"/>
          <w:sz w:val="20"/>
          <w:lang w:val="es-CR"/>
        </w:rPr>
        <w:t xml:space="preserve"> </w:t>
      </w:r>
      <w:r w:rsidRPr="00AC0F61">
        <w:rPr>
          <w:rFonts w:ascii="Verdana" w:hAnsi="Verdana" w:cs="Arial"/>
          <w:i/>
          <w:sz w:val="20"/>
          <w:lang w:val="es-CR"/>
        </w:rPr>
        <w:t>Carpio Nicolle</w:t>
      </w:r>
      <w:r w:rsidRPr="00AC0F61">
        <w:rPr>
          <w:rStyle w:val="FootnoteReference"/>
          <w:rFonts w:ascii="Verdana" w:hAnsi="Verdana" w:cs="Arial"/>
          <w:i/>
          <w:sz w:val="20"/>
          <w:lang w:val="es-CR"/>
        </w:rPr>
        <w:footnoteReference w:id="10"/>
      </w:r>
      <w:r w:rsidRPr="00AC0F61">
        <w:rPr>
          <w:rFonts w:ascii="Verdana" w:hAnsi="Verdana" w:cs="Arial"/>
          <w:i/>
          <w:sz w:val="20"/>
          <w:lang w:val="es-CR"/>
        </w:rPr>
        <w:t>,</w:t>
      </w:r>
      <w:r w:rsidRPr="00AC0F61">
        <w:rPr>
          <w:rFonts w:ascii="Verdana" w:hAnsi="Verdana" w:cs="Arial"/>
          <w:sz w:val="20"/>
          <w:lang w:val="es-CR"/>
        </w:rPr>
        <w:t xml:space="preserve"> </w:t>
      </w:r>
      <w:r w:rsidRPr="00AC0F61">
        <w:rPr>
          <w:rFonts w:ascii="Verdana" w:hAnsi="Verdana" w:cs="Arial"/>
          <w:i/>
          <w:sz w:val="20"/>
          <w:lang w:val="es-CR"/>
        </w:rPr>
        <w:t>Tiu Tojín</w:t>
      </w:r>
      <w:r w:rsidRPr="00AC0F61">
        <w:rPr>
          <w:rStyle w:val="FootnoteReference"/>
          <w:rFonts w:ascii="Verdana" w:hAnsi="Verdana" w:cs="Arial"/>
          <w:i/>
          <w:sz w:val="20"/>
          <w:lang w:val="es-CR"/>
        </w:rPr>
        <w:footnoteReference w:id="11"/>
      </w:r>
      <w:r w:rsidR="00AB73FB" w:rsidRPr="00AC0F61">
        <w:rPr>
          <w:rFonts w:ascii="Verdana" w:hAnsi="Verdana" w:cs="Arial"/>
          <w:sz w:val="20"/>
          <w:lang w:val="es-CR"/>
        </w:rPr>
        <w:t>,</w:t>
      </w:r>
      <w:r w:rsidRPr="00AC0F61">
        <w:rPr>
          <w:rFonts w:ascii="Verdana" w:hAnsi="Verdana" w:cs="Arial"/>
          <w:sz w:val="20"/>
          <w:lang w:val="es-CR"/>
        </w:rPr>
        <w:t xml:space="preserve"> </w:t>
      </w:r>
      <w:r w:rsidRPr="00AC0F61">
        <w:rPr>
          <w:rFonts w:ascii="Verdana" w:hAnsi="Verdana" w:cs="Arial"/>
          <w:i/>
          <w:sz w:val="20"/>
          <w:lang w:val="es-CR"/>
        </w:rPr>
        <w:t>Masacre de las Dos Erres</w:t>
      </w:r>
      <w:r w:rsidRPr="00AC0F61">
        <w:rPr>
          <w:rStyle w:val="FootnoteReference"/>
          <w:rFonts w:ascii="Verdana" w:hAnsi="Verdana" w:cs="Arial"/>
          <w:i/>
          <w:sz w:val="20"/>
          <w:lang w:val="es-CR"/>
        </w:rPr>
        <w:footnoteReference w:id="12"/>
      </w:r>
      <w:r w:rsidRPr="00AC0F61">
        <w:rPr>
          <w:rFonts w:ascii="Verdana" w:hAnsi="Verdana" w:cs="Arial"/>
          <w:sz w:val="20"/>
          <w:lang w:val="es-CR"/>
        </w:rPr>
        <w:t xml:space="preserve"> </w:t>
      </w:r>
      <w:r w:rsidR="00945FB9">
        <w:rPr>
          <w:rFonts w:ascii="Verdana" w:hAnsi="Verdana" w:cs="Arial"/>
          <w:sz w:val="20"/>
          <w:lang w:val="es-CR"/>
        </w:rPr>
        <w:t xml:space="preserve">y </w:t>
      </w:r>
      <w:r w:rsidRPr="00AC0F61">
        <w:rPr>
          <w:rFonts w:ascii="Verdana" w:hAnsi="Verdana" w:cs="Arial"/>
          <w:i/>
          <w:sz w:val="20"/>
          <w:lang w:val="es-CR"/>
        </w:rPr>
        <w:t>Chitay Nech</w:t>
      </w:r>
      <w:r w:rsidRPr="00AC0F61">
        <w:rPr>
          <w:rStyle w:val="FootnoteReference"/>
          <w:rFonts w:ascii="Verdana" w:hAnsi="Verdana" w:cs="Arial"/>
          <w:i/>
          <w:sz w:val="20"/>
          <w:lang w:val="es-CR"/>
        </w:rPr>
        <w:footnoteReference w:id="13"/>
      </w:r>
      <w:r w:rsidRPr="00AC0F61">
        <w:rPr>
          <w:rFonts w:ascii="Verdana" w:hAnsi="Verdana" w:cs="Arial"/>
          <w:sz w:val="20"/>
          <w:lang w:val="es-CR"/>
        </w:rPr>
        <w:t xml:space="preserve">; y la </w:t>
      </w:r>
      <w:r w:rsidR="00AB73FB" w:rsidRPr="00AC0F61">
        <w:rPr>
          <w:rFonts w:ascii="Verdana" w:hAnsi="Verdana" w:cs="Arial"/>
          <w:sz w:val="20"/>
          <w:lang w:val="es-CR"/>
        </w:rPr>
        <w:t>dictada el</w:t>
      </w:r>
      <w:r w:rsidRPr="00AC0F61">
        <w:rPr>
          <w:rFonts w:ascii="Verdana" w:hAnsi="Verdana" w:cs="Arial"/>
          <w:sz w:val="20"/>
          <w:lang w:val="es-CR"/>
        </w:rPr>
        <w:t xml:space="preserve"> 21 de agosto de 2014 correspondiente a la supervisión conjunta de once </w:t>
      </w:r>
      <w:r w:rsidR="00AD428A" w:rsidRPr="00AC0F61">
        <w:rPr>
          <w:rFonts w:ascii="Verdana" w:hAnsi="Verdana" w:cs="Arial"/>
          <w:sz w:val="20"/>
          <w:lang w:val="es-CR"/>
        </w:rPr>
        <w:t>de los</w:t>
      </w:r>
      <w:r w:rsidRPr="00AC0F61">
        <w:rPr>
          <w:rFonts w:ascii="Verdana" w:hAnsi="Verdana" w:cs="Arial"/>
          <w:sz w:val="20"/>
          <w:lang w:val="es-CR"/>
        </w:rPr>
        <w:t xml:space="preserve"> casos</w:t>
      </w:r>
      <w:r w:rsidR="00AD428A" w:rsidRPr="00AC0F61">
        <w:rPr>
          <w:rFonts w:ascii="Verdana" w:hAnsi="Verdana" w:cs="Arial"/>
          <w:sz w:val="20"/>
          <w:lang w:val="es-CR"/>
        </w:rPr>
        <w:t xml:space="preserve"> señalados</w:t>
      </w:r>
      <w:r w:rsidRPr="00AC0F61">
        <w:rPr>
          <w:rStyle w:val="FootnoteReference"/>
          <w:rFonts w:ascii="Verdana" w:hAnsi="Verdana" w:cs="Arial"/>
          <w:sz w:val="20"/>
          <w:lang w:val="es-CR"/>
        </w:rPr>
        <w:footnoteReference w:id="14"/>
      </w:r>
      <w:r w:rsidRPr="00AC0F61">
        <w:rPr>
          <w:rFonts w:ascii="Verdana" w:hAnsi="Verdana" w:cs="Arial"/>
          <w:sz w:val="20"/>
          <w:lang w:val="es-CR"/>
        </w:rPr>
        <w:t>.</w:t>
      </w:r>
    </w:p>
    <w:p w14:paraId="47BB7329" w14:textId="77777777" w:rsidR="00A03DC4" w:rsidRPr="0032068E" w:rsidRDefault="00A03DC4" w:rsidP="00A03DC4">
      <w:pPr>
        <w:spacing w:after="0" w:line="240" w:lineRule="auto"/>
        <w:ind w:right="1444"/>
        <w:jc w:val="both"/>
        <w:rPr>
          <w:rFonts w:ascii="Verdana" w:hAnsi="Verdana" w:cs="Arial"/>
          <w:b/>
          <w:sz w:val="20"/>
          <w:lang w:val="es-CR"/>
        </w:rPr>
      </w:pPr>
    </w:p>
    <w:p w14:paraId="7D3DB745" w14:textId="77777777" w:rsidR="00A03DC4" w:rsidRPr="0032068E" w:rsidRDefault="00A03DC4" w:rsidP="00211354">
      <w:pPr>
        <w:numPr>
          <w:ilvl w:val="0"/>
          <w:numId w:val="2"/>
        </w:numPr>
        <w:spacing w:after="0" w:line="240" w:lineRule="auto"/>
        <w:ind w:left="0" w:right="1444" w:firstLine="0"/>
        <w:contextualSpacing/>
        <w:jc w:val="both"/>
        <w:rPr>
          <w:rFonts w:ascii="Verdana" w:hAnsi="Verdana" w:cs="Arial"/>
          <w:b/>
          <w:i/>
          <w:strike/>
          <w:sz w:val="20"/>
          <w:lang w:val="es-CR"/>
        </w:rPr>
      </w:pPr>
      <w:r w:rsidRPr="0032068E">
        <w:rPr>
          <w:rFonts w:ascii="Verdana" w:hAnsi="Verdana" w:cs="Arial"/>
          <w:sz w:val="20"/>
          <w:lang w:val="es-CR"/>
        </w:rPr>
        <w:t>La nota de la Secretaría de la Corte de 24 de mayo de 2011, mediante la cual</w:t>
      </w:r>
      <w:r w:rsidR="008C627B" w:rsidRPr="0032068E">
        <w:rPr>
          <w:rFonts w:ascii="Verdana" w:hAnsi="Verdana" w:cs="Arial"/>
          <w:sz w:val="20"/>
          <w:lang w:val="es-CR"/>
        </w:rPr>
        <w:t xml:space="preserve">, siguiendo </w:t>
      </w:r>
      <w:r w:rsidR="008C627B" w:rsidRPr="00211354">
        <w:rPr>
          <w:rFonts w:ascii="Verdana" w:hAnsi="Verdana" w:cs="Verdana"/>
          <w:sz w:val="20"/>
          <w:szCs w:val="20"/>
          <w:lang w:val="es-ES"/>
        </w:rPr>
        <w:t>instrucciones</w:t>
      </w:r>
      <w:r w:rsidR="008C627B" w:rsidRPr="0032068E">
        <w:rPr>
          <w:rFonts w:ascii="Verdana" w:hAnsi="Verdana" w:cs="Arial"/>
          <w:sz w:val="20"/>
          <w:lang w:val="es-CR"/>
        </w:rPr>
        <w:t xml:space="preserve"> del Presidente del Tribunal,</w:t>
      </w:r>
      <w:r w:rsidRPr="0032068E">
        <w:rPr>
          <w:rFonts w:ascii="Verdana" w:hAnsi="Verdana" w:cs="Arial"/>
          <w:sz w:val="20"/>
          <w:lang w:val="es-CR"/>
        </w:rPr>
        <w:t xml:space="preserve"> se solicitó al Estado que presentara un informe integral sobre la obligación de investigar en </w:t>
      </w:r>
      <w:r w:rsidR="008C627B" w:rsidRPr="0032068E">
        <w:rPr>
          <w:rFonts w:ascii="Verdana" w:hAnsi="Verdana" w:cs="Arial"/>
          <w:sz w:val="20"/>
          <w:lang w:val="es-CR"/>
        </w:rPr>
        <w:t>once de los casos referidos</w:t>
      </w:r>
      <w:r w:rsidR="008C627B" w:rsidRPr="0032068E">
        <w:rPr>
          <w:rStyle w:val="FootnoteReference"/>
          <w:rFonts w:ascii="Verdana" w:hAnsi="Verdana" w:cs="Arial"/>
          <w:sz w:val="20"/>
          <w:lang w:val="es-CR"/>
        </w:rPr>
        <w:footnoteReference w:id="15"/>
      </w:r>
      <w:r w:rsidRPr="0032068E">
        <w:rPr>
          <w:rFonts w:ascii="Verdana" w:hAnsi="Verdana" w:cs="Arial"/>
          <w:sz w:val="20"/>
          <w:lang w:val="es-CR"/>
        </w:rPr>
        <w:t>.</w:t>
      </w:r>
    </w:p>
    <w:p w14:paraId="43ACC7EE" w14:textId="77777777" w:rsidR="00A03DC4" w:rsidRPr="0032068E" w:rsidRDefault="00A03DC4" w:rsidP="00A03DC4">
      <w:pPr>
        <w:spacing w:after="0" w:line="240" w:lineRule="auto"/>
        <w:ind w:right="1444"/>
        <w:jc w:val="both"/>
        <w:rPr>
          <w:rFonts w:ascii="Verdana" w:hAnsi="Verdana" w:cs="Arial"/>
          <w:b/>
          <w:i/>
          <w:strike/>
          <w:sz w:val="20"/>
          <w:lang w:val="es-CR"/>
        </w:rPr>
      </w:pPr>
    </w:p>
    <w:p w14:paraId="567EC4A9" w14:textId="77777777" w:rsidR="00A03DC4" w:rsidRPr="0032068E" w:rsidRDefault="00A03DC4" w:rsidP="00211354">
      <w:pPr>
        <w:numPr>
          <w:ilvl w:val="0"/>
          <w:numId w:val="2"/>
        </w:numPr>
        <w:spacing w:after="0" w:line="240" w:lineRule="auto"/>
        <w:ind w:left="0" w:right="1444" w:firstLine="0"/>
        <w:contextualSpacing/>
        <w:jc w:val="both"/>
        <w:rPr>
          <w:rFonts w:ascii="Verdana" w:hAnsi="Verdana" w:cs="Arial"/>
          <w:b/>
          <w:i/>
          <w:strike/>
          <w:sz w:val="20"/>
          <w:lang w:val="es-CR"/>
        </w:rPr>
      </w:pPr>
      <w:bookmarkStart w:id="4" w:name="_Ref437850364"/>
      <w:r w:rsidRPr="0032068E">
        <w:rPr>
          <w:rFonts w:ascii="Verdana" w:hAnsi="Verdana" w:cs="Arial"/>
          <w:sz w:val="20"/>
          <w:lang w:val="es-CR"/>
        </w:rPr>
        <w:t>Los informes presentados por el Estado entre los días 25 de mayo de 2011 y 16 de mayo de 2014</w:t>
      </w:r>
      <w:r w:rsidRPr="0032068E">
        <w:rPr>
          <w:rFonts w:ascii="Verdana" w:hAnsi="Verdana" w:cs="Arial"/>
          <w:i/>
          <w:sz w:val="20"/>
          <w:lang w:val="es-CR"/>
        </w:rPr>
        <w:t xml:space="preserve"> </w:t>
      </w:r>
      <w:r w:rsidRPr="0032068E">
        <w:rPr>
          <w:rFonts w:ascii="Verdana" w:hAnsi="Verdana" w:cs="Arial"/>
          <w:sz w:val="20"/>
          <w:lang w:val="es-CR"/>
        </w:rPr>
        <w:t>en los que se refirió a la medida correspondiente a la obligación de investigar</w:t>
      </w:r>
      <w:r w:rsidR="00F70004" w:rsidRPr="0032068E">
        <w:rPr>
          <w:rFonts w:ascii="Verdana" w:hAnsi="Verdana" w:cs="Arial"/>
          <w:sz w:val="20"/>
          <w:lang w:val="es-CR"/>
        </w:rPr>
        <w:t xml:space="preserve"> de los </w:t>
      </w:r>
      <w:r w:rsidR="00F70004" w:rsidRPr="0032068E">
        <w:rPr>
          <w:rFonts w:ascii="Verdana" w:hAnsi="Verdana" w:cs="Arial"/>
          <w:i/>
          <w:sz w:val="20"/>
          <w:lang w:val="es-CR"/>
        </w:rPr>
        <w:t>12 casos</w:t>
      </w:r>
      <w:r w:rsidR="002C6C6C" w:rsidRPr="0032068E">
        <w:rPr>
          <w:rStyle w:val="FootnoteReference"/>
          <w:rFonts w:ascii="Verdana" w:hAnsi="Verdana" w:cs="Arial"/>
          <w:sz w:val="20"/>
          <w:lang w:val="es-CR"/>
        </w:rPr>
        <w:footnoteReference w:id="16"/>
      </w:r>
      <w:r w:rsidRPr="0032068E">
        <w:rPr>
          <w:rFonts w:ascii="Verdana" w:hAnsi="Verdana" w:cs="Arial"/>
          <w:sz w:val="20"/>
          <w:lang w:val="es-CR"/>
        </w:rPr>
        <w:t>.</w:t>
      </w:r>
      <w:bookmarkEnd w:id="4"/>
    </w:p>
    <w:p w14:paraId="584B6102" w14:textId="77777777" w:rsidR="00A03DC4" w:rsidRPr="0032068E" w:rsidRDefault="00A03DC4" w:rsidP="00A03DC4">
      <w:pPr>
        <w:spacing w:after="0" w:line="240" w:lineRule="auto"/>
        <w:ind w:right="1444"/>
        <w:jc w:val="both"/>
        <w:rPr>
          <w:rFonts w:ascii="Verdana" w:hAnsi="Verdana" w:cs="Arial"/>
          <w:b/>
          <w:i/>
          <w:strike/>
          <w:sz w:val="20"/>
          <w:lang w:val="es-CR"/>
        </w:rPr>
      </w:pPr>
    </w:p>
    <w:p w14:paraId="5ED56CDB" w14:textId="0CEAC058" w:rsidR="002C6C6C" w:rsidRPr="0032068E" w:rsidRDefault="002C6C6C" w:rsidP="00211354">
      <w:pPr>
        <w:numPr>
          <w:ilvl w:val="0"/>
          <w:numId w:val="2"/>
        </w:numPr>
        <w:spacing w:after="0" w:line="240" w:lineRule="auto"/>
        <w:ind w:left="0" w:right="1444" w:firstLine="0"/>
        <w:contextualSpacing/>
        <w:jc w:val="both"/>
        <w:rPr>
          <w:rFonts w:ascii="Verdana" w:hAnsi="Verdana" w:cs="Arial"/>
          <w:b/>
          <w:i/>
          <w:strike/>
          <w:sz w:val="20"/>
          <w:lang w:val="es-CR"/>
        </w:rPr>
      </w:pPr>
      <w:bookmarkStart w:id="5" w:name="_Ref437281367"/>
      <w:r w:rsidRPr="0032068E">
        <w:rPr>
          <w:rFonts w:ascii="Verdana" w:hAnsi="Verdana" w:cs="Arial"/>
          <w:sz w:val="20"/>
          <w:lang w:val="es-CR"/>
        </w:rPr>
        <w:t xml:space="preserve">La nota de la Secretaría de la Corte de 14 de abril de 2014, mediante la cual, siguiendo instrucciones </w:t>
      </w:r>
      <w:r w:rsidR="00261D47" w:rsidRPr="0032068E">
        <w:rPr>
          <w:rFonts w:ascii="Verdana" w:hAnsi="Verdana" w:cs="Arial"/>
          <w:sz w:val="20"/>
          <w:lang w:val="es-CR"/>
        </w:rPr>
        <w:t>de la Corte</w:t>
      </w:r>
      <w:r w:rsidRPr="0032068E">
        <w:rPr>
          <w:rFonts w:ascii="Verdana" w:hAnsi="Verdana" w:cs="Arial"/>
          <w:sz w:val="20"/>
          <w:lang w:val="es-CR"/>
        </w:rPr>
        <w:t xml:space="preserve"> y con base en el artículo 69.2 del Reglamento de la Corte, se requirió a la Fiscal General del Ministerio Público de la República de Guatemala que </w:t>
      </w:r>
      <w:r w:rsidR="00CF49D3" w:rsidRPr="0032068E">
        <w:rPr>
          <w:rFonts w:ascii="Verdana" w:hAnsi="Verdana" w:cs="Arial"/>
          <w:sz w:val="20"/>
          <w:lang w:val="es-CR"/>
        </w:rPr>
        <w:t xml:space="preserve">rindiera un informe </w:t>
      </w:r>
      <w:r w:rsidR="00261D47" w:rsidRPr="006651CE">
        <w:rPr>
          <w:rFonts w:ascii="Verdana" w:hAnsi="Verdana" w:cs="Arial"/>
          <w:i/>
          <w:sz w:val="20"/>
          <w:lang w:val="es-CR"/>
        </w:rPr>
        <w:t>(infra</w:t>
      </w:r>
      <w:r w:rsidR="00261D47" w:rsidRPr="006651CE">
        <w:rPr>
          <w:rFonts w:ascii="Verdana" w:hAnsi="Verdana" w:cs="Arial"/>
          <w:sz w:val="20"/>
          <w:lang w:val="es-CR"/>
        </w:rPr>
        <w:t xml:space="preserve"> Considerando </w:t>
      </w:r>
      <w:r w:rsidR="005C6C8A" w:rsidRPr="006651CE">
        <w:rPr>
          <w:rFonts w:ascii="Verdana" w:hAnsi="Verdana" w:cs="Arial"/>
          <w:sz w:val="20"/>
          <w:lang w:val="es-CR"/>
        </w:rPr>
        <w:fldChar w:fldCharType="begin"/>
      </w:r>
      <w:r w:rsidR="005C6C8A" w:rsidRPr="006651CE">
        <w:rPr>
          <w:rFonts w:ascii="Verdana" w:hAnsi="Verdana" w:cs="Arial"/>
          <w:sz w:val="20"/>
          <w:lang w:val="es-CR"/>
        </w:rPr>
        <w:instrText xml:space="preserve"> REF _Ref437281285 \r \h </w:instrText>
      </w:r>
      <w:r w:rsidR="004B4974" w:rsidRPr="006651CE">
        <w:rPr>
          <w:rFonts w:ascii="Verdana" w:hAnsi="Verdana" w:cs="Arial"/>
          <w:sz w:val="20"/>
          <w:lang w:val="es-CR"/>
        </w:rPr>
        <w:instrText xml:space="preserve"> \* MERGEFORMAT </w:instrText>
      </w:r>
      <w:r w:rsidR="005C6C8A" w:rsidRPr="006651CE">
        <w:rPr>
          <w:rFonts w:ascii="Verdana" w:hAnsi="Verdana" w:cs="Arial"/>
          <w:sz w:val="20"/>
          <w:lang w:val="es-CR"/>
        </w:rPr>
      </w:r>
      <w:r w:rsidR="005C6C8A" w:rsidRPr="006651CE">
        <w:rPr>
          <w:rFonts w:ascii="Verdana" w:hAnsi="Verdana" w:cs="Arial"/>
          <w:sz w:val="20"/>
          <w:lang w:val="es-CR"/>
        </w:rPr>
        <w:fldChar w:fldCharType="separate"/>
      </w:r>
      <w:r w:rsidR="007E3C4B">
        <w:rPr>
          <w:rFonts w:ascii="Verdana" w:hAnsi="Verdana" w:cs="Arial"/>
          <w:sz w:val="20"/>
          <w:lang w:val="es-CR"/>
        </w:rPr>
        <w:t>23</w:t>
      </w:r>
      <w:r w:rsidR="005C6C8A" w:rsidRPr="006651CE">
        <w:rPr>
          <w:rFonts w:ascii="Verdana" w:hAnsi="Verdana" w:cs="Arial"/>
          <w:sz w:val="20"/>
          <w:lang w:val="es-CR"/>
        </w:rPr>
        <w:fldChar w:fldCharType="end"/>
      </w:r>
      <w:r w:rsidR="00860FE6" w:rsidRPr="006651CE">
        <w:rPr>
          <w:rFonts w:ascii="Verdana" w:hAnsi="Verdana" w:cs="Arial"/>
          <w:sz w:val="20"/>
          <w:lang w:val="es-CR"/>
        </w:rPr>
        <w:t>)</w:t>
      </w:r>
      <w:r w:rsidR="006D57FA" w:rsidRPr="006651CE">
        <w:rPr>
          <w:rFonts w:ascii="Verdana" w:hAnsi="Verdana" w:cs="Arial"/>
          <w:sz w:val="20"/>
          <w:lang w:val="es-CR"/>
        </w:rPr>
        <w:t>.</w:t>
      </w:r>
      <w:bookmarkEnd w:id="5"/>
      <w:r w:rsidR="00860FE6" w:rsidRPr="0032068E">
        <w:rPr>
          <w:rFonts w:ascii="Verdana" w:hAnsi="Verdana" w:cs="Arial"/>
          <w:sz w:val="20"/>
          <w:lang w:val="es-CR"/>
        </w:rPr>
        <w:t xml:space="preserve"> </w:t>
      </w:r>
    </w:p>
    <w:p w14:paraId="3CBDF350" w14:textId="77777777" w:rsidR="00A03DC4" w:rsidRPr="0032068E" w:rsidRDefault="00A03DC4" w:rsidP="00A03DC4">
      <w:pPr>
        <w:spacing w:after="0" w:line="240" w:lineRule="auto"/>
        <w:ind w:right="1444"/>
        <w:jc w:val="both"/>
        <w:rPr>
          <w:rFonts w:ascii="Verdana" w:hAnsi="Verdana" w:cs="Arial"/>
          <w:b/>
          <w:i/>
          <w:strike/>
          <w:sz w:val="20"/>
          <w:lang w:val="es-CR"/>
        </w:rPr>
      </w:pPr>
    </w:p>
    <w:p w14:paraId="5E2C112A" w14:textId="79563943" w:rsidR="00A03DC4" w:rsidRPr="00256F8B" w:rsidRDefault="00A03DC4" w:rsidP="00211354">
      <w:pPr>
        <w:numPr>
          <w:ilvl w:val="0"/>
          <w:numId w:val="2"/>
        </w:numPr>
        <w:spacing w:after="0" w:line="240" w:lineRule="auto"/>
        <w:ind w:left="0" w:right="1444" w:firstLine="0"/>
        <w:contextualSpacing/>
        <w:jc w:val="both"/>
        <w:rPr>
          <w:rFonts w:ascii="Verdana" w:hAnsi="Verdana" w:cs="Arial"/>
          <w:sz w:val="20"/>
          <w:lang w:val="es-CR"/>
        </w:rPr>
      </w:pPr>
      <w:bookmarkStart w:id="6" w:name="_Ref437856160"/>
      <w:r w:rsidRPr="00256F8B">
        <w:rPr>
          <w:rFonts w:ascii="Verdana" w:hAnsi="Verdana" w:cs="Arial"/>
          <w:sz w:val="20"/>
          <w:lang w:val="es-CR"/>
        </w:rPr>
        <w:lastRenderedPageBreak/>
        <w:t>El informe presentado el 5 de mayo de 2014 por el Ministerio Público de Guatemala con relación a la supervisión de la obligación de investigar</w:t>
      </w:r>
      <w:r w:rsidR="003715F4" w:rsidRPr="00256F8B">
        <w:rPr>
          <w:rFonts w:ascii="Verdana" w:hAnsi="Verdana" w:cs="Arial"/>
          <w:sz w:val="20"/>
          <w:lang w:val="es-CR"/>
        </w:rPr>
        <w:t>,</w:t>
      </w:r>
      <w:r w:rsidRPr="00256F8B">
        <w:rPr>
          <w:rFonts w:ascii="Verdana" w:hAnsi="Verdana" w:cs="Arial"/>
          <w:sz w:val="20"/>
          <w:lang w:val="es-CR"/>
        </w:rPr>
        <w:t xml:space="preserve"> en atención a la solicitud del 14 de abril de 2014 (</w:t>
      </w:r>
      <w:r w:rsidRPr="00256F8B">
        <w:rPr>
          <w:rFonts w:ascii="Verdana" w:hAnsi="Verdana" w:cs="Arial"/>
          <w:i/>
          <w:sz w:val="20"/>
          <w:lang w:val="es-CR"/>
        </w:rPr>
        <w:t>supra</w:t>
      </w:r>
      <w:r w:rsidRPr="00256F8B">
        <w:rPr>
          <w:rFonts w:ascii="Verdana" w:hAnsi="Verdana" w:cs="Arial"/>
          <w:sz w:val="20"/>
          <w:lang w:val="es-CR"/>
        </w:rPr>
        <w:t xml:space="preserve"> Visto </w:t>
      </w:r>
      <w:r w:rsidR="005C6C8A" w:rsidRPr="00256F8B">
        <w:rPr>
          <w:rFonts w:ascii="Verdana" w:hAnsi="Verdana" w:cs="Arial"/>
          <w:sz w:val="20"/>
          <w:lang w:val="es-CR"/>
        </w:rPr>
        <w:fldChar w:fldCharType="begin"/>
      </w:r>
      <w:r w:rsidR="005C6C8A" w:rsidRPr="00256F8B">
        <w:rPr>
          <w:rFonts w:ascii="Verdana" w:hAnsi="Verdana" w:cs="Arial"/>
          <w:sz w:val="20"/>
          <w:lang w:val="es-CR"/>
        </w:rPr>
        <w:instrText xml:space="preserve"> REF _Ref437281367 \r \h </w:instrText>
      </w:r>
      <w:r w:rsidR="00256F8B">
        <w:rPr>
          <w:rFonts w:ascii="Verdana" w:hAnsi="Verdana" w:cs="Arial"/>
          <w:sz w:val="20"/>
          <w:lang w:val="es-CR"/>
        </w:rPr>
        <w:instrText xml:space="preserve"> \* MERGEFORMAT </w:instrText>
      </w:r>
      <w:r w:rsidR="005C6C8A" w:rsidRPr="00256F8B">
        <w:rPr>
          <w:rFonts w:ascii="Verdana" w:hAnsi="Verdana" w:cs="Arial"/>
          <w:sz w:val="20"/>
          <w:lang w:val="es-CR"/>
        </w:rPr>
      </w:r>
      <w:r w:rsidR="005C6C8A" w:rsidRPr="00256F8B">
        <w:rPr>
          <w:rFonts w:ascii="Verdana" w:hAnsi="Verdana" w:cs="Arial"/>
          <w:sz w:val="20"/>
          <w:lang w:val="es-CR"/>
        </w:rPr>
        <w:fldChar w:fldCharType="separate"/>
      </w:r>
      <w:r w:rsidR="007E3C4B">
        <w:rPr>
          <w:rFonts w:ascii="Verdana" w:hAnsi="Verdana" w:cs="Arial"/>
          <w:sz w:val="20"/>
          <w:lang w:val="es-CR"/>
        </w:rPr>
        <w:t>6</w:t>
      </w:r>
      <w:r w:rsidR="005C6C8A" w:rsidRPr="00256F8B">
        <w:rPr>
          <w:rFonts w:ascii="Verdana" w:hAnsi="Verdana" w:cs="Arial"/>
          <w:sz w:val="20"/>
          <w:lang w:val="es-CR"/>
        </w:rPr>
        <w:fldChar w:fldCharType="end"/>
      </w:r>
      <w:r w:rsidRPr="00256F8B">
        <w:rPr>
          <w:rFonts w:ascii="Verdana" w:hAnsi="Verdana" w:cs="Arial"/>
          <w:sz w:val="20"/>
          <w:lang w:val="es-CR"/>
        </w:rPr>
        <w:t>)</w:t>
      </w:r>
      <w:r w:rsidRPr="00256F8B">
        <w:rPr>
          <w:rFonts w:ascii="Verdana" w:hAnsi="Verdana" w:cs="Arial"/>
          <w:i/>
          <w:sz w:val="20"/>
          <w:lang w:val="es-CR"/>
        </w:rPr>
        <w:t>.</w:t>
      </w:r>
      <w:bookmarkEnd w:id="6"/>
    </w:p>
    <w:p w14:paraId="5B9B4E93" w14:textId="77777777" w:rsidR="00A03DC4" w:rsidRPr="0032068E" w:rsidRDefault="00A03DC4" w:rsidP="00A03DC4">
      <w:pPr>
        <w:spacing w:after="0" w:line="240" w:lineRule="auto"/>
        <w:ind w:right="1444"/>
        <w:jc w:val="both"/>
        <w:rPr>
          <w:rFonts w:ascii="Verdana" w:hAnsi="Verdana" w:cs="Arial"/>
          <w:sz w:val="20"/>
          <w:lang w:val="es-CR"/>
        </w:rPr>
      </w:pPr>
    </w:p>
    <w:p w14:paraId="702240D4" w14:textId="77777777" w:rsidR="00A03DC4" w:rsidRPr="0032068E" w:rsidRDefault="00A03DC4" w:rsidP="00211354">
      <w:pPr>
        <w:numPr>
          <w:ilvl w:val="0"/>
          <w:numId w:val="2"/>
        </w:numPr>
        <w:spacing w:after="0" w:line="240" w:lineRule="auto"/>
        <w:ind w:left="0" w:right="1444" w:firstLine="0"/>
        <w:contextualSpacing/>
        <w:jc w:val="both"/>
        <w:rPr>
          <w:rFonts w:ascii="Verdana" w:hAnsi="Verdana" w:cs="Arial"/>
          <w:b/>
          <w:strike/>
          <w:sz w:val="20"/>
          <w:lang w:val="es-CR"/>
        </w:rPr>
      </w:pPr>
      <w:bookmarkStart w:id="7" w:name="_Ref437850369"/>
      <w:r w:rsidRPr="0032068E">
        <w:rPr>
          <w:rFonts w:ascii="Verdana" w:hAnsi="Verdana" w:cs="Arial"/>
          <w:sz w:val="20"/>
          <w:lang w:val="es-CR"/>
        </w:rPr>
        <w:t>Los escritos de observaciones presentados por los representantes de las víctimas</w:t>
      </w:r>
      <w:r w:rsidR="00261D47" w:rsidRPr="0032068E">
        <w:rPr>
          <w:rFonts w:ascii="Verdana" w:hAnsi="Verdana" w:cs="Arial"/>
          <w:sz w:val="20"/>
          <w:lang w:val="es-CR"/>
        </w:rPr>
        <w:t xml:space="preserve"> de los </w:t>
      </w:r>
      <w:r w:rsidR="00261D47" w:rsidRPr="00211354">
        <w:rPr>
          <w:rFonts w:ascii="Verdana" w:hAnsi="Verdana" w:cs="Verdana"/>
          <w:sz w:val="20"/>
          <w:szCs w:val="20"/>
          <w:lang w:val="es-ES"/>
        </w:rPr>
        <w:t>distintos</w:t>
      </w:r>
      <w:r w:rsidR="00261D47" w:rsidRPr="0032068E">
        <w:rPr>
          <w:rFonts w:ascii="Verdana" w:hAnsi="Verdana" w:cs="Arial"/>
          <w:sz w:val="20"/>
          <w:lang w:val="es-CR"/>
        </w:rPr>
        <w:t xml:space="preserve"> casos</w:t>
      </w:r>
      <w:r w:rsidRPr="0032068E">
        <w:rPr>
          <w:rFonts w:ascii="Verdana" w:hAnsi="Verdana" w:cs="Arial"/>
          <w:sz w:val="20"/>
          <w:lang w:val="es-CR"/>
        </w:rPr>
        <w:t xml:space="preserve"> (en adelante “los representantes”)</w:t>
      </w:r>
      <w:r w:rsidRPr="0032068E">
        <w:rPr>
          <w:rStyle w:val="FootnoteReference"/>
          <w:rFonts w:ascii="Verdana" w:hAnsi="Verdana" w:cs="Arial"/>
          <w:sz w:val="20"/>
          <w:lang w:val="es-CR"/>
        </w:rPr>
        <w:footnoteReference w:id="17"/>
      </w:r>
      <w:r w:rsidRPr="0032068E">
        <w:rPr>
          <w:rFonts w:ascii="Verdana" w:hAnsi="Verdana" w:cs="Arial"/>
          <w:sz w:val="20"/>
          <w:lang w:val="es-CR"/>
        </w:rPr>
        <w:t xml:space="preserve"> entre los días 25 de mayo de 2011 y 16 de mayo de 2014 en </w:t>
      </w:r>
      <w:r w:rsidR="00261D47" w:rsidRPr="0032068E">
        <w:rPr>
          <w:rFonts w:ascii="Verdana" w:hAnsi="Verdana" w:cs="Arial"/>
          <w:sz w:val="20"/>
          <w:lang w:val="es-CR"/>
        </w:rPr>
        <w:t>once de los</w:t>
      </w:r>
      <w:r w:rsidRPr="0032068E">
        <w:rPr>
          <w:rFonts w:ascii="Verdana" w:hAnsi="Verdana" w:cs="Arial"/>
          <w:i/>
          <w:sz w:val="20"/>
          <w:lang w:val="es-CR"/>
        </w:rPr>
        <w:t xml:space="preserve"> </w:t>
      </w:r>
      <w:r w:rsidR="00261D47" w:rsidRPr="0032068E">
        <w:rPr>
          <w:rFonts w:ascii="Verdana" w:hAnsi="Verdana" w:cs="Arial"/>
          <w:sz w:val="20"/>
          <w:lang w:val="es-CR"/>
        </w:rPr>
        <w:t>c</w:t>
      </w:r>
      <w:r w:rsidRPr="0032068E">
        <w:rPr>
          <w:rFonts w:ascii="Verdana" w:hAnsi="Verdana" w:cs="Arial"/>
          <w:sz w:val="20"/>
          <w:lang w:val="es-CR"/>
        </w:rPr>
        <w:t>asos</w:t>
      </w:r>
      <w:r w:rsidRPr="0032068E">
        <w:rPr>
          <w:rStyle w:val="FootnoteReference"/>
          <w:rFonts w:ascii="Verdana" w:hAnsi="Verdana" w:cs="Arial"/>
          <w:sz w:val="20"/>
          <w:lang w:val="es-CR"/>
        </w:rPr>
        <w:footnoteReference w:id="18"/>
      </w:r>
      <w:r w:rsidRPr="0032068E">
        <w:rPr>
          <w:rFonts w:ascii="Verdana" w:hAnsi="Verdana" w:cs="Arial"/>
          <w:sz w:val="20"/>
          <w:lang w:val="es-CR"/>
        </w:rPr>
        <w:t>, en los que se hace referencia a la medida correspondiente a la obligación de investigar.</w:t>
      </w:r>
      <w:bookmarkEnd w:id="7"/>
    </w:p>
    <w:p w14:paraId="6D1E06A4" w14:textId="77777777" w:rsidR="00A03DC4" w:rsidRPr="0032068E" w:rsidRDefault="00A03DC4" w:rsidP="00A03DC4">
      <w:pPr>
        <w:spacing w:after="0" w:line="240" w:lineRule="auto"/>
        <w:ind w:right="1444"/>
        <w:jc w:val="both"/>
        <w:rPr>
          <w:rFonts w:ascii="Verdana" w:hAnsi="Verdana" w:cs="Arial"/>
          <w:b/>
          <w:strike/>
          <w:sz w:val="20"/>
          <w:lang w:val="es-CR"/>
        </w:rPr>
      </w:pPr>
    </w:p>
    <w:p w14:paraId="33F1A4B6" w14:textId="0732EE04" w:rsidR="00A03DC4" w:rsidRPr="0032068E" w:rsidRDefault="00A03DC4" w:rsidP="00211354">
      <w:pPr>
        <w:numPr>
          <w:ilvl w:val="0"/>
          <w:numId w:val="2"/>
        </w:numPr>
        <w:spacing w:after="0" w:line="240" w:lineRule="auto"/>
        <w:ind w:left="0" w:right="1444" w:firstLine="0"/>
        <w:contextualSpacing/>
        <w:jc w:val="both"/>
        <w:rPr>
          <w:rFonts w:ascii="Verdana" w:hAnsi="Verdana" w:cs="Arial"/>
          <w:b/>
          <w:strike/>
          <w:sz w:val="20"/>
          <w:lang w:val="es-CR"/>
        </w:rPr>
      </w:pPr>
      <w:bookmarkStart w:id="8" w:name="_Ref437850372"/>
      <w:r w:rsidRPr="0032068E">
        <w:rPr>
          <w:rFonts w:ascii="Verdana" w:hAnsi="Verdana" w:cs="Arial"/>
          <w:sz w:val="20"/>
          <w:lang w:val="es-CR"/>
        </w:rPr>
        <w:t xml:space="preserve">Los escritos de observaciones presentados por la Comisión Interamericana </w:t>
      </w:r>
      <w:r w:rsidRPr="0032068E">
        <w:rPr>
          <w:rFonts w:ascii="Verdana" w:hAnsi="Verdana" w:cs="Arial"/>
          <w:sz w:val="20"/>
          <w:lang w:val="es-ES"/>
        </w:rPr>
        <w:t xml:space="preserve">entre los días 25 de mayo de 2011 y 16 de mayo de 2014 en referencia a la obligación de investigar en </w:t>
      </w:r>
      <w:r w:rsidR="0003618E" w:rsidRPr="0032068E">
        <w:rPr>
          <w:rFonts w:ascii="Verdana" w:hAnsi="Verdana" w:cs="Arial"/>
          <w:sz w:val="20"/>
          <w:lang w:val="es-ES"/>
        </w:rPr>
        <w:t xml:space="preserve">los </w:t>
      </w:r>
      <w:r w:rsidR="005700BF" w:rsidRPr="00211354">
        <w:rPr>
          <w:rFonts w:ascii="Verdana" w:hAnsi="Verdana" w:cs="Verdana"/>
          <w:sz w:val="20"/>
          <w:szCs w:val="20"/>
          <w:lang w:val="es-ES"/>
        </w:rPr>
        <w:t>doce</w:t>
      </w:r>
      <w:r w:rsidR="005700BF" w:rsidRPr="0032068E">
        <w:rPr>
          <w:rFonts w:ascii="Verdana" w:hAnsi="Verdana" w:cs="Arial"/>
          <w:sz w:val="20"/>
          <w:lang w:val="es-ES"/>
        </w:rPr>
        <w:t xml:space="preserve"> casos</w:t>
      </w:r>
      <w:r w:rsidRPr="0032068E">
        <w:rPr>
          <w:rStyle w:val="FootnoteReference"/>
          <w:rFonts w:ascii="Verdana" w:hAnsi="Verdana" w:cs="Arial"/>
          <w:sz w:val="20"/>
          <w:lang w:val="es-ES"/>
        </w:rPr>
        <w:footnoteReference w:id="19"/>
      </w:r>
      <w:r w:rsidRPr="0032068E">
        <w:rPr>
          <w:rFonts w:ascii="Verdana" w:hAnsi="Verdana" w:cs="Arial"/>
          <w:sz w:val="20"/>
          <w:lang w:val="es-ES"/>
        </w:rPr>
        <w:t>.</w:t>
      </w:r>
      <w:bookmarkEnd w:id="8"/>
    </w:p>
    <w:p w14:paraId="58489995" w14:textId="77777777" w:rsidR="00A03DC4" w:rsidRPr="0032068E" w:rsidRDefault="00A03DC4" w:rsidP="00A03DC4">
      <w:pPr>
        <w:spacing w:after="0" w:line="240" w:lineRule="auto"/>
        <w:ind w:right="1444"/>
        <w:jc w:val="both"/>
        <w:rPr>
          <w:rFonts w:ascii="Verdana" w:hAnsi="Verdana" w:cs="Arial"/>
          <w:b/>
          <w:strike/>
          <w:sz w:val="20"/>
          <w:lang w:val="es-CR"/>
        </w:rPr>
      </w:pPr>
    </w:p>
    <w:p w14:paraId="7438BD32" w14:textId="7BDFAAB5" w:rsidR="00A03DC4" w:rsidRPr="0032068E" w:rsidRDefault="00A03DC4" w:rsidP="00211354">
      <w:pPr>
        <w:numPr>
          <w:ilvl w:val="0"/>
          <w:numId w:val="2"/>
        </w:numPr>
        <w:spacing w:after="0" w:line="240" w:lineRule="auto"/>
        <w:ind w:left="0" w:right="1444" w:firstLine="0"/>
        <w:contextualSpacing/>
        <w:jc w:val="both"/>
        <w:rPr>
          <w:rFonts w:ascii="Verdana" w:hAnsi="Verdana" w:cs="Arial"/>
          <w:b/>
          <w:strike/>
          <w:sz w:val="20"/>
          <w:lang w:val="es-CR"/>
        </w:rPr>
      </w:pPr>
      <w:bookmarkStart w:id="9" w:name="_Ref437281914"/>
      <w:r w:rsidRPr="0032068E">
        <w:rPr>
          <w:rFonts w:ascii="Verdana" w:hAnsi="Verdana" w:cs="Arial"/>
          <w:sz w:val="20"/>
          <w:lang w:val="es-CR"/>
        </w:rPr>
        <w:t xml:space="preserve">La audiencia privada de supervisión de cumplimiento de sentencia conjunta para </w:t>
      </w:r>
      <w:r w:rsidR="005700BF" w:rsidRPr="0032068E">
        <w:rPr>
          <w:rFonts w:ascii="Verdana" w:hAnsi="Verdana" w:cs="Arial"/>
          <w:sz w:val="20"/>
          <w:lang w:val="es-CR"/>
        </w:rPr>
        <w:t xml:space="preserve">los casos </w:t>
      </w:r>
      <w:r w:rsidR="005700BF" w:rsidRPr="0032068E">
        <w:rPr>
          <w:rFonts w:ascii="Verdana" w:hAnsi="Verdana" w:cs="Arial"/>
          <w:i/>
          <w:sz w:val="20"/>
          <w:lang w:val="es-CR"/>
        </w:rPr>
        <w:t xml:space="preserve">Blake, Niños de la Calle,  Bámaca Velásquez, Maritza Urrutia, Masacre de Plan de </w:t>
      </w:r>
      <w:r w:rsidR="005700BF" w:rsidRPr="00211354">
        <w:rPr>
          <w:rFonts w:ascii="Verdana" w:hAnsi="Verdana" w:cs="Verdana"/>
          <w:sz w:val="20"/>
          <w:szCs w:val="20"/>
          <w:lang w:val="es-ES"/>
        </w:rPr>
        <w:t>Sánchez</w:t>
      </w:r>
      <w:r w:rsidR="005700BF" w:rsidRPr="0032068E">
        <w:rPr>
          <w:rFonts w:ascii="Verdana" w:hAnsi="Verdana" w:cs="Arial"/>
          <w:i/>
          <w:sz w:val="20"/>
          <w:lang w:val="es-CR"/>
        </w:rPr>
        <w:t>, Molina Theissen, Tiu Tojín, Masacre de las Dos Erres, Carpio Nicolle, Chitay Nech y Mack Chang</w:t>
      </w:r>
      <w:r w:rsidRPr="0032068E">
        <w:rPr>
          <w:rFonts w:ascii="Verdana" w:hAnsi="Verdana" w:cs="Arial"/>
          <w:sz w:val="20"/>
          <w:lang w:val="es-CR"/>
        </w:rPr>
        <w:t>, celebrada el 16 de mayo de 2014 en la sede del Tribunal</w:t>
      </w:r>
      <w:r w:rsidR="00256F8B">
        <w:rPr>
          <w:rFonts w:ascii="Verdana" w:hAnsi="Verdana" w:cs="Arial"/>
          <w:sz w:val="20"/>
          <w:lang w:val="es-CR"/>
        </w:rPr>
        <w:t xml:space="preserve"> (</w:t>
      </w:r>
      <w:r w:rsidR="00256F8B" w:rsidRPr="00256F8B">
        <w:rPr>
          <w:rFonts w:ascii="Verdana" w:hAnsi="Verdana" w:cs="Arial"/>
          <w:i/>
          <w:sz w:val="20"/>
          <w:lang w:val="es-CR"/>
        </w:rPr>
        <w:t>infra</w:t>
      </w:r>
      <w:r w:rsidR="00256F8B">
        <w:rPr>
          <w:rFonts w:ascii="Verdana" w:hAnsi="Verdana" w:cs="Arial"/>
          <w:sz w:val="20"/>
          <w:lang w:val="es-CR"/>
        </w:rPr>
        <w:t xml:space="preserve"> Considerando 25)</w:t>
      </w:r>
      <w:r w:rsidRPr="0032068E">
        <w:rPr>
          <w:rFonts w:ascii="Verdana" w:hAnsi="Verdana" w:cs="Arial"/>
          <w:sz w:val="20"/>
          <w:lang w:val="es-CR"/>
        </w:rPr>
        <w:t>.</w:t>
      </w:r>
      <w:bookmarkEnd w:id="9"/>
    </w:p>
    <w:p w14:paraId="3FBF1FB9" w14:textId="77777777" w:rsidR="00A03DC4" w:rsidRPr="0032068E" w:rsidRDefault="00A03DC4" w:rsidP="00A03DC4">
      <w:pPr>
        <w:spacing w:after="0" w:line="240" w:lineRule="auto"/>
        <w:ind w:right="1444"/>
        <w:jc w:val="both"/>
        <w:rPr>
          <w:rFonts w:ascii="Verdana" w:hAnsi="Verdana" w:cs="Arial"/>
          <w:b/>
          <w:strike/>
          <w:sz w:val="20"/>
          <w:lang w:val="es-CR"/>
        </w:rPr>
      </w:pPr>
    </w:p>
    <w:p w14:paraId="2230E017" w14:textId="4271ADC1" w:rsidR="00A03DC4" w:rsidRPr="00256F8B" w:rsidRDefault="00A03DC4" w:rsidP="00211354">
      <w:pPr>
        <w:numPr>
          <w:ilvl w:val="0"/>
          <w:numId w:val="2"/>
        </w:numPr>
        <w:spacing w:after="0" w:line="240" w:lineRule="auto"/>
        <w:ind w:left="0" w:right="1444" w:firstLine="0"/>
        <w:contextualSpacing/>
        <w:jc w:val="both"/>
        <w:rPr>
          <w:rFonts w:ascii="Verdana" w:hAnsi="Verdana" w:cs="Arial"/>
          <w:sz w:val="20"/>
          <w:lang w:val="es-CR"/>
        </w:rPr>
      </w:pPr>
      <w:bookmarkStart w:id="10" w:name="_Ref437854689"/>
      <w:r w:rsidRPr="0032068E">
        <w:rPr>
          <w:rFonts w:ascii="Verdana" w:hAnsi="Verdana" w:cs="Arial"/>
          <w:sz w:val="20"/>
          <w:lang w:val="es-CR"/>
        </w:rPr>
        <w:t xml:space="preserve">Las notas de la Secretaría de la Corte de 18 y 27 de febrero de 2015, mediante las cuales, siguiendo instrucciones del Presidente de la Corte, se requirió información al Estado respecto de la obligación de investigar, juzgar y, en su caso, sancionar en los </w:t>
      </w:r>
      <w:r w:rsidR="00F079BE" w:rsidRPr="0032068E">
        <w:rPr>
          <w:rFonts w:ascii="Verdana" w:hAnsi="Verdana" w:cs="Arial"/>
          <w:sz w:val="20"/>
          <w:lang w:val="es-CR"/>
        </w:rPr>
        <w:t xml:space="preserve">casos referidos en la audiencia </w:t>
      </w:r>
      <w:r w:rsidR="00F079BE" w:rsidRPr="00256F8B">
        <w:rPr>
          <w:rFonts w:ascii="Verdana" w:hAnsi="Verdana" w:cs="Arial"/>
          <w:sz w:val="20"/>
          <w:lang w:val="es-CR"/>
        </w:rPr>
        <w:t>(</w:t>
      </w:r>
      <w:r w:rsidR="00F079BE" w:rsidRPr="00256F8B">
        <w:rPr>
          <w:rFonts w:ascii="Verdana" w:hAnsi="Verdana" w:cs="Arial"/>
          <w:i/>
          <w:sz w:val="20"/>
          <w:lang w:val="es-CR"/>
        </w:rPr>
        <w:t>supra</w:t>
      </w:r>
      <w:r w:rsidR="00F079BE" w:rsidRPr="00256F8B">
        <w:rPr>
          <w:rFonts w:ascii="Verdana" w:hAnsi="Verdana" w:cs="Arial"/>
          <w:sz w:val="20"/>
          <w:lang w:val="es-CR"/>
        </w:rPr>
        <w:t xml:space="preserve"> Visto </w:t>
      </w:r>
      <w:r w:rsidR="000A5B34" w:rsidRPr="00256F8B">
        <w:rPr>
          <w:rFonts w:ascii="Verdana" w:hAnsi="Verdana" w:cs="Arial"/>
          <w:sz w:val="20"/>
          <w:lang w:val="es-CR"/>
        </w:rPr>
        <w:fldChar w:fldCharType="begin"/>
      </w:r>
      <w:r w:rsidR="000A5B34" w:rsidRPr="00256F8B">
        <w:rPr>
          <w:rFonts w:ascii="Verdana" w:hAnsi="Verdana" w:cs="Arial"/>
          <w:sz w:val="20"/>
          <w:lang w:val="es-CR"/>
        </w:rPr>
        <w:instrText xml:space="preserve"> REF _Ref437281914 \r \h </w:instrText>
      </w:r>
      <w:r w:rsidR="004A422E" w:rsidRPr="00256F8B">
        <w:rPr>
          <w:rFonts w:ascii="Verdana" w:hAnsi="Verdana" w:cs="Arial"/>
          <w:sz w:val="20"/>
          <w:lang w:val="es-CR"/>
        </w:rPr>
        <w:instrText xml:space="preserve"> \* MERGEFORMAT </w:instrText>
      </w:r>
      <w:r w:rsidR="000A5B34" w:rsidRPr="00256F8B">
        <w:rPr>
          <w:rFonts w:ascii="Verdana" w:hAnsi="Verdana" w:cs="Arial"/>
          <w:sz w:val="20"/>
          <w:lang w:val="es-CR"/>
        </w:rPr>
      </w:r>
      <w:r w:rsidR="000A5B34" w:rsidRPr="00256F8B">
        <w:rPr>
          <w:rFonts w:ascii="Verdana" w:hAnsi="Verdana" w:cs="Arial"/>
          <w:sz w:val="20"/>
          <w:lang w:val="es-CR"/>
        </w:rPr>
        <w:fldChar w:fldCharType="separate"/>
      </w:r>
      <w:r w:rsidR="007E3C4B">
        <w:rPr>
          <w:rFonts w:ascii="Verdana" w:hAnsi="Verdana" w:cs="Arial"/>
          <w:sz w:val="20"/>
          <w:lang w:val="es-CR"/>
        </w:rPr>
        <w:t>10</w:t>
      </w:r>
      <w:r w:rsidR="000A5B34" w:rsidRPr="00256F8B">
        <w:rPr>
          <w:rFonts w:ascii="Verdana" w:hAnsi="Verdana" w:cs="Arial"/>
          <w:sz w:val="20"/>
          <w:lang w:val="es-CR"/>
        </w:rPr>
        <w:fldChar w:fldCharType="end"/>
      </w:r>
      <w:r w:rsidR="00F079BE" w:rsidRPr="00256F8B">
        <w:rPr>
          <w:rFonts w:ascii="Verdana" w:hAnsi="Verdana" w:cs="Arial"/>
          <w:sz w:val="20"/>
          <w:lang w:val="es-CR"/>
        </w:rPr>
        <w:t>)</w:t>
      </w:r>
      <w:r w:rsidRPr="00256F8B">
        <w:rPr>
          <w:rFonts w:ascii="Verdana" w:hAnsi="Verdana" w:cs="Arial"/>
          <w:sz w:val="20"/>
          <w:lang w:val="es-CR"/>
        </w:rPr>
        <w:t xml:space="preserve"> y el caso </w:t>
      </w:r>
      <w:r w:rsidR="00F079BE" w:rsidRPr="00256F8B">
        <w:rPr>
          <w:rFonts w:ascii="Verdana" w:hAnsi="Verdana" w:cs="Arial"/>
          <w:i/>
          <w:sz w:val="20"/>
          <w:lang w:val="es-CR"/>
        </w:rPr>
        <w:t>P</w:t>
      </w:r>
      <w:r w:rsidRPr="00256F8B">
        <w:rPr>
          <w:rFonts w:ascii="Verdana" w:hAnsi="Verdana" w:cs="Arial"/>
          <w:i/>
          <w:sz w:val="20"/>
          <w:lang w:val="es-CR"/>
        </w:rPr>
        <w:t>anel Blanca</w:t>
      </w:r>
      <w:r w:rsidRPr="00256F8B">
        <w:rPr>
          <w:rFonts w:ascii="Verdana" w:hAnsi="Verdana" w:cs="Arial"/>
          <w:sz w:val="20"/>
          <w:lang w:val="es-CR"/>
        </w:rPr>
        <w:t>, respectivamente.</w:t>
      </w:r>
      <w:bookmarkEnd w:id="10"/>
    </w:p>
    <w:p w14:paraId="48118AB4" w14:textId="77777777" w:rsidR="00A03DC4" w:rsidRPr="00256F8B" w:rsidRDefault="00A03DC4" w:rsidP="00A03DC4">
      <w:pPr>
        <w:spacing w:after="0" w:line="240" w:lineRule="auto"/>
        <w:ind w:right="1444"/>
        <w:jc w:val="both"/>
        <w:rPr>
          <w:rFonts w:ascii="Verdana" w:hAnsi="Verdana" w:cs="Arial"/>
          <w:sz w:val="20"/>
          <w:lang w:val="es-CR"/>
        </w:rPr>
      </w:pPr>
    </w:p>
    <w:p w14:paraId="6402E5A5" w14:textId="5A571847" w:rsidR="00A03DC4" w:rsidRPr="00256F8B" w:rsidRDefault="00A03DC4" w:rsidP="00211354">
      <w:pPr>
        <w:numPr>
          <w:ilvl w:val="0"/>
          <w:numId w:val="2"/>
        </w:numPr>
        <w:spacing w:after="0" w:line="240" w:lineRule="auto"/>
        <w:ind w:left="0" w:right="1444" w:firstLine="0"/>
        <w:contextualSpacing/>
        <w:jc w:val="both"/>
        <w:rPr>
          <w:rFonts w:ascii="Verdana" w:hAnsi="Verdana" w:cs="Arial"/>
          <w:sz w:val="20"/>
          <w:lang w:val="es-CR"/>
        </w:rPr>
      </w:pPr>
      <w:bookmarkStart w:id="11" w:name="_Ref437282274"/>
      <w:r w:rsidRPr="00256F8B">
        <w:rPr>
          <w:rFonts w:ascii="Verdana" w:hAnsi="Verdana" w:cs="Arial"/>
          <w:sz w:val="20"/>
          <w:lang w:val="es-CR"/>
        </w:rPr>
        <w:t>Los informes presentados por el Estado</w:t>
      </w:r>
      <w:r w:rsidR="00256F8B">
        <w:rPr>
          <w:rFonts w:ascii="Verdana" w:hAnsi="Verdana" w:cs="Arial"/>
          <w:sz w:val="20"/>
          <w:lang w:val="es-CR"/>
        </w:rPr>
        <w:t xml:space="preserve"> </w:t>
      </w:r>
      <w:r w:rsidR="00256F8B" w:rsidRPr="00256F8B">
        <w:rPr>
          <w:rFonts w:ascii="Verdana" w:hAnsi="Verdana" w:cs="Arial"/>
          <w:sz w:val="20"/>
          <w:lang w:val="es-CR"/>
        </w:rPr>
        <w:t>entre abril y noviembre de 2015</w:t>
      </w:r>
      <w:r w:rsidR="005F5ABC" w:rsidRPr="00256F8B">
        <w:rPr>
          <w:rFonts w:ascii="Verdana" w:hAnsi="Verdana" w:cs="Arial"/>
          <w:sz w:val="20"/>
          <w:lang w:val="es-CR"/>
        </w:rPr>
        <w:t>,</w:t>
      </w:r>
      <w:r w:rsidRPr="00256F8B">
        <w:rPr>
          <w:rFonts w:ascii="Verdana" w:hAnsi="Verdana" w:cs="Arial"/>
          <w:sz w:val="20"/>
          <w:lang w:val="es-CR"/>
        </w:rPr>
        <w:t xml:space="preserve"> con posterioridad a la celebración de la </w:t>
      </w:r>
      <w:r w:rsidR="00256F8B">
        <w:rPr>
          <w:rFonts w:ascii="Verdana" w:hAnsi="Verdana" w:cs="Arial"/>
          <w:sz w:val="20"/>
          <w:lang w:val="es-CR"/>
        </w:rPr>
        <w:t xml:space="preserve">referida </w:t>
      </w:r>
      <w:r w:rsidRPr="00256F8B">
        <w:rPr>
          <w:rFonts w:ascii="Verdana" w:hAnsi="Verdana" w:cs="Arial"/>
          <w:sz w:val="20"/>
          <w:lang w:val="es-CR"/>
        </w:rPr>
        <w:t xml:space="preserve">audiencia de supervisión de cumplimiento de sentencia conjunta </w:t>
      </w:r>
      <w:r w:rsidR="00657DDA" w:rsidRPr="00256F8B">
        <w:rPr>
          <w:rFonts w:ascii="Verdana" w:hAnsi="Verdana" w:cs="Arial"/>
          <w:sz w:val="20"/>
          <w:lang w:val="es-CR"/>
        </w:rPr>
        <w:t>(</w:t>
      </w:r>
      <w:r w:rsidR="00657DDA" w:rsidRPr="00256F8B">
        <w:rPr>
          <w:rFonts w:ascii="Verdana" w:hAnsi="Verdana" w:cs="Arial"/>
          <w:i/>
          <w:sz w:val="20"/>
          <w:lang w:val="es-CR"/>
        </w:rPr>
        <w:t>supra</w:t>
      </w:r>
      <w:r w:rsidR="00657DDA" w:rsidRPr="00256F8B">
        <w:rPr>
          <w:rFonts w:ascii="Verdana" w:hAnsi="Verdana" w:cs="Arial"/>
          <w:sz w:val="20"/>
          <w:lang w:val="es-CR"/>
        </w:rPr>
        <w:t xml:space="preserve"> Visto </w:t>
      </w:r>
      <w:r w:rsidR="00657DDA" w:rsidRPr="00256F8B">
        <w:rPr>
          <w:rFonts w:ascii="Verdana" w:hAnsi="Verdana" w:cs="Arial"/>
          <w:sz w:val="20"/>
          <w:lang w:val="es-CR"/>
        </w:rPr>
        <w:fldChar w:fldCharType="begin"/>
      </w:r>
      <w:r w:rsidR="00657DDA" w:rsidRPr="00256F8B">
        <w:rPr>
          <w:rFonts w:ascii="Verdana" w:hAnsi="Verdana" w:cs="Arial"/>
          <w:sz w:val="20"/>
          <w:lang w:val="es-CR"/>
        </w:rPr>
        <w:instrText xml:space="preserve"> REF _Ref437281914 \r \h </w:instrText>
      </w:r>
      <w:r w:rsidR="00256F8B">
        <w:rPr>
          <w:rFonts w:ascii="Verdana" w:hAnsi="Verdana" w:cs="Arial"/>
          <w:sz w:val="20"/>
          <w:lang w:val="es-CR"/>
        </w:rPr>
        <w:instrText xml:space="preserve"> \* MERGEFORMAT </w:instrText>
      </w:r>
      <w:r w:rsidR="00657DDA" w:rsidRPr="00256F8B">
        <w:rPr>
          <w:rFonts w:ascii="Verdana" w:hAnsi="Verdana" w:cs="Arial"/>
          <w:sz w:val="20"/>
          <w:lang w:val="es-CR"/>
        </w:rPr>
      </w:r>
      <w:r w:rsidR="00657DDA" w:rsidRPr="00256F8B">
        <w:rPr>
          <w:rFonts w:ascii="Verdana" w:hAnsi="Verdana" w:cs="Arial"/>
          <w:sz w:val="20"/>
          <w:lang w:val="es-CR"/>
        </w:rPr>
        <w:fldChar w:fldCharType="separate"/>
      </w:r>
      <w:r w:rsidR="007E3C4B">
        <w:rPr>
          <w:rFonts w:ascii="Verdana" w:hAnsi="Verdana" w:cs="Arial"/>
          <w:sz w:val="20"/>
          <w:lang w:val="es-CR"/>
        </w:rPr>
        <w:t>10</w:t>
      </w:r>
      <w:r w:rsidR="00657DDA" w:rsidRPr="00256F8B">
        <w:rPr>
          <w:rFonts w:ascii="Verdana" w:hAnsi="Verdana" w:cs="Arial"/>
          <w:sz w:val="20"/>
          <w:lang w:val="es-CR"/>
        </w:rPr>
        <w:fldChar w:fldCharType="end"/>
      </w:r>
      <w:r w:rsidR="00657DDA" w:rsidRPr="00256F8B">
        <w:rPr>
          <w:rFonts w:ascii="Verdana" w:hAnsi="Verdana" w:cs="Arial"/>
          <w:sz w:val="20"/>
          <w:lang w:val="es-CR"/>
        </w:rPr>
        <w:t>)</w:t>
      </w:r>
      <w:r w:rsidRPr="00256F8B">
        <w:rPr>
          <w:rStyle w:val="FootnoteReference"/>
          <w:rFonts w:ascii="Verdana" w:hAnsi="Verdana" w:cs="Arial"/>
          <w:sz w:val="20"/>
          <w:lang w:val="es-CR"/>
        </w:rPr>
        <w:footnoteReference w:id="20"/>
      </w:r>
      <w:r w:rsidRPr="00256F8B">
        <w:rPr>
          <w:rFonts w:ascii="Verdana" w:hAnsi="Verdana" w:cs="Arial"/>
          <w:sz w:val="20"/>
          <w:lang w:val="es-CR"/>
        </w:rPr>
        <w:t>.</w:t>
      </w:r>
      <w:bookmarkEnd w:id="11"/>
      <w:r w:rsidR="00F7433B" w:rsidRPr="00256F8B">
        <w:rPr>
          <w:rFonts w:ascii="Verdana" w:hAnsi="Verdana" w:cs="Arial"/>
          <w:sz w:val="20"/>
          <w:lang w:val="es-CR"/>
        </w:rPr>
        <w:t xml:space="preserve"> </w:t>
      </w:r>
    </w:p>
    <w:p w14:paraId="23D2183A" w14:textId="77777777" w:rsidR="00F7433B" w:rsidRPr="00256F8B" w:rsidRDefault="00F7433B" w:rsidP="00D901B8">
      <w:pPr>
        <w:spacing w:after="0" w:line="240" w:lineRule="auto"/>
        <w:ind w:left="720" w:right="1444" w:hanging="720"/>
        <w:jc w:val="both"/>
        <w:rPr>
          <w:rFonts w:ascii="Verdana" w:hAnsi="Verdana" w:cs="Arial"/>
          <w:sz w:val="20"/>
          <w:lang w:val="es-CR"/>
        </w:rPr>
      </w:pPr>
    </w:p>
    <w:p w14:paraId="4F71F394" w14:textId="272143AC" w:rsidR="00A03DC4" w:rsidRPr="00256F8B" w:rsidRDefault="00A03DC4" w:rsidP="00A03DC4">
      <w:pPr>
        <w:numPr>
          <w:ilvl w:val="0"/>
          <w:numId w:val="2"/>
        </w:numPr>
        <w:spacing w:after="0" w:line="240" w:lineRule="auto"/>
        <w:ind w:left="0" w:right="1444" w:firstLine="0"/>
        <w:contextualSpacing/>
        <w:jc w:val="both"/>
        <w:rPr>
          <w:rFonts w:ascii="Verdana" w:hAnsi="Verdana" w:cs="Arial"/>
          <w:sz w:val="20"/>
          <w:lang w:val="es-CR"/>
        </w:rPr>
      </w:pPr>
      <w:bookmarkStart w:id="12" w:name="_Ref437854876"/>
      <w:r w:rsidRPr="00256F8B">
        <w:rPr>
          <w:rFonts w:ascii="Verdana" w:hAnsi="Verdana" w:cs="Verdana"/>
          <w:sz w:val="20"/>
          <w:szCs w:val="20"/>
          <w:lang w:val="es-ES"/>
        </w:rPr>
        <w:t>Los</w:t>
      </w:r>
      <w:r w:rsidRPr="00256F8B">
        <w:rPr>
          <w:rFonts w:ascii="Verdana" w:hAnsi="Verdana" w:cs="Arial"/>
          <w:sz w:val="20"/>
          <w:lang w:val="es-CR"/>
        </w:rPr>
        <w:t xml:space="preserve"> escritos de observaciones </w:t>
      </w:r>
      <w:r w:rsidR="00840DEE" w:rsidRPr="00256F8B">
        <w:rPr>
          <w:rFonts w:ascii="Verdana" w:hAnsi="Verdana" w:cs="Arial"/>
          <w:sz w:val="20"/>
          <w:lang w:val="es-CR"/>
        </w:rPr>
        <w:t xml:space="preserve">de </w:t>
      </w:r>
      <w:r w:rsidRPr="00256F8B">
        <w:rPr>
          <w:rFonts w:ascii="Verdana" w:hAnsi="Verdana" w:cs="Arial"/>
          <w:sz w:val="20"/>
          <w:lang w:val="es-CR"/>
        </w:rPr>
        <w:t xml:space="preserve">los representantes </w:t>
      </w:r>
      <w:r w:rsidR="00840DEE" w:rsidRPr="00256F8B">
        <w:rPr>
          <w:rFonts w:ascii="Verdana" w:hAnsi="Verdana" w:cs="Arial"/>
          <w:sz w:val="20"/>
          <w:lang w:val="es-CR"/>
        </w:rPr>
        <w:t xml:space="preserve">a los informes presentados por el Estado </w:t>
      </w:r>
      <w:r w:rsidRPr="00256F8B">
        <w:rPr>
          <w:rFonts w:ascii="Verdana" w:hAnsi="Verdana" w:cs="Arial"/>
          <w:sz w:val="20"/>
          <w:lang w:val="es-CR"/>
        </w:rPr>
        <w:t>con posterioridad a la audiencia</w:t>
      </w:r>
      <w:r w:rsidR="00840DEE" w:rsidRPr="00256F8B">
        <w:rPr>
          <w:rFonts w:ascii="Verdana" w:hAnsi="Verdana" w:cs="Arial"/>
          <w:sz w:val="20"/>
          <w:lang w:val="es-CR"/>
        </w:rPr>
        <w:t xml:space="preserve"> (</w:t>
      </w:r>
      <w:r w:rsidR="00840DEE" w:rsidRPr="00256F8B">
        <w:rPr>
          <w:rFonts w:ascii="Verdana" w:hAnsi="Verdana" w:cs="Arial"/>
          <w:i/>
          <w:sz w:val="20"/>
          <w:lang w:val="es-CR"/>
        </w:rPr>
        <w:t>supra</w:t>
      </w:r>
      <w:r w:rsidR="00840DEE" w:rsidRPr="00256F8B">
        <w:rPr>
          <w:rFonts w:ascii="Verdana" w:hAnsi="Verdana" w:cs="Arial"/>
          <w:sz w:val="20"/>
          <w:lang w:val="es-CR"/>
        </w:rPr>
        <w:t xml:space="preserve"> Visto </w:t>
      </w:r>
      <w:r w:rsidR="001D216C" w:rsidRPr="00256F8B">
        <w:rPr>
          <w:rFonts w:ascii="Verdana" w:hAnsi="Verdana" w:cs="Arial"/>
          <w:sz w:val="20"/>
          <w:lang w:val="es-CR"/>
        </w:rPr>
        <w:fldChar w:fldCharType="begin"/>
      </w:r>
      <w:r w:rsidR="001D216C" w:rsidRPr="00256F8B">
        <w:rPr>
          <w:rFonts w:ascii="Verdana" w:hAnsi="Verdana" w:cs="Arial"/>
          <w:sz w:val="20"/>
          <w:lang w:val="es-CR"/>
        </w:rPr>
        <w:instrText xml:space="preserve"> REF _Ref437282274 \r \h </w:instrText>
      </w:r>
      <w:r w:rsidR="00256F8B">
        <w:rPr>
          <w:rFonts w:ascii="Verdana" w:hAnsi="Verdana" w:cs="Arial"/>
          <w:sz w:val="20"/>
          <w:lang w:val="es-CR"/>
        </w:rPr>
        <w:instrText xml:space="preserve"> \* MERGEFORMAT </w:instrText>
      </w:r>
      <w:r w:rsidR="001D216C" w:rsidRPr="00256F8B">
        <w:rPr>
          <w:rFonts w:ascii="Verdana" w:hAnsi="Verdana" w:cs="Arial"/>
          <w:sz w:val="20"/>
          <w:lang w:val="es-CR"/>
        </w:rPr>
      </w:r>
      <w:r w:rsidR="001D216C" w:rsidRPr="00256F8B">
        <w:rPr>
          <w:rFonts w:ascii="Verdana" w:hAnsi="Verdana" w:cs="Arial"/>
          <w:sz w:val="20"/>
          <w:lang w:val="es-CR"/>
        </w:rPr>
        <w:fldChar w:fldCharType="separate"/>
      </w:r>
      <w:r w:rsidR="007E3C4B">
        <w:rPr>
          <w:rFonts w:ascii="Verdana" w:hAnsi="Verdana" w:cs="Arial"/>
          <w:sz w:val="20"/>
          <w:lang w:val="es-CR"/>
        </w:rPr>
        <w:t>12</w:t>
      </w:r>
      <w:r w:rsidR="001D216C" w:rsidRPr="00256F8B">
        <w:rPr>
          <w:rFonts w:ascii="Verdana" w:hAnsi="Verdana" w:cs="Arial"/>
          <w:sz w:val="20"/>
          <w:lang w:val="es-CR"/>
        </w:rPr>
        <w:fldChar w:fldCharType="end"/>
      </w:r>
      <w:r w:rsidR="00840DEE" w:rsidRPr="00256F8B">
        <w:rPr>
          <w:rFonts w:ascii="Verdana" w:hAnsi="Verdana" w:cs="Arial"/>
          <w:sz w:val="20"/>
          <w:lang w:val="es-CR"/>
        </w:rPr>
        <w:t>)</w:t>
      </w:r>
      <w:r w:rsidRPr="00256F8B">
        <w:rPr>
          <w:rStyle w:val="FootnoteReference"/>
          <w:rFonts w:ascii="Verdana" w:hAnsi="Verdana" w:cs="Arial"/>
          <w:sz w:val="20"/>
          <w:lang w:val="es-CR"/>
        </w:rPr>
        <w:footnoteReference w:id="21"/>
      </w:r>
      <w:r w:rsidRPr="00256F8B">
        <w:rPr>
          <w:rFonts w:ascii="Verdana" w:hAnsi="Verdana" w:cs="Arial"/>
          <w:sz w:val="20"/>
          <w:lang w:val="es-CR"/>
        </w:rPr>
        <w:t>.</w:t>
      </w:r>
      <w:bookmarkEnd w:id="12"/>
      <w:r w:rsidRPr="00256F8B">
        <w:rPr>
          <w:rFonts w:ascii="Verdana" w:hAnsi="Verdana" w:cs="Arial"/>
          <w:sz w:val="20"/>
          <w:lang w:val="es-CR"/>
        </w:rPr>
        <w:t xml:space="preserve"> </w:t>
      </w:r>
    </w:p>
    <w:p w14:paraId="369CF2D6" w14:textId="77777777" w:rsidR="001D216C" w:rsidRPr="001D216C" w:rsidRDefault="001D216C" w:rsidP="001D216C">
      <w:pPr>
        <w:spacing w:after="0" w:line="240" w:lineRule="auto"/>
        <w:ind w:right="1444"/>
        <w:contextualSpacing/>
        <w:jc w:val="both"/>
        <w:rPr>
          <w:rFonts w:ascii="Verdana" w:hAnsi="Verdana" w:cs="Arial"/>
          <w:sz w:val="20"/>
          <w:lang w:val="es-CR"/>
        </w:rPr>
      </w:pPr>
    </w:p>
    <w:p w14:paraId="619A441D" w14:textId="6B5DBC52" w:rsidR="00FF3893" w:rsidRPr="00820F53" w:rsidRDefault="00B75A3A" w:rsidP="00211354">
      <w:pPr>
        <w:numPr>
          <w:ilvl w:val="0"/>
          <w:numId w:val="2"/>
        </w:numPr>
        <w:spacing w:after="0" w:line="240" w:lineRule="auto"/>
        <w:ind w:left="0" w:right="1444" w:firstLine="0"/>
        <w:contextualSpacing/>
        <w:jc w:val="both"/>
        <w:rPr>
          <w:rFonts w:ascii="Verdana" w:hAnsi="Verdana"/>
          <w:b/>
          <w:sz w:val="20"/>
          <w:szCs w:val="20"/>
          <w:lang w:val="es-CR"/>
        </w:rPr>
      </w:pPr>
      <w:bookmarkStart w:id="13" w:name="_Ref437854881"/>
      <w:r w:rsidRPr="00820F53">
        <w:rPr>
          <w:rFonts w:ascii="Verdana" w:hAnsi="Verdana" w:cs="Arial"/>
          <w:sz w:val="20"/>
          <w:lang w:val="es-CR"/>
        </w:rPr>
        <w:t>Los</w:t>
      </w:r>
      <w:r w:rsidR="00A03DC4" w:rsidRPr="00820F53">
        <w:rPr>
          <w:rFonts w:ascii="Verdana" w:hAnsi="Verdana" w:cs="Arial"/>
          <w:sz w:val="20"/>
          <w:lang w:val="es-CR"/>
        </w:rPr>
        <w:t xml:space="preserve"> escrito</w:t>
      </w:r>
      <w:r w:rsidRPr="00820F53">
        <w:rPr>
          <w:rFonts w:ascii="Verdana" w:hAnsi="Verdana" w:cs="Arial"/>
          <w:sz w:val="20"/>
          <w:lang w:val="es-CR"/>
        </w:rPr>
        <w:t>s</w:t>
      </w:r>
      <w:r w:rsidR="00A03DC4" w:rsidRPr="00820F53">
        <w:rPr>
          <w:rFonts w:ascii="Verdana" w:hAnsi="Verdana" w:cs="Arial"/>
          <w:sz w:val="20"/>
          <w:lang w:val="es-CR"/>
        </w:rPr>
        <w:t xml:space="preserve"> de observaciones presentado</w:t>
      </w:r>
      <w:r w:rsidRPr="00820F53">
        <w:rPr>
          <w:rFonts w:ascii="Verdana" w:hAnsi="Verdana" w:cs="Arial"/>
          <w:sz w:val="20"/>
          <w:lang w:val="es-CR"/>
        </w:rPr>
        <w:t>s</w:t>
      </w:r>
      <w:r w:rsidR="00A03DC4" w:rsidRPr="00820F53">
        <w:rPr>
          <w:rFonts w:ascii="Verdana" w:hAnsi="Verdana" w:cs="Arial"/>
          <w:sz w:val="20"/>
          <w:lang w:val="es-CR"/>
        </w:rPr>
        <w:t xml:space="preserve"> por la Comisión</w:t>
      </w:r>
      <w:r w:rsidRPr="00820F53">
        <w:rPr>
          <w:rFonts w:ascii="Verdana" w:hAnsi="Verdana" w:cs="Arial"/>
          <w:sz w:val="20"/>
          <w:lang w:val="es-CR"/>
        </w:rPr>
        <w:t xml:space="preserve"> con posterioridad a la audiencia</w:t>
      </w:r>
      <w:r w:rsidR="00B87803" w:rsidRPr="00820F53">
        <w:rPr>
          <w:rFonts w:ascii="Verdana" w:hAnsi="Verdana" w:cs="Arial"/>
          <w:sz w:val="20"/>
          <w:lang w:val="es-CR"/>
        </w:rPr>
        <w:t xml:space="preserve"> conjunta</w:t>
      </w:r>
      <w:r w:rsidRPr="00820F53">
        <w:rPr>
          <w:rFonts w:ascii="Verdana" w:hAnsi="Verdana" w:cs="Arial"/>
          <w:sz w:val="20"/>
          <w:lang w:val="es-CR"/>
        </w:rPr>
        <w:t xml:space="preserve"> de supervisión de cu</w:t>
      </w:r>
      <w:r w:rsidR="00B87803" w:rsidRPr="00820F53">
        <w:rPr>
          <w:rFonts w:ascii="Verdana" w:hAnsi="Verdana" w:cs="Arial"/>
          <w:sz w:val="20"/>
          <w:lang w:val="es-CR"/>
        </w:rPr>
        <w:t>mplimiento de las sentencias</w:t>
      </w:r>
      <w:r w:rsidRPr="00820F53">
        <w:rPr>
          <w:rStyle w:val="FootnoteReference"/>
          <w:rFonts w:ascii="Verdana" w:hAnsi="Verdana" w:cs="Arial"/>
          <w:sz w:val="20"/>
          <w:lang w:val="es-CR"/>
        </w:rPr>
        <w:footnoteReference w:id="22"/>
      </w:r>
      <w:r w:rsidRPr="00820F53">
        <w:rPr>
          <w:rFonts w:ascii="Verdana" w:hAnsi="Verdana" w:cs="Arial"/>
          <w:sz w:val="20"/>
          <w:lang w:val="es-CR"/>
        </w:rPr>
        <w:t>.</w:t>
      </w:r>
      <w:bookmarkEnd w:id="13"/>
    </w:p>
    <w:p w14:paraId="7633F415" w14:textId="77777777" w:rsidR="00B75A3A" w:rsidRPr="0032068E" w:rsidRDefault="00B75A3A" w:rsidP="00B75A3A">
      <w:pPr>
        <w:spacing w:after="0" w:line="240" w:lineRule="auto"/>
        <w:ind w:right="1444"/>
        <w:jc w:val="both"/>
        <w:rPr>
          <w:rFonts w:ascii="Verdana" w:hAnsi="Verdana"/>
          <w:b/>
          <w:sz w:val="20"/>
          <w:szCs w:val="20"/>
          <w:lang w:val="es-CR"/>
        </w:rPr>
      </w:pPr>
    </w:p>
    <w:p w14:paraId="17F14E94" w14:textId="77777777" w:rsidR="0044657F" w:rsidRPr="0032068E" w:rsidRDefault="0044657F" w:rsidP="00B75A3A">
      <w:pPr>
        <w:spacing w:after="0" w:line="240" w:lineRule="auto"/>
        <w:ind w:right="1444"/>
        <w:jc w:val="both"/>
        <w:rPr>
          <w:rFonts w:ascii="Verdana" w:hAnsi="Verdana"/>
          <w:b/>
          <w:sz w:val="20"/>
          <w:szCs w:val="20"/>
          <w:lang w:val="es-CR"/>
        </w:rPr>
      </w:pPr>
    </w:p>
    <w:p w14:paraId="4227CAE1" w14:textId="77777777" w:rsidR="00FF3893" w:rsidRPr="0032068E" w:rsidRDefault="00FF3893" w:rsidP="00FF3893">
      <w:pPr>
        <w:ind w:right="1444"/>
        <w:rPr>
          <w:rFonts w:ascii="Verdana" w:hAnsi="Verdana"/>
          <w:b/>
          <w:sz w:val="20"/>
          <w:szCs w:val="20"/>
          <w:lang w:val="es-CR"/>
        </w:rPr>
      </w:pPr>
      <w:r w:rsidRPr="0032068E">
        <w:rPr>
          <w:rFonts w:ascii="Verdana" w:hAnsi="Verdana"/>
          <w:b/>
          <w:sz w:val="20"/>
          <w:szCs w:val="20"/>
          <w:lang w:val="es-CR"/>
        </w:rPr>
        <w:t>CONSIDERANDO QUE:</w:t>
      </w:r>
    </w:p>
    <w:p w14:paraId="0B9F0052" w14:textId="3CE64EE0" w:rsidR="000323FD" w:rsidRPr="0032068E" w:rsidRDefault="000323FD" w:rsidP="000323FD">
      <w:pPr>
        <w:numPr>
          <w:ilvl w:val="0"/>
          <w:numId w:val="2"/>
        </w:numPr>
        <w:spacing w:after="0" w:line="240" w:lineRule="auto"/>
        <w:ind w:left="0" w:right="1444" w:firstLine="0"/>
        <w:contextualSpacing/>
        <w:jc w:val="both"/>
        <w:rPr>
          <w:rFonts w:ascii="Verdana" w:hAnsi="Verdana" w:cs="Arial"/>
          <w:sz w:val="20"/>
          <w:lang w:val="es-CR"/>
        </w:rPr>
      </w:pPr>
      <w:r w:rsidRPr="0032068E">
        <w:rPr>
          <w:rFonts w:ascii="Verdana" w:hAnsi="Verdana"/>
          <w:sz w:val="20"/>
          <w:lang w:val="es-ES"/>
        </w:rPr>
        <w:t>En el ejercicio de su función jurisdiccional de supervisar el cumplimiento de sus decisiones</w:t>
      </w:r>
      <w:r w:rsidRPr="0032068E">
        <w:rPr>
          <w:rFonts w:ascii="Verdana" w:hAnsi="Verdana"/>
          <w:sz w:val="20"/>
          <w:vertAlign w:val="superscript"/>
        </w:rPr>
        <w:footnoteReference w:id="23"/>
      </w:r>
      <w:r w:rsidRPr="0032068E">
        <w:rPr>
          <w:rFonts w:ascii="Verdana" w:hAnsi="Verdana"/>
          <w:sz w:val="20"/>
          <w:lang w:val="es-ES"/>
        </w:rPr>
        <w:t xml:space="preserve">, la Corte ha venido supervisando la ejecución de las Sentencias emitidas </w:t>
      </w:r>
      <w:r w:rsidRPr="0032068E">
        <w:rPr>
          <w:rFonts w:ascii="Verdana" w:hAnsi="Verdana"/>
          <w:sz w:val="20"/>
          <w:lang w:val="es-MX"/>
        </w:rPr>
        <w:t xml:space="preserve">en los </w:t>
      </w:r>
      <w:r w:rsidRPr="0032068E">
        <w:rPr>
          <w:rFonts w:ascii="Verdana" w:hAnsi="Verdana"/>
          <w:i/>
          <w:sz w:val="20"/>
          <w:lang w:val="es-MX"/>
        </w:rPr>
        <w:t xml:space="preserve">12 Casos </w:t>
      </w:r>
      <w:r w:rsidRPr="0032068E">
        <w:rPr>
          <w:rFonts w:ascii="Verdana" w:hAnsi="Verdana"/>
          <w:sz w:val="20"/>
          <w:lang w:val="es-MX"/>
        </w:rPr>
        <w:t xml:space="preserve">desde 1999 </w:t>
      </w:r>
      <w:r w:rsidRPr="00256F8B">
        <w:rPr>
          <w:rFonts w:ascii="Verdana" w:hAnsi="Verdana"/>
          <w:sz w:val="20"/>
          <w:lang w:val="es-MX"/>
        </w:rPr>
        <w:t>(</w:t>
      </w:r>
      <w:r w:rsidRPr="00256F8B">
        <w:rPr>
          <w:rFonts w:ascii="Verdana" w:hAnsi="Verdana"/>
          <w:i/>
          <w:sz w:val="20"/>
          <w:lang w:val="es-MX"/>
        </w:rPr>
        <w:t>supra</w:t>
      </w:r>
      <w:r w:rsidRPr="00256F8B">
        <w:rPr>
          <w:rFonts w:ascii="Verdana" w:hAnsi="Verdana"/>
          <w:sz w:val="20"/>
          <w:lang w:val="es-MX"/>
        </w:rPr>
        <w:t xml:space="preserve"> </w:t>
      </w:r>
      <w:r w:rsidR="00256F8B" w:rsidRPr="00256F8B">
        <w:rPr>
          <w:rFonts w:ascii="Verdana" w:hAnsi="Verdana"/>
          <w:sz w:val="20"/>
          <w:lang w:val="es-MX"/>
        </w:rPr>
        <w:t xml:space="preserve">párr. </w:t>
      </w:r>
      <w:r w:rsidR="00820F53" w:rsidRPr="00256F8B">
        <w:rPr>
          <w:rFonts w:ascii="Verdana" w:hAnsi="Verdana"/>
          <w:sz w:val="20"/>
          <w:lang w:val="es-MX"/>
        </w:rPr>
        <w:fldChar w:fldCharType="begin"/>
      </w:r>
      <w:r w:rsidR="00820F53" w:rsidRPr="00256F8B">
        <w:rPr>
          <w:rFonts w:ascii="Verdana" w:hAnsi="Verdana"/>
          <w:sz w:val="20"/>
          <w:lang w:val="es-MX"/>
        </w:rPr>
        <w:instrText xml:space="preserve"> REF _Ref437012689 \r \h </w:instrText>
      </w:r>
      <w:r w:rsidR="004A422E" w:rsidRPr="00256F8B">
        <w:rPr>
          <w:rFonts w:ascii="Verdana" w:hAnsi="Verdana"/>
          <w:sz w:val="20"/>
          <w:lang w:val="es-MX"/>
        </w:rPr>
        <w:instrText xml:space="preserve"> \* MERGEFORMAT </w:instrText>
      </w:r>
      <w:r w:rsidR="00820F53" w:rsidRPr="00256F8B">
        <w:rPr>
          <w:rFonts w:ascii="Verdana" w:hAnsi="Verdana"/>
          <w:sz w:val="20"/>
          <w:lang w:val="es-MX"/>
        </w:rPr>
      </w:r>
      <w:r w:rsidR="00820F53" w:rsidRPr="00256F8B">
        <w:rPr>
          <w:rFonts w:ascii="Verdana" w:hAnsi="Verdana"/>
          <w:sz w:val="20"/>
          <w:lang w:val="es-MX"/>
        </w:rPr>
        <w:fldChar w:fldCharType="separate"/>
      </w:r>
      <w:r w:rsidR="007E3C4B">
        <w:rPr>
          <w:rFonts w:ascii="Verdana" w:hAnsi="Verdana"/>
          <w:sz w:val="20"/>
          <w:lang w:val="es-MX"/>
        </w:rPr>
        <w:t>1</w:t>
      </w:r>
      <w:r w:rsidR="00820F53" w:rsidRPr="00256F8B">
        <w:rPr>
          <w:rFonts w:ascii="Verdana" w:hAnsi="Verdana"/>
          <w:sz w:val="20"/>
          <w:lang w:val="es-MX"/>
        </w:rPr>
        <w:fldChar w:fldCharType="end"/>
      </w:r>
      <w:r w:rsidRPr="00256F8B">
        <w:rPr>
          <w:rFonts w:ascii="Verdana" w:hAnsi="Verdana"/>
          <w:sz w:val="20"/>
          <w:lang w:val="es-MX"/>
        </w:rPr>
        <w:t>).</w:t>
      </w:r>
      <w:r w:rsidRPr="00256F8B">
        <w:rPr>
          <w:rFonts w:ascii="Verdana" w:hAnsi="Verdana" w:cs="Arial"/>
          <w:sz w:val="20"/>
          <w:lang w:val="es-CR"/>
        </w:rPr>
        <w:t xml:space="preserve"> </w:t>
      </w:r>
      <w:r w:rsidR="000514FB" w:rsidRPr="00256F8B">
        <w:rPr>
          <w:rFonts w:ascii="Verdana" w:hAnsi="Verdana" w:cs="Arial"/>
          <w:sz w:val="20"/>
          <w:lang w:val="es-CR"/>
        </w:rPr>
        <w:t xml:space="preserve">A partir de </w:t>
      </w:r>
      <w:r w:rsidRPr="00256F8B">
        <w:rPr>
          <w:rFonts w:ascii="Verdana" w:hAnsi="Verdana"/>
          <w:sz w:val="20"/>
          <w:lang w:val="es-MX"/>
        </w:rPr>
        <w:t>mayo de 2011</w:t>
      </w:r>
      <w:r w:rsidR="007A2972" w:rsidRPr="00256F8B">
        <w:rPr>
          <w:rFonts w:ascii="Verdana" w:hAnsi="Verdana"/>
          <w:sz w:val="20"/>
          <w:lang w:val="es-MX"/>
        </w:rPr>
        <w:t>,</w:t>
      </w:r>
      <w:r w:rsidRPr="00256F8B">
        <w:rPr>
          <w:rFonts w:ascii="Verdana" w:hAnsi="Verdana"/>
          <w:sz w:val="20"/>
          <w:lang w:val="es-MX"/>
        </w:rPr>
        <w:t xml:space="preserve"> la Corte ha procedido a </w:t>
      </w:r>
      <w:r w:rsidRPr="00256F8B">
        <w:rPr>
          <w:rFonts w:ascii="Verdana" w:hAnsi="Verdana" w:cs="Verdana"/>
          <w:sz w:val="20"/>
          <w:szCs w:val="20"/>
          <w:lang w:val="es-ES"/>
        </w:rPr>
        <w:t>supervisar</w:t>
      </w:r>
      <w:r w:rsidRPr="00256F8B">
        <w:rPr>
          <w:rFonts w:ascii="Verdana" w:hAnsi="Verdana"/>
          <w:sz w:val="20"/>
          <w:lang w:val="es-MX"/>
        </w:rPr>
        <w:t xml:space="preserve"> de forma conjunta varios de los casos</w:t>
      </w:r>
      <w:r w:rsidR="0015549C" w:rsidRPr="00256F8B">
        <w:rPr>
          <w:rFonts w:ascii="Verdana" w:hAnsi="Verdana"/>
          <w:sz w:val="20"/>
          <w:lang w:val="es-MX"/>
        </w:rPr>
        <w:t xml:space="preserve"> (</w:t>
      </w:r>
      <w:r w:rsidR="0015549C" w:rsidRPr="00256F8B">
        <w:rPr>
          <w:rFonts w:ascii="Verdana" w:hAnsi="Verdana"/>
          <w:i/>
          <w:sz w:val="20"/>
          <w:lang w:val="es-MX"/>
        </w:rPr>
        <w:t xml:space="preserve">infra </w:t>
      </w:r>
      <w:r w:rsidR="0015549C" w:rsidRPr="00256F8B">
        <w:rPr>
          <w:rFonts w:ascii="Verdana" w:hAnsi="Verdana"/>
          <w:sz w:val="20"/>
          <w:lang w:val="es-MX"/>
        </w:rPr>
        <w:t xml:space="preserve">Considerando </w:t>
      </w:r>
      <w:r w:rsidR="00820F53" w:rsidRPr="00256F8B">
        <w:rPr>
          <w:rFonts w:ascii="Verdana" w:hAnsi="Verdana"/>
          <w:sz w:val="20"/>
          <w:lang w:val="es-MX"/>
        </w:rPr>
        <w:fldChar w:fldCharType="begin"/>
      </w:r>
      <w:r w:rsidR="00820F53" w:rsidRPr="00256F8B">
        <w:rPr>
          <w:rFonts w:ascii="Verdana" w:hAnsi="Verdana"/>
          <w:sz w:val="20"/>
          <w:lang w:val="es-MX"/>
        </w:rPr>
        <w:instrText xml:space="preserve"> REF _Ref437337076 \r \h </w:instrText>
      </w:r>
      <w:r w:rsidR="004B4974" w:rsidRPr="00256F8B">
        <w:rPr>
          <w:rFonts w:ascii="Verdana" w:hAnsi="Verdana"/>
          <w:sz w:val="20"/>
          <w:lang w:val="es-MX"/>
        </w:rPr>
        <w:instrText xml:space="preserve"> \* MERGEFORMAT </w:instrText>
      </w:r>
      <w:r w:rsidR="00820F53" w:rsidRPr="00256F8B">
        <w:rPr>
          <w:rFonts w:ascii="Verdana" w:hAnsi="Verdana"/>
          <w:sz w:val="20"/>
          <w:lang w:val="es-MX"/>
        </w:rPr>
      </w:r>
      <w:r w:rsidR="00820F53" w:rsidRPr="00256F8B">
        <w:rPr>
          <w:rFonts w:ascii="Verdana" w:hAnsi="Verdana"/>
          <w:sz w:val="20"/>
          <w:lang w:val="es-MX"/>
        </w:rPr>
        <w:fldChar w:fldCharType="separate"/>
      </w:r>
      <w:r w:rsidR="007E3C4B">
        <w:rPr>
          <w:rFonts w:ascii="Verdana" w:hAnsi="Verdana"/>
          <w:sz w:val="20"/>
          <w:lang w:val="es-MX"/>
        </w:rPr>
        <w:t>21</w:t>
      </w:r>
      <w:r w:rsidR="00820F53" w:rsidRPr="00256F8B">
        <w:rPr>
          <w:rFonts w:ascii="Verdana" w:hAnsi="Verdana"/>
          <w:sz w:val="20"/>
          <w:lang w:val="es-MX"/>
        </w:rPr>
        <w:fldChar w:fldCharType="end"/>
      </w:r>
      <w:r w:rsidR="00860FE6" w:rsidRPr="00256F8B">
        <w:rPr>
          <w:rFonts w:ascii="Verdana" w:hAnsi="Verdana"/>
          <w:sz w:val="20"/>
          <w:lang w:val="es-MX"/>
        </w:rPr>
        <w:t xml:space="preserve">), </w:t>
      </w:r>
      <w:r w:rsidRPr="00256F8B">
        <w:rPr>
          <w:rFonts w:ascii="Verdana" w:hAnsi="Verdana"/>
          <w:sz w:val="20"/>
          <w:lang w:val="es-MX"/>
        </w:rPr>
        <w:t>habiendo impulsado distintas actuaciones (</w:t>
      </w:r>
      <w:r w:rsidRPr="00256F8B">
        <w:rPr>
          <w:rFonts w:ascii="Verdana" w:hAnsi="Verdana"/>
          <w:i/>
          <w:sz w:val="20"/>
          <w:lang w:val="es-MX"/>
        </w:rPr>
        <w:t>infra</w:t>
      </w:r>
      <w:r w:rsidRPr="00256F8B">
        <w:rPr>
          <w:rFonts w:ascii="Verdana" w:hAnsi="Verdana"/>
          <w:sz w:val="20"/>
          <w:lang w:val="es-MX"/>
        </w:rPr>
        <w:t xml:space="preserve"> Considerando</w:t>
      </w:r>
      <w:r w:rsidR="0015549C" w:rsidRPr="00256F8B">
        <w:rPr>
          <w:rFonts w:ascii="Verdana" w:hAnsi="Verdana"/>
          <w:sz w:val="20"/>
          <w:lang w:val="es-MX"/>
        </w:rPr>
        <w:t>s</w:t>
      </w:r>
      <w:r w:rsidRPr="00256F8B">
        <w:rPr>
          <w:rFonts w:ascii="Verdana" w:hAnsi="Verdana"/>
          <w:sz w:val="20"/>
          <w:lang w:val="es-MX"/>
        </w:rPr>
        <w:t xml:space="preserve"> </w:t>
      </w:r>
      <w:r w:rsidR="00820F53" w:rsidRPr="00256F8B">
        <w:rPr>
          <w:rFonts w:ascii="Verdana" w:hAnsi="Verdana"/>
          <w:sz w:val="20"/>
          <w:lang w:val="es-MX"/>
        </w:rPr>
        <w:fldChar w:fldCharType="begin"/>
      </w:r>
      <w:r w:rsidR="00820F53" w:rsidRPr="00256F8B">
        <w:rPr>
          <w:rFonts w:ascii="Verdana" w:hAnsi="Verdana"/>
          <w:sz w:val="20"/>
          <w:lang w:val="es-MX"/>
        </w:rPr>
        <w:instrText xml:space="preserve"> REF _Ref437011347 \r \h </w:instrText>
      </w:r>
      <w:r w:rsidR="00256F8B">
        <w:rPr>
          <w:rFonts w:ascii="Verdana" w:hAnsi="Verdana"/>
          <w:sz w:val="20"/>
          <w:lang w:val="es-MX"/>
        </w:rPr>
        <w:instrText xml:space="preserve"> \* MERGEFORMAT </w:instrText>
      </w:r>
      <w:r w:rsidR="00820F53" w:rsidRPr="00256F8B">
        <w:rPr>
          <w:rFonts w:ascii="Verdana" w:hAnsi="Verdana"/>
          <w:sz w:val="20"/>
          <w:lang w:val="es-MX"/>
        </w:rPr>
      </w:r>
      <w:r w:rsidR="00820F53" w:rsidRPr="00256F8B">
        <w:rPr>
          <w:rFonts w:ascii="Verdana" w:hAnsi="Verdana"/>
          <w:sz w:val="20"/>
          <w:lang w:val="es-MX"/>
        </w:rPr>
        <w:fldChar w:fldCharType="separate"/>
      </w:r>
      <w:r w:rsidR="007E3C4B">
        <w:rPr>
          <w:rFonts w:ascii="Verdana" w:hAnsi="Verdana"/>
          <w:sz w:val="20"/>
          <w:lang w:val="es-MX"/>
        </w:rPr>
        <w:t>22</w:t>
      </w:r>
      <w:r w:rsidR="00820F53" w:rsidRPr="00256F8B">
        <w:rPr>
          <w:rFonts w:ascii="Verdana" w:hAnsi="Verdana"/>
          <w:sz w:val="20"/>
          <w:lang w:val="es-MX"/>
        </w:rPr>
        <w:fldChar w:fldCharType="end"/>
      </w:r>
      <w:r w:rsidR="00820F53" w:rsidRPr="00256F8B">
        <w:rPr>
          <w:rFonts w:ascii="Verdana" w:hAnsi="Verdana"/>
          <w:sz w:val="20"/>
          <w:lang w:val="es-MX"/>
        </w:rPr>
        <w:t xml:space="preserve"> a</w:t>
      </w:r>
      <w:r w:rsidR="00860FE6" w:rsidRPr="00256F8B">
        <w:rPr>
          <w:rFonts w:ascii="Verdana" w:hAnsi="Verdana"/>
          <w:sz w:val="20"/>
          <w:lang w:val="es-MX"/>
        </w:rPr>
        <w:t xml:space="preserve"> </w:t>
      </w:r>
      <w:r w:rsidR="00820F53" w:rsidRPr="00256F8B">
        <w:rPr>
          <w:rFonts w:ascii="Verdana" w:hAnsi="Verdana"/>
          <w:sz w:val="20"/>
          <w:lang w:val="es-MX"/>
        </w:rPr>
        <w:fldChar w:fldCharType="begin"/>
      </w:r>
      <w:r w:rsidR="00820F53" w:rsidRPr="00256F8B">
        <w:rPr>
          <w:rFonts w:ascii="Verdana" w:hAnsi="Verdana"/>
          <w:sz w:val="20"/>
          <w:lang w:val="es-MX"/>
        </w:rPr>
        <w:instrText xml:space="preserve"> REF _Ref437337187 \r \h </w:instrText>
      </w:r>
      <w:r w:rsidR="00256F8B">
        <w:rPr>
          <w:rFonts w:ascii="Verdana" w:hAnsi="Verdana"/>
          <w:sz w:val="20"/>
          <w:lang w:val="es-MX"/>
        </w:rPr>
        <w:instrText xml:space="preserve"> \* MERGEFORMAT </w:instrText>
      </w:r>
      <w:r w:rsidR="00820F53" w:rsidRPr="00256F8B">
        <w:rPr>
          <w:rFonts w:ascii="Verdana" w:hAnsi="Verdana"/>
          <w:sz w:val="20"/>
          <w:lang w:val="es-MX"/>
        </w:rPr>
      </w:r>
      <w:r w:rsidR="00820F53" w:rsidRPr="00256F8B">
        <w:rPr>
          <w:rFonts w:ascii="Verdana" w:hAnsi="Verdana"/>
          <w:sz w:val="20"/>
          <w:lang w:val="es-MX"/>
        </w:rPr>
        <w:fldChar w:fldCharType="separate"/>
      </w:r>
      <w:r w:rsidR="007E3C4B">
        <w:rPr>
          <w:rFonts w:ascii="Verdana" w:hAnsi="Verdana"/>
          <w:sz w:val="20"/>
          <w:lang w:val="es-MX"/>
        </w:rPr>
        <w:t>27</w:t>
      </w:r>
      <w:r w:rsidR="00820F53" w:rsidRPr="00256F8B">
        <w:rPr>
          <w:rFonts w:ascii="Verdana" w:hAnsi="Verdana"/>
          <w:sz w:val="20"/>
          <w:lang w:val="es-MX"/>
        </w:rPr>
        <w:fldChar w:fldCharType="end"/>
      </w:r>
      <w:r w:rsidR="00860FE6" w:rsidRPr="00256F8B">
        <w:rPr>
          <w:rFonts w:ascii="Verdana" w:hAnsi="Verdana"/>
          <w:sz w:val="20"/>
          <w:lang w:val="es-MX"/>
        </w:rPr>
        <w:t xml:space="preserve">) </w:t>
      </w:r>
      <w:r w:rsidRPr="00256F8B">
        <w:rPr>
          <w:rFonts w:ascii="Verdana" w:hAnsi="Verdana"/>
          <w:sz w:val="20"/>
          <w:lang w:val="es-MX"/>
        </w:rPr>
        <w:t xml:space="preserve">para procurar la información necesaria </w:t>
      </w:r>
      <w:r w:rsidR="00C00AD0" w:rsidRPr="00256F8B">
        <w:rPr>
          <w:rFonts w:ascii="Verdana" w:hAnsi="Verdana"/>
          <w:sz w:val="20"/>
          <w:lang w:val="es-MX"/>
        </w:rPr>
        <w:t>con el fin de</w:t>
      </w:r>
      <w:r w:rsidRPr="00256F8B">
        <w:rPr>
          <w:rFonts w:ascii="Verdana" w:hAnsi="Verdana"/>
          <w:sz w:val="20"/>
          <w:lang w:val="es-MX"/>
        </w:rPr>
        <w:t xml:space="preserve"> determinar</w:t>
      </w:r>
      <w:r w:rsidRPr="0032068E">
        <w:rPr>
          <w:rFonts w:ascii="Verdana" w:hAnsi="Verdana"/>
          <w:sz w:val="20"/>
          <w:lang w:val="es-MX"/>
        </w:rPr>
        <w:t xml:space="preserve"> el grado de cumplimiento de </w:t>
      </w:r>
      <w:r w:rsidR="00C00AD0" w:rsidRPr="0032068E">
        <w:rPr>
          <w:rFonts w:ascii="Verdana" w:hAnsi="Verdana"/>
          <w:sz w:val="20"/>
          <w:lang w:val="es-MX"/>
        </w:rPr>
        <w:t xml:space="preserve">la </w:t>
      </w:r>
      <w:r w:rsidRPr="0032068E">
        <w:rPr>
          <w:rFonts w:ascii="Verdana" w:hAnsi="Verdana"/>
          <w:sz w:val="20"/>
          <w:lang w:val="es-MX"/>
        </w:rPr>
        <w:t>obligación de investigar, juzgar y, en su caso, sancionar las violaciones a derechos humanos determinadas en dichos casos</w:t>
      </w:r>
      <w:r w:rsidR="00860FE6" w:rsidRPr="0032068E">
        <w:rPr>
          <w:rFonts w:ascii="Verdana" w:hAnsi="Verdana"/>
          <w:sz w:val="20"/>
          <w:lang w:val="es-MX"/>
        </w:rPr>
        <w:t>.</w:t>
      </w:r>
    </w:p>
    <w:p w14:paraId="6DDBF073" w14:textId="77777777" w:rsidR="000323FD" w:rsidRPr="0032068E" w:rsidRDefault="000323FD" w:rsidP="000323FD">
      <w:pPr>
        <w:spacing w:after="0" w:line="240" w:lineRule="auto"/>
        <w:ind w:right="1444"/>
        <w:contextualSpacing/>
        <w:jc w:val="both"/>
        <w:rPr>
          <w:rFonts w:ascii="Verdana" w:hAnsi="Verdana" w:cs="Arial"/>
          <w:sz w:val="20"/>
          <w:lang w:val="es-CR"/>
        </w:rPr>
      </w:pPr>
    </w:p>
    <w:p w14:paraId="29A4617E" w14:textId="77777777" w:rsidR="000323FD" w:rsidRPr="0032068E" w:rsidRDefault="000323FD" w:rsidP="000323FD">
      <w:pPr>
        <w:numPr>
          <w:ilvl w:val="0"/>
          <w:numId w:val="2"/>
        </w:numPr>
        <w:spacing w:after="0" w:line="240" w:lineRule="auto"/>
        <w:ind w:left="0" w:right="1444" w:firstLine="0"/>
        <w:contextualSpacing/>
        <w:jc w:val="both"/>
        <w:rPr>
          <w:rFonts w:ascii="Verdana" w:hAnsi="Verdana"/>
          <w:sz w:val="20"/>
          <w:szCs w:val="20"/>
          <w:lang w:val="es-ES"/>
        </w:rPr>
      </w:pPr>
      <w:r w:rsidRPr="0032068E">
        <w:rPr>
          <w:rFonts w:ascii="Verdana" w:hAnsi="Verdana"/>
          <w:sz w:val="20"/>
          <w:szCs w:val="20"/>
          <w:lang w:val="es-MX"/>
        </w:rPr>
        <w:t>D</w:t>
      </w:r>
      <w:r w:rsidRPr="0032068E">
        <w:rPr>
          <w:rFonts w:ascii="Verdana" w:hAnsi="Verdana"/>
          <w:sz w:val="20"/>
          <w:szCs w:val="20"/>
          <w:lang w:val="es-CR"/>
        </w:rPr>
        <w:t xml:space="preserve">e </w:t>
      </w:r>
      <w:r w:rsidRPr="0032068E">
        <w:rPr>
          <w:rFonts w:ascii="Verdana" w:hAnsi="Verdana"/>
          <w:sz w:val="20"/>
          <w:lang w:val="es-MX"/>
        </w:rPr>
        <w:t>conformidad</w:t>
      </w:r>
      <w:r w:rsidRPr="0032068E">
        <w:rPr>
          <w:rFonts w:ascii="Verdana" w:hAnsi="Verdana"/>
          <w:sz w:val="20"/>
          <w:szCs w:val="20"/>
          <w:lang w:val="es-CR"/>
        </w:rPr>
        <w:t xml:space="preserve"> con lo establecido en el artículo </w:t>
      </w:r>
      <w:r w:rsidRPr="0032068E">
        <w:rPr>
          <w:rFonts w:ascii="Verdana" w:hAnsi="Verdana"/>
          <w:color w:val="000000"/>
          <w:sz w:val="20"/>
          <w:szCs w:val="20"/>
          <w:lang w:val="es-CO"/>
        </w:rPr>
        <w:t>68.1 de la Convención Americana, “[l]os Estados Partes en la Convención se comprometen a cumplir la decisión de la Corte en todo caso en que sean partes”</w:t>
      </w:r>
      <w:r w:rsidRPr="0032068E">
        <w:rPr>
          <w:rFonts w:ascii="Verdana" w:hAnsi="Verdana" w:cs="Verdana"/>
          <w:sz w:val="20"/>
          <w:szCs w:val="20"/>
          <w:lang w:val="es-CR"/>
        </w:rPr>
        <w:t xml:space="preserve">. </w:t>
      </w:r>
      <w:r w:rsidRPr="0032068E">
        <w:rPr>
          <w:rFonts w:ascii="Verdana" w:hAnsi="Verdana"/>
          <w:sz w:val="20"/>
          <w:szCs w:val="20"/>
          <w:lang w:val="es-CR"/>
        </w:rPr>
        <w:t>Esta obligación incluye el deber del Estado de informar a la Corte sobre las medidas adoptadas para cumplir cada uno de los puntos ordenados, lo cual es fundamental para evaluar el estado de cumplimiento de la Sentencia en su conjunto.</w:t>
      </w:r>
    </w:p>
    <w:p w14:paraId="223CE00A" w14:textId="77777777" w:rsidR="000323FD" w:rsidRPr="0032068E" w:rsidRDefault="000323FD" w:rsidP="000323FD">
      <w:pPr>
        <w:spacing w:after="0" w:line="240" w:lineRule="auto"/>
        <w:ind w:right="1444"/>
        <w:contextualSpacing/>
        <w:jc w:val="both"/>
        <w:rPr>
          <w:rFonts w:ascii="Verdana" w:hAnsi="Verdana"/>
          <w:sz w:val="20"/>
          <w:szCs w:val="20"/>
          <w:lang w:val="es-ES"/>
        </w:rPr>
      </w:pPr>
    </w:p>
    <w:p w14:paraId="146B9B21" w14:textId="3B63929C" w:rsidR="000323FD" w:rsidRPr="000C288F" w:rsidRDefault="000323FD" w:rsidP="000323FD">
      <w:pPr>
        <w:numPr>
          <w:ilvl w:val="0"/>
          <w:numId w:val="2"/>
        </w:numPr>
        <w:spacing w:after="0" w:line="240" w:lineRule="auto"/>
        <w:ind w:left="0" w:right="1444" w:firstLine="0"/>
        <w:contextualSpacing/>
        <w:jc w:val="both"/>
        <w:rPr>
          <w:rFonts w:ascii="Verdana" w:hAnsi="Verdana" w:cs="Verdana"/>
          <w:sz w:val="20"/>
          <w:szCs w:val="20"/>
          <w:lang w:val="es-ES"/>
        </w:rPr>
      </w:pPr>
      <w:r w:rsidRPr="000C288F">
        <w:rPr>
          <w:rFonts w:ascii="Verdana" w:hAnsi="Verdana" w:cs="Verdana"/>
          <w:sz w:val="20"/>
          <w:szCs w:val="20"/>
          <w:lang w:val="es-ES"/>
        </w:rPr>
        <w:t xml:space="preserve">Los </w:t>
      </w:r>
      <w:r w:rsidRPr="000C288F">
        <w:rPr>
          <w:rFonts w:ascii="Verdana" w:hAnsi="Verdana"/>
          <w:sz w:val="20"/>
          <w:lang w:val="es-MX"/>
        </w:rPr>
        <w:t>Estados</w:t>
      </w:r>
      <w:r w:rsidRPr="000C288F">
        <w:rPr>
          <w:rFonts w:ascii="Verdana" w:hAnsi="Verdana" w:cs="Verdana"/>
          <w:sz w:val="20"/>
          <w:szCs w:val="20"/>
          <w:lang w:val="es-ES"/>
        </w:rPr>
        <w:t xml:space="preserve"> Parte en la Convención deben garantizar el cumplimiento de las disposiciones convencionales y sus efectos propios (</w:t>
      </w:r>
      <w:r w:rsidRPr="000C288F">
        <w:rPr>
          <w:rFonts w:ascii="Verdana" w:hAnsi="Verdana" w:cs="Verdana-Italic"/>
          <w:i/>
          <w:iCs/>
          <w:sz w:val="20"/>
          <w:szCs w:val="20"/>
          <w:lang w:val="es-ES"/>
        </w:rPr>
        <w:t>effet utile</w:t>
      </w:r>
      <w:r w:rsidRPr="000C288F">
        <w:rPr>
          <w:rFonts w:ascii="Verdana" w:hAnsi="Verdana" w:cs="Verdana"/>
          <w:sz w:val="20"/>
          <w:szCs w:val="20"/>
          <w:lang w:val="es-ES"/>
        </w:rPr>
        <w:t>) en el plano de sus respectivos derechos internos. Estas obligaciones deben ser interpretadas y aplicadas de manera que la garantía protegida sea verdaderamente práctica y eficaz, teniendo presente la naturaleza especial de los tratados de derechos humanos</w:t>
      </w:r>
      <w:r w:rsidRPr="000C288F">
        <w:rPr>
          <w:rFonts w:ascii="Verdana" w:hAnsi="Verdana" w:cs="Verdana"/>
          <w:sz w:val="20"/>
          <w:szCs w:val="20"/>
          <w:vertAlign w:val="superscript"/>
        </w:rPr>
        <w:footnoteReference w:id="24"/>
      </w:r>
      <w:r w:rsidRPr="000C288F">
        <w:rPr>
          <w:rFonts w:ascii="Verdana" w:hAnsi="Verdana" w:cs="Verdana"/>
          <w:sz w:val="20"/>
          <w:szCs w:val="20"/>
          <w:lang w:val="es-ES"/>
        </w:rPr>
        <w:t>.</w:t>
      </w:r>
    </w:p>
    <w:p w14:paraId="1C0B03E0" w14:textId="307B30CC" w:rsidR="00D31784" w:rsidRPr="0032068E" w:rsidRDefault="00D31784" w:rsidP="00CF3448">
      <w:pPr>
        <w:tabs>
          <w:tab w:val="right" w:leader="dot" w:pos="9350"/>
        </w:tabs>
        <w:spacing w:after="0" w:line="240" w:lineRule="auto"/>
        <w:ind w:right="1444"/>
        <w:contextualSpacing/>
        <w:jc w:val="both"/>
        <w:rPr>
          <w:rFonts w:ascii="Verdana" w:hAnsi="Verdana" w:cs="Verdana"/>
          <w:b/>
          <w:sz w:val="20"/>
          <w:szCs w:val="20"/>
          <w:lang w:val="es-ES"/>
        </w:rPr>
      </w:pPr>
    </w:p>
    <w:p w14:paraId="6DA06E0E" w14:textId="77777777" w:rsidR="00C75EFB" w:rsidRPr="0032068E" w:rsidRDefault="00D31784" w:rsidP="0062279D">
      <w:pPr>
        <w:pStyle w:val="Heading1"/>
      </w:pPr>
      <w:bookmarkStart w:id="14" w:name="_Toc435778519"/>
      <w:bookmarkStart w:id="15" w:name="_Toc439248777"/>
      <w:r w:rsidRPr="0032068E">
        <w:t>La medida ordenada por la Corte en</w:t>
      </w:r>
      <w:r w:rsidR="00C04509" w:rsidRPr="0032068E">
        <w:t xml:space="preserve"> cada uno de</w:t>
      </w:r>
      <w:r w:rsidRPr="0032068E">
        <w:t xml:space="preserve"> los </w:t>
      </w:r>
      <w:r w:rsidRPr="0032068E">
        <w:rPr>
          <w:i/>
        </w:rPr>
        <w:t>12 casos</w:t>
      </w:r>
      <w:bookmarkEnd w:id="14"/>
      <w:bookmarkEnd w:id="15"/>
    </w:p>
    <w:p w14:paraId="50325800" w14:textId="77777777" w:rsidR="00E04A85" w:rsidRPr="0032068E" w:rsidRDefault="00E04A85" w:rsidP="00D31784">
      <w:pPr>
        <w:spacing w:after="0" w:line="240" w:lineRule="auto"/>
        <w:ind w:right="1444"/>
        <w:jc w:val="both"/>
        <w:rPr>
          <w:rFonts w:ascii="Verdana" w:hAnsi="Verdana" w:cs="Verdana"/>
          <w:sz w:val="20"/>
          <w:szCs w:val="20"/>
          <w:lang w:val="es-ES"/>
        </w:rPr>
      </w:pPr>
    </w:p>
    <w:p w14:paraId="259F5135" w14:textId="77777777" w:rsidR="00CD430E" w:rsidRDefault="00355A57" w:rsidP="00CD430E">
      <w:pPr>
        <w:numPr>
          <w:ilvl w:val="0"/>
          <w:numId w:val="2"/>
        </w:numPr>
        <w:spacing w:after="0" w:line="240" w:lineRule="auto"/>
        <w:ind w:left="0" w:right="1444" w:firstLine="0"/>
        <w:contextualSpacing/>
        <w:jc w:val="both"/>
        <w:rPr>
          <w:rFonts w:ascii="Verdana" w:hAnsi="Verdana" w:cs="Verdana"/>
          <w:sz w:val="20"/>
          <w:szCs w:val="20"/>
          <w:lang w:val="es-ES"/>
        </w:rPr>
      </w:pPr>
      <w:bookmarkStart w:id="16" w:name="_Ref437011164"/>
      <w:r w:rsidRPr="0032068E">
        <w:rPr>
          <w:rFonts w:ascii="Verdana" w:hAnsi="Verdana" w:cs="Verdana"/>
          <w:sz w:val="20"/>
          <w:lang w:val="es-ES"/>
        </w:rPr>
        <w:t xml:space="preserve">En </w:t>
      </w:r>
      <w:r w:rsidR="00D0351F">
        <w:rPr>
          <w:rFonts w:ascii="Verdana" w:hAnsi="Verdana" w:cs="Verdana"/>
          <w:sz w:val="20"/>
          <w:lang w:val="es-ES"/>
        </w:rPr>
        <w:t xml:space="preserve">las Sentencias de </w:t>
      </w:r>
      <w:r w:rsidRPr="0032068E">
        <w:rPr>
          <w:rFonts w:ascii="Verdana" w:hAnsi="Verdana" w:cs="Verdana"/>
          <w:sz w:val="20"/>
          <w:lang w:val="es-ES"/>
        </w:rPr>
        <w:t xml:space="preserve">cada uno de los </w:t>
      </w:r>
      <w:r w:rsidRPr="0032068E">
        <w:rPr>
          <w:rFonts w:ascii="Verdana" w:hAnsi="Verdana" w:cs="Verdana"/>
          <w:i/>
          <w:sz w:val="20"/>
          <w:lang w:val="es-ES"/>
        </w:rPr>
        <w:t>12 Casos</w:t>
      </w:r>
      <w:r w:rsidR="00D0351F">
        <w:rPr>
          <w:rFonts w:ascii="Verdana" w:hAnsi="Verdana" w:cs="Verdana"/>
          <w:sz w:val="20"/>
          <w:lang w:val="es-ES"/>
        </w:rPr>
        <w:t xml:space="preserve"> se </w:t>
      </w:r>
      <w:r w:rsidRPr="0032068E">
        <w:rPr>
          <w:rFonts w:ascii="Verdana" w:hAnsi="Verdana"/>
          <w:sz w:val="20"/>
          <w:szCs w:val="20"/>
          <w:lang w:val="es-ES"/>
        </w:rPr>
        <w:t xml:space="preserve">dispuso </w:t>
      </w:r>
      <w:r w:rsidR="00881F6E" w:rsidRPr="0032068E">
        <w:rPr>
          <w:rFonts w:ascii="Verdana" w:hAnsi="Verdana"/>
          <w:sz w:val="20"/>
          <w:szCs w:val="20"/>
          <w:lang w:val="es-ES"/>
        </w:rPr>
        <w:t xml:space="preserve">que Guatemala debía cumplir con </w:t>
      </w:r>
      <w:r w:rsidRPr="0032068E">
        <w:rPr>
          <w:rFonts w:ascii="Verdana" w:hAnsi="Verdana"/>
          <w:sz w:val="20"/>
          <w:szCs w:val="20"/>
          <w:lang w:val="es-ES"/>
        </w:rPr>
        <w:t>la</w:t>
      </w:r>
      <w:r w:rsidR="00C00AD0" w:rsidRPr="0032068E">
        <w:rPr>
          <w:rFonts w:ascii="Verdana" w:hAnsi="Verdana"/>
          <w:sz w:val="20"/>
          <w:szCs w:val="20"/>
          <w:lang w:val="es-ES"/>
        </w:rPr>
        <w:t xml:space="preserve"> obligación de</w:t>
      </w:r>
      <w:r w:rsidRPr="0032068E">
        <w:rPr>
          <w:rFonts w:ascii="Verdana" w:hAnsi="Verdana"/>
          <w:sz w:val="20"/>
          <w:szCs w:val="20"/>
          <w:lang w:val="es-ES"/>
        </w:rPr>
        <w:t xml:space="preserve"> investigar las violaciones a los derechos humanos </w:t>
      </w:r>
      <w:r w:rsidR="00B7260A" w:rsidRPr="00D0351F">
        <w:rPr>
          <w:rFonts w:ascii="Verdana" w:hAnsi="Verdana"/>
          <w:sz w:val="20"/>
          <w:szCs w:val="20"/>
          <w:lang w:val="es-ES"/>
        </w:rPr>
        <w:t>(</w:t>
      </w:r>
      <w:r w:rsidR="00B7260A" w:rsidRPr="00D0351F">
        <w:rPr>
          <w:rFonts w:ascii="Verdana" w:hAnsi="Verdana"/>
          <w:i/>
          <w:sz w:val="20"/>
          <w:szCs w:val="20"/>
          <w:lang w:val="es-ES"/>
        </w:rPr>
        <w:t>infra</w:t>
      </w:r>
      <w:r w:rsidR="00B7260A" w:rsidRPr="00D0351F">
        <w:rPr>
          <w:rFonts w:ascii="Verdana" w:hAnsi="Verdana"/>
          <w:sz w:val="20"/>
          <w:szCs w:val="20"/>
          <w:lang w:val="es-ES"/>
        </w:rPr>
        <w:t xml:space="preserve"> Considerando </w:t>
      </w:r>
      <w:r w:rsidR="00335AD2" w:rsidRPr="00D0351F">
        <w:rPr>
          <w:rFonts w:ascii="Verdana" w:hAnsi="Verdana"/>
          <w:sz w:val="20"/>
          <w:szCs w:val="20"/>
          <w:lang w:val="es-ES"/>
        </w:rPr>
        <w:fldChar w:fldCharType="begin"/>
      </w:r>
      <w:r w:rsidR="00335AD2" w:rsidRPr="00D0351F">
        <w:rPr>
          <w:rFonts w:ascii="Verdana" w:hAnsi="Verdana"/>
          <w:sz w:val="20"/>
          <w:szCs w:val="20"/>
          <w:lang w:val="es-ES"/>
        </w:rPr>
        <w:instrText xml:space="preserve"> REF _Ref437846258 \r \h </w:instrText>
      </w:r>
      <w:r w:rsidR="00D0351F">
        <w:rPr>
          <w:rFonts w:ascii="Verdana" w:hAnsi="Verdana"/>
          <w:sz w:val="20"/>
          <w:szCs w:val="20"/>
          <w:lang w:val="es-ES"/>
        </w:rPr>
        <w:instrText xml:space="preserve"> \* MERGEFORMAT </w:instrText>
      </w:r>
      <w:r w:rsidR="00335AD2" w:rsidRPr="00D0351F">
        <w:rPr>
          <w:rFonts w:ascii="Verdana" w:hAnsi="Verdana"/>
          <w:sz w:val="20"/>
          <w:szCs w:val="20"/>
          <w:lang w:val="es-ES"/>
        </w:rPr>
      </w:r>
      <w:r w:rsidR="00335AD2" w:rsidRPr="00D0351F">
        <w:rPr>
          <w:rFonts w:ascii="Verdana" w:hAnsi="Verdana"/>
          <w:sz w:val="20"/>
          <w:szCs w:val="20"/>
          <w:lang w:val="es-ES"/>
        </w:rPr>
        <w:fldChar w:fldCharType="separate"/>
      </w:r>
      <w:r w:rsidR="007E3C4B">
        <w:rPr>
          <w:rFonts w:ascii="Verdana" w:hAnsi="Verdana"/>
          <w:sz w:val="20"/>
          <w:szCs w:val="20"/>
          <w:lang w:val="es-ES"/>
        </w:rPr>
        <w:t>39</w:t>
      </w:r>
      <w:r w:rsidR="00335AD2" w:rsidRPr="00D0351F">
        <w:rPr>
          <w:rFonts w:ascii="Verdana" w:hAnsi="Verdana"/>
          <w:sz w:val="20"/>
          <w:szCs w:val="20"/>
          <w:lang w:val="es-ES"/>
        </w:rPr>
        <w:fldChar w:fldCharType="end"/>
      </w:r>
      <w:r w:rsidR="006D4E03" w:rsidRPr="00D0351F">
        <w:rPr>
          <w:rFonts w:ascii="Verdana" w:hAnsi="Verdana"/>
          <w:sz w:val="20"/>
          <w:szCs w:val="20"/>
          <w:lang w:val="es-ES"/>
        </w:rPr>
        <w:t xml:space="preserve">), </w:t>
      </w:r>
      <w:r w:rsidRPr="00D0351F">
        <w:rPr>
          <w:rFonts w:ascii="Verdana" w:hAnsi="Verdana"/>
          <w:sz w:val="20"/>
          <w:szCs w:val="20"/>
          <w:lang w:val="es-ES"/>
        </w:rPr>
        <w:t>con el fin de identificar, juzgar y</w:t>
      </w:r>
      <w:r w:rsidR="009041CF" w:rsidRPr="00D0351F">
        <w:rPr>
          <w:rFonts w:ascii="Verdana" w:hAnsi="Verdana"/>
          <w:sz w:val="20"/>
          <w:szCs w:val="20"/>
          <w:lang w:val="es-ES"/>
        </w:rPr>
        <w:t>, en su caso,</w:t>
      </w:r>
      <w:r w:rsidRPr="00D0351F">
        <w:rPr>
          <w:rFonts w:ascii="Verdana" w:hAnsi="Verdana"/>
          <w:sz w:val="20"/>
          <w:szCs w:val="20"/>
          <w:lang w:val="es-ES"/>
        </w:rPr>
        <w:t xml:space="preserve"> sancionar a los responsables de los mismos.</w:t>
      </w:r>
      <w:r w:rsidR="00880813" w:rsidRPr="00D0351F">
        <w:rPr>
          <w:rFonts w:ascii="Verdana" w:hAnsi="Verdana"/>
          <w:sz w:val="20"/>
          <w:szCs w:val="20"/>
          <w:lang w:val="es-ES"/>
        </w:rPr>
        <w:t xml:space="preserve"> Al respecto, tal como lo ha señalado la Corte en varios de los casos bajo estudio, como en </w:t>
      </w:r>
      <w:r w:rsidR="00880813" w:rsidRPr="00D0351F">
        <w:rPr>
          <w:rFonts w:ascii="Verdana" w:hAnsi="Verdana"/>
          <w:i/>
          <w:sz w:val="20"/>
          <w:szCs w:val="20"/>
          <w:lang w:val="es-ES"/>
        </w:rPr>
        <w:t>Panel Blanca</w:t>
      </w:r>
      <w:r w:rsidR="00DC110A" w:rsidRPr="00D0351F">
        <w:rPr>
          <w:rFonts w:ascii="Verdana" w:hAnsi="Verdana"/>
          <w:i/>
          <w:sz w:val="20"/>
          <w:szCs w:val="20"/>
          <w:lang w:val="es-ES"/>
        </w:rPr>
        <w:t xml:space="preserve">, </w:t>
      </w:r>
      <w:r w:rsidR="0092081E" w:rsidRPr="00D0351F">
        <w:rPr>
          <w:rFonts w:ascii="Verdana" w:hAnsi="Verdana"/>
          <w:i/>
          <w:sz w:val="20"/>
          <w:szCs w:val="20"/>
          <w:lang w:val="es-ES"/>
        </w:rPr>
        <w:t>Mack Chang</w:t>
      </w:r>
      <w:r w:rsidR="004A5F74" w:rsidRPr="00D0351F">
        <w:rPr>
          <w:rFonts w:ascii="Verdana" w:hAnsi="Verdana"/>
          <w:i/>
          <w:sz w:val="20"/>
          <w:szCs w:val="20"/>
          <w:lang w:val="es-ES"/>
        </w:rPr>
        <w:t>,</w:t>
      </w:r>
      <w:r w:rsidR="00DC110A" w:rsidRPr="00D0351F">
        <w:rPr>
          <w:rFonts w:ascii="Verdana" w:hAnsi="Verdana"/>
          <w:i/>
          <w:sz w:val="20"/>
          <w:szCs w:val="20"/>
          <w:lang w:val="es-ES"/>
        </w:rPr>
        <w:t xml:space="preserve"> Molina Theissen</w:t>
      </w:r>
      <w:r w:rsidR="00880813" w:rsidRPr="00D0351F">
        <w:rPr>
          <w:rFonts w:ascii="Verdana" w:hAnsi="Verdana"/>
          <w:i/>
          <w:sz w:val="20"/>
          <w:szCs w:val="20"/>
          <w:lang w:val="es-ES"/>
        </w:rPr>
        <w:t>,</w:t>
      </w:r>
      <w:r w:rsidR="00CD430E">
        <w:rPr>
          <w:rFonts w:ascii="Verdana" w:hAnsi="Verdana"/>
          <w:i/>
          <w:sz w:val="20"/>
          <w:szCs w:val="20"/>
          <w:lang w:val="es-ES"/>
        </w:rPr>
        <w:t xml:space="preserve"> Carpio Nicolle</w:t>
      </w:r>
      <w:r w:rsidR="00B7260A" w:rsidRPr="00D0351F">
        <w:rPr>
          <w:rFonts w:ascii="Verdana" w:hAnsi="Verdana"/>
          <w:sz w:val="20"/>
          <w:szCs w:val="20"/>
          <w:lang w:val="es-ES"/>
        </w:rPr>
        <w:t xml:space="preserve"> y</w:t>
      </w:r>
      <w:r w:rsidR="004E7671" w:rsidRPr="00D0351F">
        <w:rPr>
          <w:rFonts w:ascii="Verdana" w:hAnsi="Verdana"/>
          <w:i/>
          <w:sz w:val="20"/>
          <w:szCs w:val="20"/>
          <w:lang w:val="es-ES"/>
        </w:rPr>
        <w:t xml:space="preserve"> Tiu Tojín</w:t>
      </w:r>
      <w:r w:rsidR="00B7260A" w:rsidRPr="00D0351F">
        <w:rPr>
          <w:rFonts w:ascii="Verdana" w:hAnsi="Verdana"/>
          <w:i/>
          <w:sz w:val="20"/>
          <w:szCs w:val="20"/>
          <w:lang w:val="es-ES"/>
        </w:rPr>
        <w:t xml:space="preserve">, </w:t>
      </w:r>
      <w:r w:rsidR="00B7260A" w:rsidRPr="00D0351F">
        <w:rPr>
          <w:rFonts w:ascii="Verdana" w:hAnsi="Verdana"/>
          <w:sz w:val="20"/>
          <w:szCs w:val="20"/>
          <w:lang w:val="es-ES"/>
        </w:rPr>
        <w:t>entre otras,</w:t>
      </w:r>
      <w:r w:rsidR="00880813" w:rsidRPr="00D0351F">
        <w:rPr>
          <w:rFonts w:ascii="Verdana" w:hAnsi="Verdana"/>
          <w:i/>
          <w:sz w:val="20"/>
          <w:szCs w:val="20"/>
          <w:lang w:val="es-ES"/>
        </w:rPr>
        <w:t xml:space="preserve"> </w:t>
      </w:r>
      <w:r w:rsidR="00880813" w:rsidRPr="00D0351F">
        <w:rPr>
          <w:rFonts w:ascii="Verdana" w:hAnsi="Verdana"/>
          <w:sz w:val="20"/>
          <w:szCs w:val="20"/>
          <w:lang w:val="es-ES"/>
        </w:rPr>
        <w:t xml:space="preserve"> “la investigación de los hechos y la sanción de las personas responsables […] es una obligación que corresponde al Estado siempre que haya ocurrido una violación de los derechos humanos y esa obligación debe ser cumplida seriamente y no como una mera formalidad”.</w:t>
      </w:r>
      <w:r w:rsidR="00B7260A" w:rsidRPr="00D0351F">
        <w:rPr>
          <w:rFonts w:ascii="Verdana" w:hAnsi="Verdana"/>
          <w:sz w:val="20"/>
          <w:szCs w:val="20"/>
          <w:lang w:val="es-ES"/>
        </w:rPr>
        <w:t xml:space="preserve"> </w:t>
      </w:r>
      <w:r w:rsidR="00B7260A" w:rsidRPr="00D0351F">
        <w:rPr>
          <w:rFonts w:ascii="Verdana" w:hAnsi="Verdana" w:cs="Verdana"/>
          <w:sz w:val="20"/>
          <w:szCs w:val="20"/>
          <w:lang w:val="es-ES"/>
        </w:rPr>
        <w:t xml:space="preserve">En este sentido, en cada caso la Corte identificó criterios que se desprenden de dicha obligación de investigar, y </w:t>
      </w:r>
      <w:r w:rsidR="00C00AD0" w:rsidRPr="00D0351F">
        <w:rPr>
          <w:rFonts w:ascii="Verdana" w:hAnsi="Verdana" w:cs="Verdana"/>
          <w:sz w:val="20"/>
          <w:szCs w:val="20"/>
          <w:lang w:val="es-ES"/>
        </w:rPr>
        <w:t>que</w:t>
      </w:r>
      <w:r w:rsidR="00B7260A" w:rsidRPr="00D0351F">
        <w:rPr>
          <w:rFonts w:ascii="Verdana" w:hAnsi="Verdana" w:cs="Verdana"/>
          <w:sz w:val="20"/>
          <w:szCs w:val="20"/>
          <w:lang w:val="es-ES"/>
        </w:rPr>
        <w:t xml:space="preserve"> el Estado está obligado a atender para dar cumplimiento a </w:t>
      </w:r>
      <w:r w:rsidR="00881F6E" w:rsidRPr="00D0351F">
        <w:rPr>
          <w:rFonts w:ascii="Verdana" w:hAnsi="Verdana" w:cs="Verdana"/>
          <w:sz w:val="20"/>
          <w:szCs w:val="20"/>
          <w:lang w:val="es-ES"/>
        </w:rPr>
        <w:t xml:space="preserve">la misma </w:t>
      </w:r>
      <w:r w:rsidR="00B7260A" w:rsidRPr="00D0351F">
        <w:rPr>
          <w:rFonts w:ascii="Verdana" w:hAnsi="Verdana" w:cs="Verdana"/>
          <w:sz w:val="20"/>
          <w:szCs w:val="20"/>
          <w:lang w:val="es-ES"/>
        </w:rPr>
        <w:t>(</w:t>
      </w:r>
      <w:r w:rsidR="00B7260A" w:rsidRPr="00D0351F">
        <w:rPr>
          <w:rFonts w:ascii="Verdana" w:hAnsi="Verdana" w:cs="Verdana"/>
          <w:i/>
          <w:sz w:val="20"/>
          <w:szCs w:val="20"/>
          <w:lang w:val="es-ES"/>
        </w:rPr>
        <w:t>infra</w:t>
      </w:r>
      <w:r w:rsidR="00B7260A" w:rsidRPr="00D0351F">
        <w:rPr>
          <w:rFonts w:ascii="Verdana" w:hAnsi="Verdana" w:cs="Verdana"/>
          <w:sz w:val="20"/>
          <w:szCs w:val="20"/>
          <w:lang w:val="es-ES"/>
        </w:rPr>
        <w:t xml:space="preserve"> Considerando</w:t>
      </w:r>
      <w:r w:rsidR="006D4E03" w:rsidRPr="00D0351F">
        <w:rPr>
          <w:rFonts w:ascii="Verdana" w:hAnsi="Verdana" w:cs="Verdana"/>
          <w:sz w:val="20"/>
          <w:szCs w:val="20"/>
          <w:lang w:val="es-ES"/>
        </w:rPr>
        <w:t>s</w:t>
      </w:r>
      <w:r w:rsidR="00B7260A" w:rsidRPr="00D0351F">
        <w:rPr>
          <w:rFonts w:ascii="Verdana" w:hAnsi="Verdana" w:cs="Verdana"/>
          <w:sz w:val="20"/>
          <w:szCs w:val="20"/>
          <w:lang w:val="es-ES"/>
        </w:rPr>
        <w:t xml:space="preserve"> </w:t>
      </w:r>
      <w:r w:rsidR="00335AD2" w:rsidRPr="00D0351F">
        <w:rPr>
          <w:rFonts w:ascii="Verdana" w:hAnsi="Verdana" w:cs="Verdana"/>
          <w:sz w:val="20"/>
          <w:szCs w:val="20"/>
          <w:lang w:val="es-ES"/>
        </w:rPr>
        <w:fldChar w:fldCharType="begin"/>
      </w:r>
      <w:r w:rsidR="00335AD2" w:rsidRPr="00D0351F">
        <w:rPr>
          <w:rFonts w:ascii="Verdana" w:hAnsi="Verdana" w:cs="Verdana"/>
          <w:sz w:val="20"/>
          <w:szCs w:val="20"/>
          <w:lang w:val="es-ES"/>
        </w:rPr>
        <w:instrText xml:space="preserve"> REF _Ref437846304 \r \h </w:instrText>
      </w:r>
      <w:r w:rsidR="004B4974" w:rsidRPr="00D0351F">
        <w:rPr>
          <w:rFonts w:ascii="Verdana" w:hAnsi="Verdana" w:cs="Verdana"/>
          <w:sz w:val="20"/>
          <w:szCs w:val="20"/>
          <w:lang w:val="es-ES"/>
        </w:rPr>
        <w:instrText xml:space="preserve"> \* MERGEFORMAT </w:instrText>
      </w:r>
      <w:r w:rsidR="00335AD2" w:rsidRPr="00D0351F">
        <w:rPr>
          <w:rFonts w:ascii="Verdana" w:hAnsi="Verdana" w:cs="Verdana"/>
          <w:sz w:val="20"/>
          <w:szCs w:val="20"/>
          <w:lang w:val="es-ES"/>
        </w:rPr>
      </w:r>
      <w:r w:rsidR="00335AD2" w:rsidRPr="00D0351F">
        <w:rPr>
          <w:rFonts w:ascii="Verdana" w:hAnsi="Verdana" w:cs="Verdana"/>
          <w:sz w:val="20"/>
          <w:szCs w:val="20"/>
          <w:lang w:val="es-ES"/>
        </w:rPr>
        <w:fldChar w:fldCharType="separate"/>
      </w:r>
      <w:r w:rsidR="007E3C4B">
        <w:rPr>
          <w:rFonts w:ascii="Verdana" w:hAnsi="Verdana" w:cs="Verdana"/>
          <w:sz w:val="20"/>
          <w:szCs w:val="20"/>
          <w:lang w:val="es-ES"/>
        </w:rPr>
        <w:t>40</w:t>
      </w:r>
      <w:r w:rsidR="00335AD2" w:rsidRPr="00D0351F">
        <w:rPr>
          <w:rFonts w:ascii="Verdana" w:hAnsi="Verdana" w:cs="Verdana"/>
          <w:sz w:val="20"/>
          <w:szCs w:val="20"/>
          <w:lang w:val="es-ES"/>
        </w:rPr>
        <w:fldChar w:fldCharType="end"/>
      </w:r>
      <w:r w:rsidR="006D4E03" w:rsidRPr="00D0351F">
        <w:rPr>
          <w:rFonts w:ascii="Verdana" w:hAnsi="Verdana" w:cs="Verdana"/>
          <w:sz w:val="20"/>
          <w:szCs w:val="20"/>
          <w:lang w:val="es-ES"/>
        </w:rPr>
        <w:t xml:space="preserve"> </w:t>
      </w:r>
      <w:r w:rsidR="00335AD2" w:rsidRPr="00D0351F">
        <w:rPr>
          <w:rFonts w:ascii="Verdana" w:hAnsi="Verdana" w:cs="Verdana"/>
          <w:sz w:val="20"/>
          <w:szCs w:val="20"/>
          <w:lang w:val="es-ES"/>
        </w:rPr>
        <w:t>a</w:t>
      </w:r>
      <w:r w:rsidR="006D4E03" w:rsidRPr="00D0351F">
        <w:rPr>
          <w:rFonts w:ascii="Verdana" w:hAnsi="Verdana" w:cs="Verdana"/>
          <w:sz w:val="20"/>
          <w:szCs w:val="20"/>
          <w:lang w:val="es-ES"/>
        </w:rPr>
        <w:t xml:space="preserve"> </w:t>
      </w:r>
      <w:r w:rsidR="00335AD2" w:rsidRPr="00D0351F">
        <w:rPr>
          <w:rFonts w:ascii="Verdana" w:hAnsi="Verdana" w:cs="Verdana"/>
          <w:sz w:val="20"/>
          <w:szCs w:val="20"/>
          <w:lang w:val="es-ES"/>
        </w:rPr>
        <w:fldChar w:fldCharType="begin"/>
      </w:r>
      <w:r w:rsidR="00335AD2" w:rsidRPr="00D0351F">
        <w:rPr>
          <w:rFonts w:ascii="Verdana" w:hAnsi="Verdana" w:cs="Verdana"/>
          <w:sz w:val="20"/>
          <w:szCs w:val="20"/>
          <w:lang w:val="es-ES"/>
        </w:rPr>
        <w:instrText xml:space="preserve"> REF _Ref437846322 \r \h </w:instrText>
      </w:r>
      <w:r w:rsidR="004B4974" w:rsidRPr="00D0351F">
        <w:rPr>
          <w:rFonts w:ascii="Verdana" w:hAnsi="Verdana" w:cs="Verdana"/>
          <w:sz w:val="20"/>
          <w:szCs w:val="20"/>
          <w:lang w:val="es-ES"/>
        </w:rPr>
        <w:instrText xml:space="preserve"> \* MERGEFORMAT </w:instrText>
      </w:r>
      <w:r w:rsidR="00335AD2" w:rsidRPr="00D0351F">
        <w:rPr>
          <w:rFonts w:ascii="Verdana" w:hAnsi="Verdana" w:cs="Verdana"/>
          <w:sz w:val="20"/>
          <w:szCs w:val="20"/>
          <w:lang w:val="es-ES"/>
        </w:rPr>
      </w:r>
      <w:r w:rsidR="00335AD2" w:rsidRPr="00D0351F">
        <w:rPr>
          <w:rFonts w:ascii="Verdana" w:hAnsi="Verdana" w:cs="Verdana"/>
          <w:sz w:val="20"/>
          <w:szCs w:val="20"/>
          <w:lang w:val="es-ES"/>
        </w:rPr>
        <w:fldChar w:fldCharType="separate"/>
      </w:r>
      <w:r w:rsidR="007E3C4B">
        <w:rPr>
          <w:rFonts w:ascii="Verdana" w:hAnsi="Verdana" w:cs="Verdana"/>
          <w:sz w:val="20"/>
          <w:szCs w:val="20"/>
          <w:lang w:val="es-ES"/>
        </w:rPr>
        <w:t>43</w:t>
      </w:r>
      <w:r w:rsidR="00335AD2" w:rsidRPr="00D0351F">
        <w:rPr>
          <w:rFonts w:ascii="Verdana" w:hAnsi="Verdana" w:cs="Verdana"/>
          <w:sz w:val="20"/>
          <w:szCs w:val="20"/>
          <w:lang w:val="es-ES"/>
        </w:rPr>
        <w:fldChar w:fldCharType="end"/>
      </w:r>
      <w:r w:rsidR="006D4E03" w:rsidRPr="00D0351F">
        <w:rPr>
          <w:rFonts w:ascii="Verdana" w:hAnsi="Verdana" w:cs="Verdana"/>
          <w:sz w:val="20"/>
          <w:szCs w:val="20"/>
          <w:lang w:val="es-ES"/>
        </w:rPr>
        <w:t>).</w:t>
      </w:r>
      <w:bookmarkStart w:id="17" w:name="_Ref437870239"/>
      <w:bookmarkEnd w:id="16"/>
    </w:p>
    <w:p w14:paraId="1E986E6C" w14:textId="77777777" w:rsidR="00CD430E" w:rsidRDefault="00CD430E" w:rsidP="00CD430E">
      <w:pPr>
        <w:spacing w:after="0" w:line="240" w:lineRule="auto"/>
        <w:ind w:right="1444"/>
        <w:contextualSpacing/>
        <w:jc w:val="both"/>
        <w:rPr>
          <w:rFonts w:ascii="Verdana" w:hAnsi="Verdana" w:cs="Verdana"/>
          <w:sz w:val="20"/>
          <w:szCs w:val="20"/>
          <w:lang w:val="es-ES"/>
        </w:rPr>
      </w:pPr>
    </w:p>
    <w:p w14:paraId="65264044" w14:textId="697E0B97" w:rsidR="00C02060" w:rsidRPr="00CD430E" w:rsidRDefault="00C02060" w:rsidP="00CD430E">
      <w:pPr>
        <w:numPr>
          <w:ilvl w:val="0"/>
          <w:numId w:val="2"/>
        </w:numPr>
        <w:spacing w:after="0" w:line="240" w:lineRule="auto"/>
        <w:ind w:left="0" w:right="1444" w:firstLine="0"/>
        <w:contextualSpacing/>
        <w:jc w:val="both"/>
        <w:rPr>
          <w:rFonts w:ascii="Verdana" w:hAnsi="Verdana" w:cs="Verdana"/>
          <w:sz w:val="20"/>
          <w:szCs w:val="20"/>
          <w:lang w:val="es-ES"/>
        </w:rPr>
      </w:pPr>
      <w:r w:rsidRPr="00CD430E">
        <w:rPr>
          <w:rFonts w:ascii="Verdana" w:hAnsi="Verdana" w:cs="Verdana"/>
          <w:sz w:val="20"/>
          <w:szCs w:val="20"/>
          <w:lang w:val="es-ES"/>
        </w:rPr>
        <w:t xml:space="preserve">El Estado está obligado a investigar las violaciones a derechos humanos constatadas en las Sentencias de esos </w:t>
      </w:r>
      <w:r w:rsidRPr="00CD430E">
        <w:rPr>
          <w:rFonts w:ascii="Verdana" w:hAnsi="Verdana" w:cs="Verdana"/>
          <w:i/>
          <w:sz w:val="20"/>
          <w:szCs w:val="20"/>
          <w:lang w:val="es-ES"/>
        </w:rPr>
        <w:t>12 casos</w:t>
      </w:r>
      <w:r w:rsidR="00335AD2" w:rsidRPr="00CD430E">
        <w:rPr>
          <w:rFonts w:ascii="Verdana" w:hAnsi="Verdana" w:cs="Verdana"/>
          <w:sz w:val="20"/>
          <w:szCs w:val="20"/>
          <w:lang w:val="es-ES"/>
        </w:rPr>
        <w:t>, las cuales se refieren a</w:t>
      </w:r>
      <w:r w:rsidRPr="00CD430E">
        <w:rPr>
          <w:rFonts w:ascii="Verdana" w:hAnsi="Verdana" w:cs="Verdana"/>
          <w:sz w:val="20"/>
          <w:szCs w:val="20"/>
          <w:lang w:val="es-ES"/>
        </w:rPr>
        <w:t>:</w:t>
      </w:r>
      <w:bookmarkEnd w:id="17"/>
      <w:r w:rsidR="00CD430E" w:rsidRPr="00CD430E">
        <w:rPr>
          <w:rFonts w:ascii="Verdana" w:hAnsi="Verdana" w:cs="Verdana"/>
          <w:sz w:val="20"/>
          <w:szCs w:val="20"/>
          <w:lang w:val="es-ES"/>
        </w:rPr>
        <w:t xml:space="preserve"> la desaparición y muerte del </w:t>
      </w:r>
      <w:r w:rsidR="00CD430E" w:rsidRPr="00CD430E">
        <w:rPr>
          <w:rFonts w:ascii="Verdana" w:hAnsi="Verdana" w:cs="Verdana"/>
          <w:sz w:val="20"/>
          <w:szCs w:val="20"/>
          <w:lang w:val="es-ES"/>
        </w:rPr>
        <w:lastRenderedPageBreak/>
        <w:t xml:space="preserve">señor </w:t>
      </w:r>
      <w:r w:rsidR="00CD430E" w:rsidRPr="00CD430E">
        <w:rPr>
          <w:rFonts w:ascii="Verdana" w:hAnsi="Verdana" w:cs="Verdana"/>
          <w:i/>
          <w:sz w:val="20"/>
          <w:szCs w:val="20"/>
          <w:lang w:val="es-ES"/>
        </w:rPr>
        <w:t>Blake</w:t>
      </w:r>
      <w:r w:rsidR="00CD430E" w:rsidRPr="0032068E">
        <w:rPr>
          <w:rStyle w:val="FootnoteReference"/>
          <w:rFonts w:ascii="Verdana" w:hAnsi="Verdana" w:cs="Verdana"/>
          <w:i/>
          <w:sz w:val="20"/>
          <w:szCs w:val="20"/>
          <w:lang w:val="es-ES"/>
        </w:rPr>
        <w:footnoteReference w:id="25"/>
      </w:r>
      <w:r w:rsidR="00CD430E" w:rsidRPr="00CD430E">
        <w:rPr>
          <w:rFonts w:ascii="Verdana" w:hAnsi="Verdana" w:cs="Verdana"/>
          <w:i/>
          <w:sz w:val="20"/>
          <w:szCs w:val="20"/>
          <w:lang w:val="es-ES"/>
        </w:rPr>
        <w:t>;</w:t>
      </w:r>
      <w:r w:rsidR="00CD430E" w:rsidRPr="00CD430E">
        <w:rPr>
          <w:rFonts w:ascii="Verdana" w:hAnsi="Verdana" w:cs="Verdana"/>
          <w:sz w:val="20"/>
          <w:szCs w:val="20"/>
          <w:lang w:val="es-ES"/>
        </w:rPr>
        <w:t xml:space="preserve"> la desaparición, tortura y ejecución del señor </w:t>
      </w:r>
      <w:r w:rsidR="00CD430E" w:rsidRPr="00CD430E">
        <w:rPr>
          <w:rFonts w:ascii="Verdana" w:hAnsi="Verdana" w:cs="Verdana"/>
          <w:i/>
          <w:sz w:val="20"/>
          <w:szCs w:val="20"/>
          <w:lang w:val="es-ES"/>
        </w:rPr>
        <w:t>Bámaca Velásquez</w:t>
      </w:r>
      <w:r w:rsidR="00CD430E" w:rsidRPr="0032068E">
        <w:rPr>
          <w:rStyle w:val="FootnoteReference"/>
          <w:rFonts w:ascii="Verdana" w:hAnsi="Verdana" w:cs="Verdana"/>
          <w:i/>
          <w:sz w:val="20"/>
          <w:szCs w:val="20"/>
          <w:lang w:val="es-ES"/>
        </w:rPr>
        <w:footnoteReference w:id="26"/>
      </w:r>
      <w:r w:rsidR="00CD430E" w:rsidRPr="00CD430E">
        <w:rPr>
          <w:rFonts w:ascii="Verdana" w:hAnsi="Verdana" w:cs="Verdana"/>
          <w:i/>
          <w:sz w:val="20"/>
          <w:szCs w:val="20"/>
          <w:lang w:val="es-ES"/>
        </w:rPr>
        <w:t xml:space="preserve">; </w:t>
      </w:r>
      <w:r w:rsidR="00CD430E" w:rsidRPr="00CD430E">
        <w:rPr>
          <w:rFonts w:ascii="Verdana" w:hAnsi="Verdana" w:cs="Verdana"/>
          <w:sz w:val="20"/>
          <w:szCs w:val="20"/>
          <w:lang w:val="es-ES"/>
        </w:rPr>
        <w:t xml:space="preserve">la masacre de 268 personas y otras violaciones de derechos cometidas en perjuicio de integrantes de la comunidad Plan de Sánchez en el caso </w:t>
      </w:r>
      <w:r w:rsidR="00CD430E" w:rsidRPr="00CD430E">
        <w:rPr>
          <w:rFonts w:ascii="Verdana" w:hAnsi="Verdana" w:cs="Verdana"/>
          <w:i/>
          <w:sz w:val="20"/>
          <w:szCs w:val="20"/>
          <w:lang w:val="es-ES"/>
        </w:rPr>
        <w:t>Masacre Plan de Sánchez</w:t>
      </w:r>
      <w:r w:rsidR="00CD430E" w:rsidRPr="0032068E">
        <w:rPr>
          <w:rStyle w:val="FootnoteReference"/>
          <w:rFonts w:ascii="Verdana" w:hAnsi="Verdana" w:cs="Verdana"/>
          <w:i/>
          <w:sz w:val="20"/>
          <w:szCs w:val="20"/>
          <w:lang w:val="es-ES"/>
        </w:rPr>
        <w:footnoteReference w:id="27"/>
      </w:r>
      <w:r w:rsidR="00CD430E" w:rsidRPr="00CD430E">
        <w:rPr>
          <w:rFonts w:ascii="Verdana" w:hAnsi="Verdana" w:cs="Verdana"/>
          <w:sz w:val="20"/>
          <w:szCs w:val="20"/>
          <w:lang w:val="es-ES"/>
        </w:rPr>
        <w:t xml:space="preserve">; la detención, trato inhumano y tortura de once personas, al igual que la muerte de cinco de ellas, en el caso </w:t>
      </w:r>
      <w:r w:rsidR="00CD430E" w:rsidRPr="00CD430E">
        <w:rPr>
          <w:rFonts w:ascii="Verdana" w:hAnsi="Verdana" w:cs="Verdana"/>
          <w:i/>
          <w:sz w:val="20"/>
          <w:szCs w:val="20"/>
          <w:lang w:val="es-ES"/>
        </w:rPr>
        <w:t>Panel Blanca</w:t>
      </w:r>
      <w:r w:rsidR="00CD430E" w:rsidRPr="0032068E">
        <w:rPr>
          <w:rStyle w:val="FootnoteReference"/>
          <w:rFonts w:ascii="Verdana" w:hAnsi="Verdana" w:cs="Verdana"/>
          <w:i/>
          <w:sz w:val="20"/>
          <w:szCs w:val="20"/>
          <w:lang w:val="es-ES"/>
        </w:rPr>
        <w:footnoteReference w:id="28"/>
      </w:r>
      <w:r w:rsidR="00CD430E" w:rsidRPr="00CD430E">
        <w:rPr>
          <w:rFonts w:ascii="Verdana" w:hAnsi="Verdana" w:cs="Verdana"/>
          <w:sz w:val="20"/>
          <w:szCs w:val="20"/>
          <w:lang w:val="es-ES"/>
        </w:rPr>
        <w:t>;</w:t>
      </w:r>
      <w:r w:rsidR="00CD430E" w:rsidRPr="00CD430E">
        <w:rPr>
          <w:rFonts w:ascii="Verdana" w:hAnsi="Verdana" w:cs="Verdana"/>
          <w:i/>
          <w:sz w:val="20"/>
          <w:szCs w:val="20"/>
          <w:lang w:val="es-ES"/>
        </w:rPr>
        <w:t xml:space="preserve"> </w:t>
      </w:r>
      <w:r w:rsidR="00CD430E" w:rsidRPr="00CD430E">
        <w:rPr>
          <w:rFonts w:ascii="Verdana" w:hAnsi="Verdana" w:cs="Verdana"/>
          <w:sz w:val="20"/>
          <w:szCs w:val="20"/>
          <w:lang w:val="es-ES"/>
        </w:rPr>
        <w:t>la desaparición forzada del niño Marco Antonio</w:t>
      </w:r>
      <w:r w:rsidR="00CD430E" w:rsidRPr="00CD430E">
        <w:rPr>
          <w:rFonts w:ascii="Verdana" w:hAnsi="Verdana" w:cs="Verdana"/>
          <w:i/>
          <w:sz w:val="20"/>
          <w:szCs w:val="20"/>
          <w:lang w:val="es-ES"/>
        </w:rPr>
        <w:t xml:space="preserve"> Molina Theissen</w:t>
      </w:r>
      <w:r w:rsidR="00CD430E" w:rsidRPr="0032068E">
        <w:rPr>
          <w:rStyle w:val="FootnoteReference"/>
          <w:rFonts w:ascii="Verdana" w:hAnsi="Verdana" w:cs="Verdana"/>
          <w:i/>
          <w:sz w:val="20"/>
          <w:szCs w:val="20"/>
          <w:lang w:val="es-ES"/>
        </w:rPr>
        <w:footnoteReference w:id="29"/>
      </w:r>
      <w:r w:rsidR="00CD430E" w:rsidRPr="00CD430E">
        <w:rPr>
          <w:rFonts w:ascii="Verdana" w:hAnsi="Verdana" w:cs="Verdana"/>
          <w:sz w:val="20"/>
          <w:szCs w:val="20"/>
          <w:lang w:val="es-ES"/>
        </w:rPr>
        <w:t xml:space="preserve">; la detención arbitraria y tortura de </w:t>
      </w:r>
      <w:r w:rsidR="00CD430E" w:rsidRPr="00CD430E">
        <w:rPr>
          <w:rFonts w:ascii="Verdana" w:hAnsi="Verdana" w:cs="Verdana"/>
          <w:i/>
          <w:sz w:val="20"/>
          <w:szCs w:val="20"/>
          <w:lang w:val="es-ES"/>
        </w:rPr>
        <w:t>Maritza Urrutia</w:t>
      </w:r>
      <w:r w:rsidR="00CD430E" w:rsidRPr="0032068E">
        <w:rPr>
          <w:rStyle w:val="FootnoteReference"/>
          <w:rFonts w:ascii="Verdana" w:hAnsi="Verdana" w:cs="Verdana"/>
          <w:i/>
          <w:sz w:val="20"/>
          <w:szCs w:val="20"/>
          <w:lang w:val="es-ES"/>
        </w:rPr>
        <w:footnoteReference w:id="30"/>
      </w:r>
      <w:r w:rsidR="00CD430E" w:rsidRPr="00CD430E">
        <w:rPr>
          <w:rFonts w:ascii="Verdana" w:hAnsi="Verdana" w:cs="Verdana"/>
          <w:sz w:val="20"/>
          <w:szCs w:val="20"/>
          <w:lang w:val="es-ES"/>
        </w:rPr>
        <w:t xml:space="preserve">; la ejecución extrajudicial de Jorge </w:t>
      </w:r>
      <w:r w:rsidR="00CD430E" w:rsidRPr="00CD430E">
        <w:rPr>
          <w:rFonts w:ascii="Verdana" w:hAnsi="Verdana" w:cs="Verdana"/>
          <w:i/>
          <w:sz w:val="20"/>
          <w:szCs w:val="20"/>
          <w:lang w:val="es-ES"/>
        </w:rPr>
        <w:t xml:space="preserve">Carpio Nicolle </w:t>
      </w:r>
      <w:r w:rsidR="00CD430E" w:rsidRPr="00CD430E">
        <w:rPr>
          <w:rFonts w:ascii="Verdana" w:hAnsi="Verdana" w:cs="Verdana"/>
          <w:sz w:val="20"/>
          <w:szCs w:val="20"/>
          <w:lang w:val="es-ES"/>
        </w:rPr>
        <w:t xml:space="preserve">y </w:t>
      </w:r>
      <w:r w:rsidR="00CD430E" w:rsidRPr="00CD430E">
        <w:rPr>
          <w:rFonts w:ascii="Verdana" w:hAnsi="Verdana" w:cs="Verdana"/>
          <w:sz w:val="20"/>
          <w:szCs w:val="20"/>
          <w:lang w:val="es-ES"/>
        </w:rPr>
        <w:lastRenderedPageBreak/>
        <w:t>otras personas</w:t>
      </w:r>
      <w:r w:rsidR="00CD430E" w:rsidRPr="0032068E">
        <w:rPr>
          <w:rStyle w:val="FootnoteReference"/>
          <w:rFonts w:ascii="Verdana" w:hAnsi="Verdana" w:cs="Verdana"/>
          <w:sz w:val="20"/>
          <w:szCs w:val="20"/>
          <w:lang w:val="es-ES"/>
        </w:rPr>
        <w:footnoteReference w:id="31"/>
      </w:r>
      <w:r w:rsidR="00CD430E" w:rsidRPr="00CD430E">
        <w:rPr>
          <w:rFonts w:ascii="Verdana" w:hAnsi="Verdana" w:cs="Verdana"/>
          <w:sz w:val="20"/>
          <w:szCs w:val="20"/>
          <w:lang w:val="es-ES"/>
        </w:rPr>
        <w:t xml:space="preserve">; la desaparición forzada de María </w:t>
      </w:r>
      <w:r w:rsidR="00CD430E" w:rsidRPr="00CD430E">
        <w:rPr>
          <w:rFonts w:ascii="Verdana" w:hAnsi="Verdana" w:cs="Verdana"/>
          <w:i/>
          <w:sz w:val="20"/>
          <w:szCs w:val="20"/>
          <w:lang w:val="es-ES"/>
        </w:rPr>
        <w:t>Tiu Tojín</w:t>
      </w:r>
      <w:r w:rsidR="00CD430E" w:rsidRPr="00CD430E">
        <w:rPr>
          <w:rFonts w:ascii="Verdana" w:hAnsi="Verdana" w:cs="Verdana"/>
          <w:sz w:val="20"/>
          <w:szCs w:val="20"/>
          <w:lang w:val="es-ES"/>
        </w:rPr>
        <w:t xml:space="preserve"> y su hija</w:t>
      </w:r>
      <w:r w:rsidR="00CD430E" w:rsidRPr="0032068E">
        <w:rPr>
          <w:rStyle w:val="FootnoteReference"/>
          <w:rFonts w:ascii="Verdana" w:hAnsi="Verdana" w:cs="Verdana"/>
          <w:sz w:val="20"/>
          <w:szCs w:val="20"/>
          <w:lang w:val="es-ES"/>
        </w:rPr>
        <w:footnoteReference w:id="32"/>
      </w:r>
      <w:r w:rsidR="00CD430E" w:rsidRPr="00CD430E">
        <w:rPr>
          <w:rFonts w:ascii="Verdana" w:hAnsi="Verdana" w:cs="Verdana"/>
          <w:sz w:val="20"/>
          <w:szCs w:val="20"/>
          <w:lang w:val="es-ES"/>
        </w:rPr>
        <w:t xml:space="preserve">; las muertes, torturas, agresiones sexuales, y otros actos en el marco de la </w:t>
      </w:r>
      <w:r w:rsidR="00CD430E" w:rsidRPr="00CD430E">
        <w:rPr>
          <w:rFonts w:ascii="Verdana" w:hAnsi="Verdana" w:cs="Verdana"/>
          <w:i/>
          <w:sz w:val="20"/>
          <w:szCs w:val="20"/>
          <w:lang w:val="es-ES"/>
        </w:rPr>
        <w:t>Masacre de Dos Erres</w:t>
      </w:r>
      <w:r w:rsidR="00CD430E" w:rsidRPr="0032068E">
        <w:rPr>
          <w:rStyle w:val="FootnoteReference"/>
          <w:rFonts w:ascii="Verdana" w:hAnsi="Verdana" w:cs="Verdana"/>
          <w:i/>
          <w:sz w:val="20"/>
          <w:szCs w:val="20"/>
          <w:lang w:val="es-ES"/>
        </w:rPr>
        <w:footnoteReference w:id="33"/>
      </w:r>
      <w:r w:rsidR="00CD430E" w:rsidRPr="00CD430E">
        <w:rPr>
          <w:rFonts w:ascii="Verdana" w:hAnsi="Verdana" w:cs="Verdana"/>
          <w:sz w:val="20"/>
          <w:szCs w:val="20"/>
          <w:lang w:val="es-ES"/>
        </w:rPr>
        <w:t xml:space="preserve">, la desaparición forzada de Florencio </w:t>
      </w:r>
      <w:r w:rsidR="00CD430E" w:rsidRPr="00CD430E">
        <w:rPr>
          <w:rFonts w:ascii="Verdana" w:hAnsi="Verdana" w:cs="Verdana"/>
          <w:i/>
          <w:sz w:val="20"/>
          <w:szCs w:val="20"/>
          <w:lang w:val="es-ES"/>
        </w:rPr>
        <w:t>Chitay Nech</w:t>
      </w:r>
      <w:r w:rsidR="00CD430E" w:rsidRPr="0032068E">
        <w:rPr>
          <w:rStyle w:val="FootnoteReference"/>
          <w:rFonts w:ascii="Verdana" w:hAnsi="Verdana" w:cs="Verdana"/>
          <w:i/>
          <w:sz w:val="20"/>
          <w:szCs w:val="20"/>
          <w:lang w:val="es-ES"/>
        </w:rPr>
        <w:footnoteReference w:id="34"/>
      </w:r>
      <w:r w:rsidR="00CD430E" w:rsidRPr="00CD430E">
        <w:rPr>
          <w:rFonts w:ascii="Verdana" w:hAnsi="Verdana" w:cs="Verdana"/>
          <w:i/>
          <w:sz w:val="20"/>
          <w:szCs w:val="20"/>
          <w:lang w:val="es-ES"/>
        </w:rPr>
        <w:t xml:space="preserve">; </w:t>
      </w:r>
      <w:r w:rsidR="00CD430E" w:rsidRPr="00CD430E">
        <w:rPr>
          <w:rFonts w:ascii="Verdana" w:hAnsi="Verdana" w:cs="Verdana"/>
          <w:sz w:val="20"/>
          <w:szCs w:val="20"/>
          <w:lang w:val="es-ES"/>
        </w:rPr>
        <w:t>así como</w:t>
      </w:r>
      <w:r w:rsidR="00CD430E" w:rsidRPr="00CD430E">
        <w:rPr>
          <w:rFonts w:ascii="Verdana" w:hAnsi="Verdana" w:cs="Verdana"/>
          <w:i/>
          <w:sz w:val="20"/>
          <w:szCs w:val="20"/>
          <w:lang w:val="es-ES"/>
        </w:rPr>
        <w:t xml:space="preserve"> </w:t>
      </w:r>
      <w:r w:rsidR="00CD430E" w:rsidRPr="00CD430E">
        <w:rPr>
          <w:rFonts w:ascii="Verdana" w:hAnsi="Verdana" w:cs="Verdana"/>
          <w:sz w:val="20"/>
          <w:szCs w:val="20"/>
          <w:lang w:val="es-ES"/>
        </w:rPr>
        <w:t xml:space="preserve">la detención, tortura y muerte de los niños y </w:t>
      </w:r>
      <w:r w:rsidR="00CD430E" w:rsidRPr="00CD430E">
        <w:rPr>
          <w:rFonts w:ascii="Verdana" w:hAnsi="Verdana" w:cs="Verdana"/>
          <w:sz w:val="20"/>
          <w:szCs w:val="20"/>
          <w:lang w:val="es-ES"/>
        </w:rPr>
        <w:lastRenderedPageBreak/>
        <w:t xml:space="preserve">jóvenes del caso </w:t>
      </w:r>
      <w:r w:rsidR="00CD430E" w:rsidRPr="00CD430E">
        <w:rPr>
          <w:rFonts w:ascii="Verdana" w:hAnsi="Verdana" w:cs="Verdana"/>
          <w:i/>
          <w:sz w:val="20"/>
          <w:szCs w:val="20"/>
          <w:lang w:val="es-ES"/>
        </w:rPr>
        <w:t>Niños de la Calle</w:t>
      </w:r>
      <w:r w:rsidR="00CD430E" w:rsidRPr="0032068E">
        <w:rPr>
          <w:rStyle w:val="FootnoteReference"/>
          <w:rFonts w:ascii="Verdana" w:hAnsi="Verdana" w:cs="Verdana"/>
          <w:i/>
          <w:sz w:val="20"/>
          <w:szCs w:val="20"/>
          <w:lang w:val="es-ES"/>
        </w:rPr>
        <w:footnoteReference w:id="35"/>
      </w:r>
      <w:r w:rsidR="00CD430E" w:rsidRPr="00CD430E">
        <w:rPr>
          <w:rFonts w:ascii="Verdana" w:hAnsi="Verdana" w:cs="Verdana"/>
          <w:i/>
          <w:sz w:val="20"/>
          <w:szCs w:val="20"/>
          <w:lang w:val="es-ES"/>
        </w:rPr>
        <w:t xml:space="preserve"> y </w:t>
      </w:r>
      <w:r w:rsidR="00CD430E" w:rsidRPr="00CD430E">
        <w:rPr>
          <w:rFonts w:ascii="Verdana" w:hAnsi="Verdana" w:cs="Verdana"/>
          <w:sz w:val="20"/>
          <w:szCs w:val="20"/>
          <w:lang w:val="es-ES"/>
        </w:rPr>
        <w:t xml:space="preserve">la ejecución extrajudicial de la antropóloga Myrna </w:t>
      </w:r>
      <w:r w:rsidR="00CD430E" w:rsidRPr="00CD430E">
        <w:rPr>
          <w:rFonts w:ascii="Verdana" w:hAnsi="Verdana" w:cs="Verdana"/>
          <w:i/>
          <w:sz w:val="20"/>
          <w:szCs w:val="20"/>
          <w:lang w:val="es-ES"/>
        </w:rPr>
        <w:t>Mack Chang</w:t>
      </w:r>
      <w:r w:rsidR="00CD430E" w:rsidRPr="0032068E">
        <w:rPr>
          <w:rStyle w:val="FootnoteReference"/>
          <w:rFonts w:ascii="Verdana" w:hAnsi="Verdana" w:cs="Verdana"/>
          <w:i/>
          <w:sz w:val="20"/>
          <w:szCs w:val="20"/>
          <w:lang w:val="es-ES"/>
        </w:rPr>
        <w:footnoteReference w:id="36"/>
      </w:r>
      <w:r w:rsidR="00CD430E" w:rsidRPr="00CD430E">
        <w:rPr>
          <w:rFonts w:ascii="Verdana" w:hAnsi="Verdana" w:cs="Verdana"/>
          <w:sz w:val="20"/>
          <w:szCs w:val="20"/>
          <w:lang w:val="es-ES"/>
        </w:rPr>
        <w:t>.</w:t>
      </w:r>
      <w:r w:rsidR="0012451A" w:rsidRPr="00CD430E">
        <w:rPr>
          <w:rFonts w:ascii="Verdana" w:hAnsi="Verdana" w:cs="Verdana"/>
          <w:sz w:val="20"/>
          <w:szCs w:val="20"/>
          <w:lang w:val="es-ES"/>
        </w:rPr>
        <w:t xml:space="preserve"> La mayoría de esos hechos ocurrieron o iniciaron su ejecución entre los años 1960 y 1996 durante el conflicto armado interno de Guatemala.</w:t>
      </w:r>
    </w:p>
    <w:p w14:paraId="33B76383" w14:textId="77777777" w:rsidR="00B43BBB" w:rsidRPr="0032068E" w:rsidRDefault="00B43BBB" w:rsidP="00B43BBB">
      <w:pPr>
        <w:spacing w:after="0" w:line="240" w:lineRule="auto"/>
        <w:ind w:right="1444"/>
        <w:contextualSpacing/>
        <w:jc w:val="both"/>
        <w:rPr>
          <w:rFonts w:ascii="Verdana" w:hAnsi="Verdana" w:cs="Verdana"/>
          <w:sz w:val="20"/>
          <w:szCs w:val="20"/>
          <w:lang w:val="es-ES"/>
        </w:rPr>
      </w:pPr>
    </w:p>
    <w:p w14:paraId="6079B77C" w14:textId="75A9A12C" w:rsidR="008351F1" w:rsidRPr="0068549C" w:rsidRDefault="008351F1" w:rsidP="00AD4A03">
      <w:pPr>
        <w:numPr>
          <w:ilvl w:val="0"/>
          <w:numId w:val="2"/>
        </w:numPr>
        <w:spacing w:after="0" w:line="240" w:lineRule="auto"/>
        <w:ind w:left="0" w:right="1444" w:firstLine="0"/>
        <w:contextualSpacing/>
        <w:jc w:val="both"/>
        <w:rPr>
          <w:rFonts w:ascii="Verdana" w:hAnsi="Verdana" w:cs="Verdana"/>
          <w:sz w:val="20"/>
          <w:szCs w:val="20"/>
          <w:lang w:val="es-ES"/>
        </w:rPr>
      </w:pPr>
      <w:r w:rsidRPr="008351F1">
        <w:rPr>
          <w:rFonts w:ascii="Verdana" w:hAnsi="Verdana" w:cs="Verdana"/>
          <w:sz w:val="20"/>
          <w:szCs w:val="20"/>
          <w:lang w:val="es-ES"/>
        </w:rPr>
        <w:t>En ninguno de los casos señalados, la Corte ha determinado que ha existido un cumplimiento total de la</w:t>
      </w:r>
      <w:r w:rsidR="0068549C">
        <w:rPr>
          <w:rFonts w:ascii="Verdana" w:hAnsi="Verdana" w:cs="Verdana"/>
          <w:sz w:val="20"/>
          <w:szCs w:val="20"/>
          <w:lang w:val="es-ES"/>
        </w:rPr>
        <w:t xml:space="preserve"> obligación de investigar, juzgar y, en su caso, sancionar</w:t>
      </w:r>
      <w:r w:rsidRPr="008351F1">
        <w:rPr>
          <w:rFonts w:ascii="Verdana" w:hAnsi="Verdana" w:cs="Verdana"/>
          <w:sz w:val="20"/>
          <w:szCs w:val="20"/>
          <w:lang w:val="es-ES"/>
        </w:rPr>
        <w:t xml:space="preserve">. Sólo en el caso Mack Chang, por las razones que se desarrollarán posteriormente </w:t>
      </w:r>
      <w:r w:rsidRPr="0068549C">
        <w:rPr>
          <w:rFonts w:ascii="Verdana" w:hAnsi="Verdana" w:cs="Verdana"/>
          <w:sz w:val="20"/>
          <w:szCs w:val="20"/>
          <w:lang w:val="es-ES"/>
        </w:rPr>
        <w:t>(</w:t>
      </w:r>
      <w:r w:rsidRPr="0068549C">
        <w:rPr>
          <w:rFonts w:ascii="Verdana" w:hAnsi="Verdana" w:cs="Verdana"/>
          <w:i/>
          <w:sz w:val="20"/>
          <w:szCs w:val="20"/>
          <w:lang w:val="es-ES"/>
        </w:rPr>
        <w:t>infra</w:t>
      </w:r>
      <w:r w:rsidRPr="0068549C">
        <w:rPr>
          <w:rFonts w:ascii="Verdana" w:hAnsi="Verdana" w:cs="Verdana"/>
          <w:sz w:val="20"/>
          <w:szCs w:val="20"/>
          <w:lang w:val="es-ES"/>
        </w:rPr>
        <w:t xml:space="preserve"> Considerando 72), se declaró un cumplimiento parcial de la medida</w:t>
      </w:r>
      <w:r w:rsidR="00BA537A" w:rsidRPr="0068549C">
        <w:rPr>
          <w:rFonts w:ascii="Verdana" w:hAnsi="Verdana" w:cs="Verdana"/>
          <w:sz w:val="20"/>
          <w:szCs w:val="20"/>
          <w:lang w:val="es-ES"/>
        </w:rPr>
        <w:t>.</w:t>
      </w:r>
    </w:p>
    <w:p w14:paraId="53EB9D59" w14:textId="77777777" w:rsidR="009041CF" w:rsidRDefault="009041CF" w:rsidP="00AD4A03">
      <w:pPr>
        <w:spacing w:after="0" w:line="240" w:lineRule="auto"/>
        <w:ind w:right="1444"/>
        <w:contextualSpacing/>
        <w:jc w:val="both"/>
        <w:rPr>
          <w:rFonts w:ascii="Verdana" w:hAnsi="Verdana" w:cs="Verdana"/>
          <w:sz w:val="20"/>
          <w:szCs w:val="20"/>
          <w:lang w:val="es-ES"/>
        </w:rPr>
      </w:pPr>
    </w:p>
    <w:p w14:paraId="1100325B" w14:textId="77777777" w:rsidR="009041CF" w:rsidRPr="0032068E" w:rsidRDefault="009041CF" w:rsidP="00AD4A03">
      <w:pPr>
        <w:spacing w:after="0" w:line="240" w:lineRule="auto"/>
        <w:ind w:right="1444"/>
        <w:contextualSpacing/>
        <w:jc w:val="both"/>
        <w:rPr>
          <w:rFonts w:ascii="Verdana" w:hAnsi="Verdana" w:cs="Verdana"/>
          <w:sz w:val="20"/>
          <w:szCs w:val="20"/>
          <w:lang w:val="es-ES"/>
        </w:rPr>
      </w:pPr>
    </w:p>
    <w:p w14:paraId="3823478B" w14:textId="77777777" w:rsidR="00353CDE" w:rsidRPr="0032068E" w:rsidRDefault="00353CDE" w:rsidP="0062279D">
      <w:pPr>
        <w:pStyle w:val="Heading1"/>
      </w:pPr>
      <w:bookmarkStart w:id="18" w:name="_Toc435778520"/>
      <w:bookmarkStart w:id="19" w:name="_Toc439248778"/>
      <w:r w:rsidRPr="0032068E">
        <w:t xml:space="preserve">La supervisión conjunta de los </w:t>
      </w:r>
      <w:r w:rsidRPr="0032068E">
        <w:rPr>
          <w:i/>
        </w:rPr>
        <w:t>12 casos</w:t>
      </w:r>
      <w:bookmarkEnd w:id="18"/>
      <w:bookmarkEnd w:id="19"/>
    </w:p>
    <w:p w14:paraId="3C7C646E" w14:textId="77777777" w:rsidR="00F15D25" w:rsidRPr="0032068E" w:rsidRDefault="00F15D25" w:rsidP="00D901B8">
      <w:pPr>
        <w:spacing w:after="0" w:line="240" w:lineRule="auto"/>
        <w:ind w:right="1444"/>
        <w:contextualSpacing/>
        <w:jc w:val="both"/>
        <w:rPr>
          <w:rFonts w:ascii="Verdana" w:hAnsi="Verdana" w:cs="Verdana"/>
          <w:b/>
          <w:sz w:val="20"/>
          <w:szCs w:val="20"/>
          <w:lang w:val="es-ES"/>
        </w:rPr>
      </w:pPr>
    </w:p>
    <w:p w14:paraId="0B25AE00" w14:textId="51591F33" w:rsidR="00DE25C9" w:rsidRPr="0032068E" w:rsidRDefault="0077327F" w:rsidP="00366427">
      <w:pPr>
        <w:numPr>
          <w:ilvl w:val="0"/>
          <w:numId w:val="2"/>
        </w:numPr>
        <w:spacing w:after="0" w:line="240" w:lineRule="auto"/>
        <w:ind w:left="0" w:right="1444" w:firstLine="0"/>
        <w:contextualSpacing/>
        <w:jc w:val="both"/>
        <w:rPr>
          <w:rFonts w:ascii="Verdana" w:hAnsi="Verdana" w:cs="Verdana"/>
          <w:b/>
          <w:sz w:val="20"/>
          <w:szCs w:val="20"/>
          <w:lang w:val="es-ES"/>
        </w:rPr>
      </w:pPr>
      <w:bookmarkStart w:id="20" w:name="_Ref437337076"/>
      <w:r w:rsidRPr="0032068E">
        <w:rPr>
          <w:rFonts w:ascii="Verdana" w:hAnsi="Verdana" w:cs="Verdana"/>
          <w:sz w:val="20"/>
          <w:szCs w:val="20"/>
          <w:lang w:val="es-ES"/>
        </w:rPr>
        <w:t>Siguiendo instrucciones del Presidente, mediante nota de Secret</w:t>
      </w:r>
      <w:r w:rsidR="00083074">
        <w:rPr>
          <w:rFonts w:ascii="Verdana" w:hAnsi="Verdana" w:cs="Verdana"/>
          <w:sz w:val="20"/>
          <w:szCs w:val="20"/>
          <w:lang w:val="es-ES"/>
        </w:rPr>
        <w:t xml:space="preserve">aría del 24 de mayo de 2011, </w:t>
      </w:r>
      <w:r w:rsidRPr="0032068E">
        <w:rPr>
          <w:rFonts w:ascii="Verdana" w:hAnsi="Verdana" w:cs="Verdana"/>
          <w:sz w:val="20"/>
          <w:szCs w:val="20"/>
          <w:lang w:val="es-ES"/>
        </w:rPr>
        <w:t xml:space="preserve">se solicitó al Estado un informe sobre el cumplimiento </w:t>
      </w:r>
      <w:r w:rsidR="00083074">
        <w:rPr>
          <w:rFonts w:ascii="Verdana" w:hAnsi="Verdana" w:cs="Verdana"/>
          <w:sz w:val="20"/>
          <w:szCs w:val="20"/>
          <w:lang w:val="es-ES"/>
        </w:rPr>
        <w:t xml:space="preserve">de </w:t>
      </w:r>
      <w:r w:rsidR="00083074" w:rsidRPr="0032068E">
        <w:rPr>
          <w:rFonts w:ascii="Verdana" w:hAnsi="Verdana" w:cs="Verdana"/>
          <w:sz w:val="20"/>
          <w:szCs w:val="20"/>
          <w:lang w:val="es-ES"/>
        </w:rPr>
        <w:t xml:space="preserve">la obligación de investigar en los casos </w:t>
      </w:r>
      <w:r w:rsidR="00083074" w:rsidRPr="0032068E">
        <w:rPr>
          <w:rFonts w:ascii="Verdana" w:hAnsi="Verdana" w:cs="Verdana"/>
          <w:i/>
          <w:sz w:val="20"/>
          <w:szCs w:val="20"/>
          <w:lang w:val="es-ES"/>
        </w:rPr>
        <w:t xml:space="preserve">Panel Blanca, Blake, Niños de la Calle, Bámaca Velásquez, Mack Chang, Maritza Urrutia, Masacre Plan de Sánchez, Molina </w:t>
      </w:r>
      <w:r w:rsidR="00083074">
        <w:rPr>
          <w:rFonts w:ascii="Verdana" w:hAnsi="Verdana" w:cs="Verdana"/>
          <w:i/>
          <w:sz w:val="20"/>
          <w:szCs w:val="20"/>
          <w:lang w:val="es-ES"/>
        </w:rPr>
        <w:t>Theissen</w:t>
      </w:r>
      <w:r w:rsidR="00083074" w:rsidRPr="0032068E">
        <w:rPr>
          <w:rFonts w:ascii="Verdana" w:hAnsi="Verdana" w:cs="Verdana"/>
          <w:i/>
          <w:sz w:val="20"/>
          <w:szCs w:val="20"/>
          <w:lang w:val="es-ES"/>
        </w:rPr>
        <w:t>, Carpio Nicolle, Tiu Tojin y Masacre de las Dos Erres.</w:t>
      </w:r>
      <w:r w:rsidR="00083074" w:rsidRPr="0032068E">
        <w:rPr>
          <w:rFonts w:ascii="Verdana" w:hAnsi="Verdana" w:cs="Verdana"/>
          <w:sz w:val="20"/>
          <w:szCs w:val="20"/>
          <w:lang w:val="es-ES"/>
        </w:rPr>
        <w:t xml:space="preserve"> </w:t>
      </w:r>
      <w:r w:rsidR="00083074">
        <w:rPr>
          <w:rFonts w:ascii="Verdana" w:hAnsi="Verdana" w:cs="Verdana"/>
          <w:sz w:val="20"/>
          <w:szCs w:val="20"/>
          <w:lang w:val="es-ES"/>
        </w:rPr>
        <w:t xml:space="preserve">Se requirió a Guatemala </w:t>
      </w:r>
      <w:r w:rsidR="00874B5A" w:rsidRPr="0032068E">
        <w:rPr>
          <w:rFonts w:ascii="Verdana" w:hAnsi="Verdana" w:cs="Verdana"/>
          <w:sz w:val="20"/>
          <w:szCs w:val="20"/>
          <w:lang w:val="es-ES"/>
        </w:rPr>
        <w:t>que garantizara “que en la preparación de tal informe participen</w:t>
      </w:r>
      <w:r w:rsidRPr="0032068E">
        <w:rPr>
          <w:rFonts w:ascii="Verdana" w:hAnsi="Verdana" w:cs="Verdana"/>
          <w:sz w:val="20"/>
          <w:szCs w:val="20"/>
          <w:lang w:val="es-ES"/>
        </w:rPr>
        <w:t xml:space="preserve"> el Ministerio Público, los juzgados a cargo de los citados casos </w:t>
      </w:r>
      <w:r w:rsidR="00874B5A" w:rsidRPr="0032068E">
        <w:rPr>
          <w:rFonts w:ascii="Verdana" w:hAnsi="Verdana" w:cs="Verdana"/>
          <w:sz w:val="20"/>
          <w:szCs w:val="20"/>
          <w:lang w:val="es-ES"/>
        </w:rPr>
        <w:t>[</w:t>
      </w:r>
      <w:r w:rsidRPr="0032068E">
        <w:rPr>
          <w:rFonts w:ascii="Verdana" w:hAnsi="Verdana" w:cs="Verdana"/>
          <w:sz w:val="20"/>
          <w:szCs w:val="20"/>
          <w:lang w:val="es-ES"/>
        </w:rPr>
        <w:t>y</w:t>
      </w:r>
      <w:r w:rsidR="00874B5A" w:rsidRPr="0032068E">
        <w:rPr>
          <w:rFonts w:ascii="Verdana" w:hAnsi="Verdana" w:cs="Verdana"/>
          <w:sz w:val="20"/>
          <w:szCs w:val="20"/>
          <w:lang w:val="es-ES"/>
        </w:rPr>
        <w:t>]</w:t>
      </w:r>
      <w:r w:rsidRPr="0032068E">
        <w:rPr>
          <w:rFonts w:ascii="Verdana" w:hAnsi="Verdana" w:cs="Verdana"/>
          <w:sz w:val="20"/>
          <w:szCs w:val="20"/>
          <w:lang w:val="es-ES"/>
        </w:rPr>
        <w:t xml:space="preserve"> la Comisión Nacional para el Seguimiento y Apoyo al Fortalecimiento de la Justicia</w:t>
      </w:r>
      <w:r w:rsidR="00874B5A" w:rsidRPr="0032068E">
        <w:rPr>
          <w:rFonts w:ascii="Verdana" w:hAnsi="Verdana" w:cs="Verdana"/>
          <w:sz w:val="20"/>
          <w:szCs w:val="20"/>
          <w:lang w:val="es-ES"/>
        </w:rPr>
        <w:t>”</w:t>
      </w:r>
      <w:r w:rsidRPr="0032068E">
        <w:rPr>
          <w:rFonts w:ascii="Verdana" w:hAnsi="Verdana" w:cs="Verdana"/>
          <w:sz w:val="20"/>
          <w:szCs w:val="20"/>
          <w:lang w:val="es-ES"/>
        </w:rPr>
        <w:t xml:space="preserve">. </w:t>
      </w:r>
      <w:r w:rsidR="00083074">
        <w:rPr>
          <w:rFonts w:ascii="Verdana" w:hAnsi="Verdana" w:cs="Verdana"/>
          <w:sz w:val="20"/>
          <w:szCs w:val="20"/>
          <w:lang w:val="es-ES"/>
        </w:rPr>
        <w:t xml:space="preserve">Asimismo, se </w:t>
      </w:r>
      <w:r w:rsidR="00083074" w:rsidRPr="0032068E">
        <w:rPr>
          <w:rFonts w:ascii="Verdana" w:hAnsi="Verdana" w:cs="Verdana"/>
          <w:sz w:val="20"/>
          <w:szCs w:val="20"/>
          <w:lang w:val="es-ES"/>
        </w:rPr>
        <w:t xml:space="preserve">informó a las partes que </w:t>
      </w:r>
      <w:r w:rsidR="00083074">
        <w:rPr>
          <w:rFonts w:ascii="Verdana" w:hAnsi="Verdana" w:cs="Verdana"/>
          <w:sz w:val="20"/>
          <w:szCs w:val="20"/>
          <w:lang w:val="es-ES"/>
        </w:rPr>
        <w:t xml:space="preserve">posteriormente </w:t>
      </w:r>
      <w:r w:rsidR="00083074" w:rsidRPr="0032068E">
        <w:rPr>
          <w:rFonts w:ascii="Verdana" w:hAnsi="Verdana" w:cs="Verdana"/>
          <w:sz w:val="20"/>
          <w:szCs w:val="20"/>
          <w:lang w:val="es-ES"/>
        </w:rPr>
        <w:t xml:space="preserve">la Corte Interamericana </w:t>
      </w:r>
      <w:r w:rsidR="00083074">
        <w:rPr>
          <w:rFonts w:ascii="Verdana" w:hAnsi="Verdana" w:cs="Verdana"/>
          <w:sz w:val="20"/>
          <w:szCs w:val="20"/>
          <w:lang w:val="es-ES"/>
        </w:rPr>
        <w:t xml:space="preserve">programaría la </w:t>
      </w:r>
      <w:r w:rsidR="00083074" w:rsidRPr="0032068E">
        <w:rPr>
          <w:rFonts w:ascii="Verdana" w:hAnsi="Verdana" w:cs="Verdana"/>
          <w:sz w:val="20"/>
          <w:szCs w:val="20"/>
          <w:lang w:val="es-ES"/>
        </w:rPr>
        <w:t xml:space="preserve">celebración de una audiencia de supervisión de cumplimiento </w:t>
      </w:r>
      <w:r w:rsidR="00083074">
        <w:rPr>
          <w:rFonts w:ascii="Verdana" w:hAnsi="Verdana" w:cs="Verdana"/>
          <w:sz w:val="20"/>
          <w:szCs w:val="20"/>
          <w:lang w:val="es-ES"/>
        </w:rPr>
        <w:t xml:space="preserve">al respecto. </w:t>
      </w:r>
      <w:r w:rsidRPr="0032068E">
        <w:rPr>
          <w:rFonts w:ascii="Verdana" w:hAnsi="Verdana" w:cs="Verdana"/>
          <w:sz w:val="20"/>
          <w:szCs w:val="20"/>
          <w:lang w:val="es-ES"/>
        </w:rPr>
        <w:t>El Estado presentó el informe solicitado el 2</w:t>
      </w:r>
      <w:r w:rsidR="00571994">
        <w:rPr>
          <w:rFonts w:ascii="Verdana" w:hAnsi="Verdana" w:cs="Verdana"/>
          <w:sz w:val="20"/>
          <w:szCs w:val="20"/>
          <w:lang w:val="es-ES"/>
        </w:rPr>
        <w:t>7</w:t>
      </w:r>
      <w:r w:rsidRPr="0032068E">
        <w:rPr>
          <w:rFonts w:ascii="Verdana" w:hAnsi="Verdana" w:cs="Verdana"/>
          <w:sz w:val="20"/>
          <w:szCs w:val="20"/>
          <w:lang w:val="es-ES"/>
        </w:rPr>
        <w:t xml:space="preserve"> de junio de 2011, y </w:t>
      </w:r>
      <w:r w:rsidR="00D04CBE" w:rsidRPr="0032068E">
        <w:rPr>
          <w:rFonts w:ascii="Verdana" w:hAnsi="Verdana" w:cs="Verdana"/>
          <w:sz w:val="20"/>
          <w:szCs w:val="20"/>
          <w:lang w:val="es-ES"/>
        </w:rPr>
        <w:t xml:space="preserve">los representantes de las víctimas </w:t>
      </w:r>
      <w:r w:rsidRPr="0032068E">
        <w:rPr>
          <w:rFonts w:ascii="Verdana" w:hAnsi="Verdana" w:cs="Verdana"/>
          <w:sz w:val="20"/>
          <w:szCs w:val="20"/>
          <w:lang w:val="es-ES"/>
        </w:rPr>
        <w:t xml:space="preserve">y la Comisión presentaron sus observaciones al mismo entre el 18 de julio y el 19 de septiembre de </w:t>
      </w:r>
      <w:r w:rsidRPr="00083074">
        <w:rPr>
          <w:rFonts w:ascii="Verdana" w:hAnsi="Verdana" w:cs="Verdana"/>
          <w:sz w:val="20"/>
          <w:szCs w:val="20"/>
          <w:lang w:val="es-ES"/>
        </w:rPr>
        <w:t>2011</w:t>
      </w:r>
      <w:r w:rsidR="00A33363" w:rsidRPr="00083074">
        <w:rPr>
          <w:rFonts w:ascii="Verdana" w:hAnsi="Verdana" w:cs="Verdana"/>
          <w:sz w:val="20"/>
          <w:szCs w:val="20"/>
          <w:lang w:val="es-ES"/>
        </w:rPr>
        <w:t xml:space="preserve"> (</w:t>
      </w:r>
      <w:r w:rsidR="00A33363" w:rsidRPr="00083074">
        <w:rPr>
          <w:rFonts w:ascii="Verdana" w:hAnsi="Verdana" w:cs="Verdana"/>
          <w:i/>
          <w:sz w:val="20"/>
          <w:szCs w:val="20"/>
          <w:lang w:val="es-ES"/>
        </w:rPr>
        <w:t>supra</w:t>
      </w:r>
      <w:r w:rsidR="00A33363" w:rsidRPr="00083074">
        <w:rPr>
          <w:rFonts w:ascii="Verdana" w:hAnsi="Verdana" w:cs="Verdana"/>
          <w:sz w:val="20"/>
          <w:szCs w:val="20"/>
          <w:lang w:val="es-ES"/>
        </w:rPr>
        <w:t xml:space="preserve"> Vistos </w:t>
      </w:r>
      <w:r w:rsidR="00571994" w:rsidRPr="00083074">
        <w:rPr>
          <w:rFonts w:ascii="Verdana" w:hAnsi="Verdana" w:cs="Verdana"/>
          <w:sz w:val="20"/>
          <w:szCs w:val="20"/>
          <w:lang w:val="es-ES"/>
        </w:rPr>
        <w:fldChar w:fldCharType="begin"/>
      </w:r>
      <w:r w:rsidR="00571994" w:rsidRPr="00083074">
        <w:rPr>
          <w:rFonts w:ascii="Verdana" w:hAnsi="Verdana" w:cs="Verdana"/>
          <w:sz w:val="20"/>
          <w:szCs w:val="20"/>
          <w:lang w:val="es-ES"/>
        </w:rPr>
        <w:instrText xml:space="preserve"> REF _Ref437850364 \r \h </w:instrText>
      </w:r>
      <w:r w:rsidR="004A422E" w:rsidRPr="00083074">
        <w:rPr>
          <w:rFonts w:ascii="Verdana" w:hAnsi="Verdana" w:cs="Verdana"/>
          <w:sz w:val="20"/>
          <w:szCs w:val="20"/>
          <w:lang w:val="es-ES"/>
        </w:rPr>
        <w:instrText xml:space="preserve"> \* MERGEFORMAT </w:instrText>
      </w:r>
      <w:r w:rsidR="00571994" w:rsidRPr="00083074">
        <w:rPr>
          <w:rFonts w:ascii="Verdana" w:hAnsi="Verdana" w:cs="Verdana"/>
          <w:sz w:val="20"/>
          <w:szCs w:val="20"/>
          <w:lang w:val="es-ES"/>
        </w:rPr>
      </w:r>
      <w:r w:rsidR="00571994" w:rsidRPr="00083074">
        <w:rPr>
          <w:rFonts w:ascii="Verdana" w:hAnsi="Verdana" w:cs="Verdana"/>
          <w:sz w:val="20"/>
          <w:szCs w:val="20"/>
          <w:lang w:val="es-ES"/>
        </w:rPr>
        <w:fldChar w:fldCharType="separate"/>
      </w:r>
      <w:r w:rsidR="007E3C4B">
        <w:rPr>
          <w:rFonts w:ascii="Verdana" w:hAnsi="Verdana" w:cs="Verdana"/>
          <w:sz w:val="20"/>
          <w:szCs w:val="20"/>
          <w:lang w:val="es-ES"/>
        </w:rPr>
        <w:t>5</w:t>
      </w:r>
      <w:r w:rsidR="00571994" w:rsidRPr="00083074">
        <w:rPr>
          <w:rFonts w:ascii="Verdana" w:hAnsi="Verdana" w:cs="Verdana"/>
          <w:sz w:val="20"/>
          <w:szCs w:val="20"/>
          <w:lang w:val="es-ES"/>
        </w:rPr>
        <w:fldChar w:fldCharType="end"/>
      </w:r>
      <w:r w:rsidR="002F1F14" w:rsidRPr="00083074">
        <w:rPr>
          <w:rFonts w:ascii="Verdana" w:hAnsi="Verdana" w:cs="Verdana"/>
          <w:sz w:val="20"/>
          <w:szCs w:val="20"/>
          <w:lang w:val="es-ES"/>
        </w:rPr>
        <w:t xml:space="preserve">, </w:t>
      </w:r>
      <w:r w:rsidR="00571994" w:rsidRPr="00083074">
        <w:rPr>
          <w:rFonts w:ascii="Verdana" w:hAnsi="Verdana" w:cs="Verdana"/>
          <w:sz w:val="20"/>
          <w:szCs w:val="20"/>
          <w:lang w:val="es-ES"/>
        </w:rPr>
        <w:fldChar w:fldCharType="begin"/>
      </w:r>
      <w:r w:rsidR="00571994" w:rsidRPr="00083074">
        <w:rPr>
          <w:rFonts w:ascii="Verdana" w:hAnsi="Verdana" w:cs="Verdana"/>
          <w:sz w:val="20"/>
          <w:szCs w:val="20"/>
          <w:lang w:val="es-ES"/>
        </w:rPr>
        <w:instrText xml:space="preserve"> REF _Ref437850369 \r \h </w:instrText>
      </w:r>
      <w:r w:rsidR="004A422E" w:rsidRPr="00083074">
        <w:rPr>
          <w:rFonts w:ascii="Verdana" w:hAnsi="Verdana" w:cs="Verdana"/>
          <w:sz w:val="20"/>
          <w:szCs w:val="20"/>
          <w:lang w:val="es-ES"/>
        </w:rPr>
        <w:instrText xml:space="preserve"> \* MERGEFORMAT </w:instrText>
      </w:r>
      <w:r w:rsidR="00571994" w:rsidRPr="00083074">
        <w:rPr>
          <w:rFonts w:ascii="Verdana" w:hAnsi="Verdana" w:cs="Verdana"/>
          <w:sz w:val="20"/>
          <w:szCs w:val="20"/>
          <w:lang w:val="es-ES"/>
        </w:rPr>
      </w:r>
      <w:r w:rsidR="00571994" w:rsidRPr="00083074">
        <w:rPr>
          <w:rFonts w:ascii="Verdana" w:hAnsi="Verdana" w:cs="Verdana"/>
          <w:sz w:val="20"/>
          <w:szCs w:val="20"/>
          <w:lang w:val="es-ES"/>
        </w:rPr>
        <w:fldChar w:fldCharType="separate"/>
      </w:r>
      <w:r w:rsidR="007E3C4B">
        <w:rPr>
          <w:rFonts w:ascii="Verdana" w:hAnsi="Verdana" w:cs="Verdana"/>
          <w:sz w:val="20"/>
          <w:szCs w:val="20"/>
          <w:lang w:val="es-ES"/>
        </w:rPr>
        <w:t>8</w:t>
      </w:r>
      <w:r w:rsidR="00571994" w:rsidRPr="00083074">
        <w:rPr>
          <w:rFonts w:ascii="Verdana" w:hAnsi="Verdana" w:cs="Verdana"/>
          <w:sz w:val="20"/>
          <w:szCs w:val="20"/>
          <w:lang w:val="es-ES"/>
        </w:rPr>
        <w:fldChar w:fldCharType="end"/>
      </w:r>
      <w:r w:rsidR="002F1F14" w:rsidRPr="00083074">
        <w:rPr>
          <w:rFonts w:ascii="Verdana" w:hAnsi="Verdana" w:cs="Verdana"/>
          <w:sz w:val="20"/>
          <w:szCs w:val="20"/>
          <w:lang w:val="es-ES"/>
        </w:rPr>
        <w:t xml:space="preserve"> y </w:t>
      </w:r>
      <w:r w:rsidR="00571994" w:rsidRPr="00083074">
        <w:rPr>
          <w:rFonts w:ascii="Verdana" w:hAnsi="Verdana" w:cs="Verdana"/>
          <w:sz w:val="20"/>
          <w:szCs w:val="20"/>
          <w:lang w:val="es-ES"/>
        </w:rPr>
        <w:fldChar w:fldCharType="begin"/>
      </w:r>
      <w:r w:rsidR="00571994" w:rsidRPr="00083074">
        <w:rPr>
          <w:rFonts w:ascii="Verdana" w:hAnsi="Verdana" w:cs="Verdana"/>
          <w:sz w:val="20"/>
          <w:szCs w:val="20"/>
          <w:lang w:val="es-ES"/>
        </w:rPr>
        <w:instrText xml:space="preserve"> REF _Ref437850372 \r \h </w:instrText>
      </w:r>
      <w:r w:rsidR="004A422E" w:rsidRPr="00083074">
        <w:rPr>
          <w:rFonts w:ascii="Verdana" w:hAnsi="Verdana" w:cs="Verdana"/>
          <w:sz w:val="20"/>
          <w:szCs w:val="20"/>
          <w:lang w:val="es-ES"/>
        </w:rPr>
        <w:instrText xml:space="preserve"> \* MERGEFORMAT </w:instrText>
      </w:r>
      <w:r w:rsidR="00571994" w:rsidRPr="00083074">
        <w:rPr>
          <w:rFonts w:ascii="Verdana" w:hAnsi="Verdana" w:cs="Verdana"/>
          <w:sz w:val="20"/>
          <w:szCs w:val="20"/>
          <w:lang w:val="es-ES"/>
        </w:rPr>
      </w:r>
      <w:r w:rsidR="00571994" w:rsidRPr="00083074">
        <w:rPr>
          <w:rFonts w:ascii="Verdana" w:hAnsi="Verdana" w:cs="Verdana"/>
          <w:sz w:val="20"/>
          <w:szCs w:val="20"/>
          <w:lang w:val="es-ES"/>
        </w:rPr>
        <w:fldChar w:fldCharType="separate"/>
      </w:r>
      <w:r w:rsidR="007E3C4B">
        <w:rPr>
          <w:rFonts w:ascii="Verdana" w:hAnsi="Verdana" w:cs="Verdana"/>
          <w:sz w:val="20"/>
          <w:szCs w:val="20"/>
          <w:lang w:val="es-ES"/>
        </w:rPr>
        <w:t>9</w:t>
      </w:r>
      <w:r w:rsidR="00571994" w:rsidRPr="00083074">
        <w:rPr>
          <w:rFonts w:ascii="Verdana" w:hAnsi="Verdana" w:cs="Verdana"/>
          <w:sz w:val="20"/>
          <w:szCs w:val="20"/>
          <w:lang w:val="es-ES"/>
        </w:rPr>
        <w:fldChar w:fldCharType="end"/>
      </w:r>
      <w:r w:rsidR="002F1F14" w:rsidRPr="00083074">
        <w:rPr>
          <w:rFonts w:ascii="Verdana" w:hAnsi="Verdana" w:cs="Verdana"/>
          <w:sz w:val="20"/>
          <w:szCs w:val="20"/>
          <w:lang w:val="es-ES"/>
        </w:rPr>
        <w:t>).</w:t>
      </w:r>
      <w:r w:rsidR="002F1F14" w:rsidRPr="0032068E">
        <w:rPr>
          <w:rFonts w:ascii="Verdana" w:hAnsi="Verdana" w:cs="Verdana"/>
          <w:sz w:val="20"/>
          <w:szCs w:val="20"/>
          <w:lang w:val="es-ES"/>
        </w:rPr>
        <w:t xml:space="preserve"> </w:t>
      </w:r>
      <w:r w:rsidR="009041CF">
        <w:rPr>
          <w:rFonts w:ascii="Verdana" w:hAnsi="Verdana" w:cs="Verdana"/>
          <w:sz w:val="20"/>
          <w:szCs w:val="20"/>
          <w:lang w:val="es-ES"/>
        </w:rPr>
        <w:t>Los</w:t>
      </w:r>
      <w:r w:rsidRPr="0032068E">
        <w:rPr>
          <w:rFonts w:ascii="Verdana" w:hAnsi="Verdana" w:cs="Verdana"/>
          <w:sz w:val="20"/>
          <w:szCs w:val="20"/>
          <w:lang w:val="es-ES"/>
        </w:rPr>
        <w:t xml:space="preserve"> representantes del caso </w:t>
      </w:r>
      <w:r w:rsidRPr="0032068E">
        <w:rPr>
          <w:rFonts w:ascii="Verdana" w:hAnsi="Verdana" w:cs="Verdana"/>
          <w:i/>
          <w:sz w:val="20"/>
          <w:szCs w:val="20"/>
          <w:lang w:val="es-ES"/>
        </w:rPr>
        <w:t xml:space="preserve">Panel Blanca </w:t>
      </w:r>
      <w:r w:rsidRPr="0032068E">
        <w:rPr>
          <w:rFonts w:ascii="Verdana" w:hAnsi="Verdana" w:cs="Verdana"/>
          <w:sz w:val="20"/>
          <w:szCs w:val="20"/>
          <w:lang w:val="es-ES"/>
        </w:rPr>
        <w:t>no presentaron observaciones a dicho informe.</w:t>
      </w:r>
      <w:bookmarkEnd w:id="20"/>
      <w:r w:rsidRPr="0032068E">
        <w:rPr>
          <w:rFonts w:ascii="Verdana" w:hAnsi="Verdana" w:cs="Verdana"/>
          <w:sz w:val="20"/>
          <w:szCs w:val="20"/>
          <w:lang w:val="es-ES"/>
        </w:rPr>
        <w:t xml:space="preserve"> </w:t>
      </w:r>
    </w:p>
    <w:p w14:paraId="3F90E7E7" w14:textId="77777777" w:rsidR="00DE25C9" w:rsidRPr="0032068E" w:rsidRDefault="00DE25C9" w:rsidP="00DE25C9">
      <w:pPr>
        <w:spacing w:after="0" w:line="240" w:lineRule="auto"/>
        <w:ind w:right="1444"/>
        <w:contextualSpacing/>
        <w:jc w:val="both"/>
        <w:rPr>
          <w:rFonts w:ascii="Verdana" w:hAnsi="Verdana" w:cs="Verdana"/>
          <w:b/>
          <w:sz w:val="20"/>
          <w:szCs w:val="20"/>
          <w:lang w:val="es-ES"/>
        </w:rPr>
      </w:pPr>
    </w:p>
    <w:p w14:paraId="351D61B6" w14:textId="3B03F2D7" w:rsidR="00A33363" w:rsidRPr="0032068E" w:rsidRDefault="0077327F" w:rsidP="00A33363">
      <w:pPr>
        <w:numPr>
          <w:ilvl w:val="0"/>
          <w:numId w:val="2"/>
        </w:numPr>
        <w:spacing w:after="0" w:line="240" w:lineRule="auto"/>
        <w:ind w:left="0" w:right="1444" w:firstLine="0"/>
        <w:contextualSpacing/>
        <w:jc w:val="both"/>
        <w:rPr>
          <w:rFonts w:ascii="Verdana" w:hAnsi="Verdana" w:cs="Verdana"/>
          <w:b/>
          <w:sz w:val="20"/>
          <w:szCs w:val="20"/>
          <w:lang w:val="es-ES"/>
        </w:rPr>
      </w:pPr>
      <w:r w:rsidRPr="0032068E">
        <w:rPr>
          <w:rFonts w:ascii="Verdana" w:hAnsi="Verdana" w:cs="Verdana"/>
          <w:sz w:val="20"/>
          <w:szCs w:val="20"/>
          <w:lang w:val="es-ES"/>
        </w:rPr>
        <w:t xml:space="preserve"> </w:t>
      </w:r>
      <w:bookmarkStart w:id="21" w:name="_Ref437011347"/>
      <w:r w:rsidR="00A33363" w:rsidRPr="0032068E">
        <w:rPr>
          <w:rFonts w:ascii="Verdana" w:hAnsi="Verdana" w:cs="Verdana"/>
          <w:sz w:val="20"/>
          <w:szCs w:val="20"/>
          <w:lang w:val="es-ES"/>
        </w:rPr>
        <w:t>Mediante nota de Secretaría del 8 de abril de 2014, siguiendo instrucciones de la Corte, se convocó a una audiencia</w:t>
      </w:r>
      <w:r w:rsidR="009041CF">
        <w:rPr>
          <w:rFonts w:ascii="Verdana" w:hAnsi="Verdana" w:cs="Verdana"/>
          <w:sz w:val="20"/>
          <w:szCs w:val="20"/>
          <w:lang w:val="es-ES"/>
        </w:rPr>
        <w:t xml:space="preserve"> privada</w:t>
      </w:r>
      <w:r w:rsidR="00A33363" w:rsidRPr="0032068E">
        <w:rPr>
          <w:rFonts w:ascii="Verdana" w:hAnsi="Verdana" w:cs="Verdana"/>
          <w:sz w:val="20"/>
          <w:szCs w:val="20"/>
          <w:lang w:val="es-ES"/>
        </w:rPr>
        <w:t xml:space="preserve"> a ser celebrada el 16 de mayo de </w:t>
      </w:r>
      <w:r w:rsidR="009041CF">
        <w:rPr>
          <w:rFonts w:ascii="Verdana" w:hAnsi="Verdana" w:cs="Verdana"/>
          <w:sz w:val="20"/>
          <w:szCs w:val="20"/>
          <w:lang w:val="es-ES"/>
        </w:rPr>
        <w:t>ese año</w:t>
      </w:r>
      <w:r w:rsidR="00A33363" w:rsidRPr="0032068E">
        <w:rPr>
          <w:rFonts w:ascii="Verdana" w:hAnsi="Verdana" w:cs="Verdana"/>
          <w:sz w:val="20"/>
          <w:szCs w:val="20"/>
          <w:lang w:val="es-ES"/>
        </w:rPr>
        <w:t xml:space="preserve">, con el objeto de “recibir de parte del […] Estado información actualizada y detallada sobre el cumplimiento de la […] obligación de investigar, juzgar y, en su caso, sancionar de acuerdo a lo ordenado en las Sentencias de los […] casos” </w:t>
      </w:r>
      <w:r w:rsidR="00A33363" w:rsidRPr="0032068E">
        <w:rPr>
          <w:rFonts w:ascii="Verdana" w:hAnsi="Verdana" w:cs="Verdana"/>
          <w:i/>
          <w:sz w:val="20"/>
          <w:szCs w:val="20"/>
          <w:lang w:val="es-ES"/>
        </w:rPr>
        <w:t xml:space="preserve">Blake, Niños de la Calle, Bámaca Velásquez, Maritza Urrutia, Masacre Plan de Sánchez, Molina </w:t>
      </w:r>
      <w:r w:rsidR="00AA6E2C">
        <w:rPr>
          <w:rFonts w:ascii="Verdana" w:hAnsi="Verdana" w:cs="Verdana"/>
          <w:i/>
          <w:sz w:val="20"/>
          <w:szCs w:val="20"/>
          <w:lang w:val="es-ES"/>
        </w:rPr>
        <w:t>Theissen</w:t>
      </w:r>
      <w:r w:rsidR="00A33363" w:rsidRPr="0032068E">
        <w:rPr>
          <w:rFonts w:ascii="Verdana" w:hAnsi="Verdana" w:cs="Verdana"/>
          <w:i/>
          <w:sz w:val="20"/>
          <w:szCs w:val="20"/>
          <w:lang w:val="es-ES"/>
        </w:rPr>
        <w:t xml:space="preserve">, Carpio Nicolle, Tiu Tojín, Masacre de las Dos Erres </w:t>
      </w:r>
      <w:r w:rsidR="00A33363" w:rsidRPr="0032068E">
        <w:rPr>
          <w:rFonts w:ascii="Verdana" w:hAnsi="Verdana" w:cs="Verdana"/>
          <w:sz w:val="20"/>
          <w:szCs w:val="20"/>
          <w:lang w:val="es-ES"/>
        </w:rPr>
        <w:t xml:space="preserve">y </w:t>
      </w:r>
      <w:r w:rsidR="00A33363" w:rsidRPr="0032068E">
        <w:rPr>
          <w:rFonts w:ascii="Verdana" w:hAnsi="Verdana" w:cs="Verdana"/>
          <w:i/>
          <w:sz w:val="20"/>
          <w:szCs w:val="20"/>
          <w:lang w:val="es-ES"/>
        </w:rPr>
        <w:t xml:space="preserve">Chitay Nech. </w:t>
      </w:r>
      <w:r w:rsidR="00A33363" w:rsidRPr="0032068E">
        <w:rPr>
          <w:rFonts w:ascii="Verdana" w:hAnsi="Verdana" w:cs="Verdana"/>
          <w:sz w:val="20"/>
          <w:szCs w:val="20"/>
          <w:lang w:val="es-ES"/>
        </w:rPr>
        <w:t>La Corte aclaró que “los mencionados casos no son la totalidad de los casos en etapa de supervisión de cumplimiento de sentencia” en relación con la referida obligación, sino que se refirió a dichos casos “por tratarse de la supervisión del cumplimiento de Sentencias que fueron dictadas por la Corte con anterioridad a diciembre de 2011 y debido a que ha podido identificar que se encuentran en la misma etapa del proceso penal o que presentan dificultades o problemáticas similares”.</w:t>
      </w:r>
      <w:bookmarkEnd w:id="21"/>
      <w:r w:rsidR="00A33363" w:rsidRPr="0032068E">
        <w:rPr>
          <w:rFonts w:ascii="Verdana" w:hAnsi="Verdana" w:cs="Verdana"/>
          <w:sz w:val="20"/>
          <w:szCs w:val="20"/>
          <w:lang w:val="es-ES"/>
        </w:rPr>
        <w:t xml:space="preserve"> </w:t>
      </w:r>
    </w:p>
    <w:p w14:paraId="433A3FF6" w14:textId="77777777" w:rsidR="0003671D" w:rsidRPr="0032068E" w:rsidRDefault="0003671D" w:rsidP="0003671D">
      <w:pPr>
        <w:spacing w:after="0" w:line="240" w:lineRule="auto"/>
        <w:ind w:right="1444"/>
        <w:contextualSpacing/>
        <w:jc w:val="both"/>
        <w:rPr>
          <w:rFonts w:ascii="Verdana" w:hAnsi="Verdana" w:cs="Verdana"/>
          <w:b/>
          <w:sz w:val="20"/>
          <w:szCs w:val="20"/>
          <w:lang w:val="es-ES"/>
        </w:rPr>
      </w:pPr>
    </w:p>
    <w:p w14:paraId="2CB486BA" w14:textId="671A3C7F" w:rsidR="00A33363" w:rsidRPr="0032068E" w:rsidRDefault="00A33363" w:rsidP="00353CDE">
      <w:pPr>
        <w:numPr>
          <w:ilvl w:val="0"/>
          <w:numId w:val="2"/>
        </w:numPr>
        <w:spacing w:after="0" w:line="240" w:lineRule="auto"/>
        <w:ind w:left="0" w:right="1444" w:firstLine="0"/>
        <w:contextualSpacing/>
        <w:jc w:val="both"/>
        <w:rPr>
          <w:rFonts w:ascii="Verdana" w:hAnsi="Verdana" w:cs="Verdana"/>
          <w:b/>
          <w:sz w:val="20"/>
          <w:szCs w:val="20"/>
          <w:lang w:val="es-ES"/>
        </w:rPr>
      </w:pPr>
      <w:bookmarkStart w:id="22" w:name="_Ref437281285"/>
      <w:r w:rsidRPr="0032068E">
        <w:rPr>
          <w:rFonts w:ascii="Verdana" w:hAnsi="Verdana" w:cs="Verdana"/>
          <w:sz w:val="20"/>
          <w:szCs w:val="20"/>
          <w:lang w:val="es-ES"/>
        </w:rPr>
        <w:lastRenderedPageBreak/>
        <w:t>Aunado a ello, siguiendo instrucciones de la Corte, mediante nota de Secretaría del 14 de abril de 2014, se solicitó a la entonces Fiscal General del Ministerio Público de Guatemala, Claudia Paz y Paz, con base en el artículo 69.2 del Reglamento de la Corte, que rindiera un informe, a más tardar el 5 de mayo de 2014, “en el cual present[ara] la información que estim[ara] relevante, en el ámbito de sus competencias, relativa a la obligación de investigar, juzgar y, en su caso, sancionar a los responsables de las graves violaciones de derechos humanos ocurridas en Guatemala” con relación a los casos sobre los cuales se convocó a la audiencia mencionada</w:t>
      </w:r>
      <w:r w:rsidR="00D367A5" w:rsidRPr="0032068E">
        <w:rPr>
          <w:rFonts w:ascii="Verdana" w:hAnsi="Verdana" w:cs="Verdana"/>
          <w:sz w:val="20"/>
          <w:szCs w:val="20"/>
          <w:lang w:val="es-ES"/>
        </w:rPr>
        <w:t>, y que también p</w:t>
      </w:r>
      <w:r w:rsidR="00363DEE" w:rsidRPr="0032068E">
        <w:rPr>
          <w:rFonts w:ascii="Verdana" w:hAnsi="Verdana" w:cs="Verdana"/>
          <w:sz w:val="20"/>
          <w:szCs w:val="20"/>
          <w:lang w:val="es-ES"/>
        </w:rPr>
        <w:t>odía</w:t>
      </w:r>
      <w:r w:rsidR="00D367A5" w:rsidRPr="0032068E">
        <w:rPr>
          <w:rFonts w:ascii="Verdana" w:hAnsi="Verdana" w:cs="Verdana"/>
          <w:sz w:val="20"/>
          <w:szCs w:val="20"/>
          <w:lang w:val="es-ES"/>
        </w:rPr>
        <w:t xml:space="preserve"> referirse a </w:t>
      </w:r>
      <w:r w:rsidR="00363DEE" w:rsidRPr="0032068E">
        <w:rPr>
          <w:rFonts w:ascii="Verdana" w:hAnsi="Verdana" w:cs="Verdana"/>
          <w:sz w:val="20"/>
          <w:szCs w:val="20"/>
          <w:lang w:val="es-ES"/>
        </w:rPr>
        <w:t>“</w:t>
      </w:r>
      <w:r w:rsidR="00D367A5" w:rsidRPr="0032068E">
        <w:rPr>
          <w:rFonts w:ascii="Verdana" w:hAnsi="Verdana" w:cs="Verdana"/>
          <w:sz w:val="20"/>
          <w:szCs w:val="20"/>
          <w:lang w:val="es-ES"/>
        </w:rPr>
        <w:t>posibles dificultades o problemáticas estructurales o similares que pudieran ser identificadas como obstáculos que podrían incidir en el adecuado cumplimiento de la referida obligación”</w:t>
      </w:r>
      <w:r w:rsidRPr="0032068E">
        <w:rPr>
          <w:rFonts w:ascii="Verdana" w:hAnsi="Verdana" w:cs="Verdana"/>
          <w:sz w:val="20"/>
          <w:szCs w:val="20"/>
          <w:lang w:val="es-ES"/>
        </w:rPr>
        <w:t>. Dicho informe fue presentado</w:t>
      </w:r>
      <w:r w:rsidR="00D367A5" w:rsidRPr="0032068E">
        <w:rPr>
          <w:rFonts w:ascii="Verdana" w:hAnsi="Verdana" w:cs="Verdana"/>
          <w:sz w:val="20"/>
          <w:szCs w:val="20"/>
          <w:lang w:val="es-ES"/>
        </w:rPr>
        <w:t xml:space="preserve"> dentro del plazo otorgado</w:t>
      </w:r>
      <w:r w:rsidR="00363DEE" w:rsidRPr="0032068E">
        <w:rPr>
          <w:rFonts w:ascii="Verdana" w:hAnsi="Verdana" w:cs="Verdana"/>
          <w:sz w:val="20"/>
          <w:szCs w:val="20"/>
          <w:lang w:val="es-ES"/>
        </w:rPr>
        <w:t xml:space="preserve"> </w:t>
      </w:r>
      <w:r w:rsidRPr="0032068E">
        <w:rPr>
          <w:rFonts w:ascii="Verdana" w:hAnsi="Verdana" w:cs="Verdana"/>
          <w:sz w:val="20"/>
          <w:szCs w:val="20"/>
          <w:lang w:val="es-ES"/>
        </w:rPr>
        <w:t xml:space="preserve">(en lo sucesivo, </w:t>
      </w:r>
      <w:r w:rsidRPr="0032068E">
        <w:rPr>
          <w:rFonts w:ascii="Verdana" w:hAnsi="Verdana" w:cs="Verdana"/>
          <w:i/>
          <w:sz w:val="20"/>
          <w:szCs w:val="20"/>
          <w:lang w:val="es-ES"/>
        </w:rPr>
        <w:t>el Informe del Ministerio Público</w:t>
      </w:r>
      <w:r w:rsidR="009041CF">
        <w:rPr>
          <w:rFonts w:ascii="Verdana" w:hAnsi="Verdana" w:cs="Verdana"/>
          <w:i/>
          <w:sz w:val="20"/>
          <w:szCs w:val="20"/>
          <w:lang w:val="es-ES"/>
        </w:rPr>
        <w:t xml:space="preserve"> de mayo de 2014</w:t>
      </w:r>
      <w:r w:rsidRPr="0032068E">
        <w:rPr>
          <w:rFonts w:ascii="Verdana" w:hAnsi="Verdana" w:cs="Verdana"/>
          <w:sz w:val="20"/>
          <w:szCs w:val="20"/>
          <w:lang w:val="es-ES"/>
        </w:rPr>
        <w:t xml:space="preserve">), </w:t>
      </w:r>
      <w:r w:rsidR="00363DEE" w:rsidRPr="0032068E">
        <w:rPr>
          <w:rFonts w:ascii="Verdana" w:hAnsi="Verdana" w:cs="Verdana"/>
          <w:sz w:val="20"/>
          <w:szCs w:val="20"/>
          <w:lang w:val="es-ES"/>
        </w:rPr>
        <w:t xml:space="preserve">y </w:t>
      </w:r>
      <w:r w:rsidRPr="0032068E">
        <w:rPr>
          <w:rFonts w:ascii="Verdana" w:hAnsi="Verdana" w:cs="Verdana"/>
          <w:sz w:val="20"/>
          <w:szCs w:val="20"/>
          <w:lang w:val="es-ES"/>
        </w:rPr>
        <w:t xml:space="preserve">en el </w:t>
      </w:r>
      <w:r w:rsidR="00363DEE" w:rsidRPr="0032068E">
        <w:rPr>
          <w:rFonts w:ascii="Verdana" w:hAnsi="Verdana" w:cs="Verdana"/>
          <w:sz w:val="20"/>
          <w:szCs w:val="20"/>
          <w:lang w:val="es-ES"/>
        </w:rPr>
        <w:t>mismo se</w:t>
      </w:r>
      <w:r w:rsidRPr="0032068E">
        <w:rPr>
          <w:rFonts w:ascii="Verdana" w:hAnsi="Verdana" w:cs="Verdana"/>
          <w:sz w:val="20"/>
          <w:szCs w:val="20"/>
          <w:lang w:val="es-ES"/>
        </w:rPr>
        <w:t xml:space="preserve"> indicó la existencia de dificultades estructurales en el cumplimiento de dicha obligación, y se refirió a cada uno de los diez casos señalados </w:t>
      </w:r>
      <w:r w:rsidRPr="00DF3712">
        <w:rPr>
          <w:rFonts w:ascii="Verdana" w:hAnsi="Verdana" w:cs="Verdana"/>
          <w:sz w:val="20"/>
          <w:szCs w:val="20"/>
          <w:lang w:val="es-ES"/>
        </w:rPr>
        <w:t>(</w:t>
      </w:r>
      <w:r w:rsidRPr="00DF3712">
        <w:rPr>
          <w:rFonts w:ascii="Verdana" w:hAnsi="Verdana" w:cs="Verdana"/>
          <w:i/>
          <w:sz w:val="20"/>
          <w:szCs w:val="20"/>
          <w:lang w:val="es-ES"/>
        </w:rPr>
        <w:t xml:space="preserve">infra </w:t>
      </w:r>
      <w:r w:rsidRPr="00DF3712">
        <w:rPr>
          <w:rFonts w:ascii="Verdana" w:hAnsi="Verdana" w:cs="Verdana"/>
          <w:sz w:val="20"/>
          <w:szCs w:val="20"/>
          <w:lang w:val="es-ES"/>
        </w:rPr>
        <w:t xml:space="preserve">Considerandos </w:t>
      </w:r>
      <w:r w:rsidR="00571994" w:rsidRPr="00DF3712">
        <w:rPr>
          <w:rFonts w:ascii="Verdana" w:hAnsi="Verdana" w:cs="Verdana"/>
          <w:sz w:val="20"/>
          <w:szCs w:val="20"/>
          <w:lang w:val="es-ES"/>
        </w:rPr>
        <w:fldChar w:fldCharType="begin"/>
      </w:r>
      <w:r w:rsidR="00571994" w:rsidRPr="00DF3712">
        <w:rPr>
          <w:rFonts w:ascii="Verdana" w:hAnsi="Verdana" w:cs="Verdana"/>
          <w:sz w:val="20"/>
          <w:szCs w:val="20"/>
          <w:lang w:val="es-ES"/>
        </w:rPr>
        <w:instrText xml:space="preserve"> REF _Ref437011705 \r \h </w:instrText>
      </w:r>
      <w:r w:rsidR="004B4974" w:rsidRPr="00DF3712">
        <w:rPr>
          <w:rFonts w:ascii="Verdana" w:hAnsi="Verdana" w:cs="Verdana"/>
          <w:sz w:val="20"/>
          <w:szCs w:val="20"/>
          <w:lang w:val="es-ES"/>
        </w:rPr>
        <w:instrText xml:space="preserve"> \* MERGEFORMAT </w:instrText>
      </w:r>
      <w:r w:rsidR="00571994" w:rsidRPr="00DF3712">
        <w:rPr>
          <w:rFonts w:ascii="Verdana" w:hAnsi="Verdana" w:cs="Verdana"/>
          <w:sz w:val="20"/>
          <w:szCs w:val="20"/>
          <w:lang w:val="es-ES"/>
        </w:rPr>
      </w:r>
      <w:r w:rsidR="00571994" w:rsidRPr="00DF3712">
        <w:rPr>
          <w:rFonts w:ascii="Verdana" w:hAnsi="Verdana" w:cs="Verdana"/>
          <w:sz w:val="20"/>
          <w:szCs w:val="20"/>
          <w:lang w:val="es-ES"/>
        </w:rPr>
        <w:fldChar w:fldCharType="separate"/>
      </w:r>
      <w:r w:rsidR="007E3C4B">
        <w:rPr>
          <w:rFonts w:ascii="Verdana" w:hAnsi="Verdana" w:cs="Verdana"/>
          <w:sz w:val="20"/>
          <w:szCs w:val="20"/>
          <w:lang w:val="es-ES"/>
        </w:rPr>
        <w:t>31</w:t>
      </w:r>
      <w:r w:rsidR="00571994" w:rsidRPr="00DF3712">
        <w:rPr>
          <w:rFonts w:ascii="Verdana" w:hAnsi="Verdana" w:cs="Verdana"/>
          <w:sz w:val="20"/>
          <w:szCs w:val="20"/>
          <w:lang w:val="es-ES"/>
        </w:rPr>
        <w:fldChar w:fldCharType="end"/>
      </w:r>
      <w:r w:rsidR="00E21203" w:rsidRPr="00DF3712">
        <w:rPr>
          <w:rFonts w:ascii="Verdana" w:hAnsi="Verdana" w:cs="Verdana"/>
          <w:sz w:val="20"/>
          <w:szCs w:val="20"/>
          <w:lang w:val="es-ES"/>
        </w:rPr>
        <w:t xml:space="preserve"> y </w:t>
      </w:r>
      <w:r w:rsidR="00571994" w:rsidRPr="00DF3712">
        <w:rPr>
          <w:rFonts w:ascii="Verdana" w:hAnsi="Verdana" w:cs="Verdana"/>
          <w:sz w:val="20"/>
          <w:szCs w:val="20"/>
          <w:lang w:val="es-ES"/>
        </w:rPr>
        <w:fldChar w:fldCharType="begin"/>
      </w:r>
      <w:r w:rsidR="00571994" w:rsidRPr="00DF3712">
        <w:rPr>
          <w:rFonts w:ascii="Verdana" w:hAnsi="Verdana" w:cs="Verdana"/>
          <w:sz w:val="20"/>
          <w:szCs w:val="20"/>
          <w:lang w:val="es-ES"/>
        </w:rPr>
        <w:instrText xml:space="preserve"> REF _Ref437850624 \r \h </w:instrText>
      </w:r>
      <w:r w:rsidR="004B4974" w:rsidRPr="00DF3712">
        <w:rPr>
          <w:rFonts w:ascii="Verdana" w:hAnsi="Verdana" w:cs="Verdana"/>
          <w:sz w:val="20"/>
          <w:szCs w:val="20"/>
          <w:lang w:val="es-ES"/>
        </w:rPr>
        <w:instrText xml:space="preserve"> \* MERGEFORMAT </w:instrText>
      </w:r>
      <w:r w:rsidR="00571994" w:rsidRPr="00DF3712">
        <w:rPr>
          <w:rFonts w:ascii="Verdana" w:hAnsi="Verdana" w:cs="Verdana"/>
          <w:sz w:val="20"/>
          <w:szCs w:val="20"/>
          <w:lang w:val="es-ES"/>
        </w:rPr>
      </w:r>
      <w:r w:rsidR="00571994" w:rsidRPr="00DF3712">
        <w:rPr>
          <w:rFonts w:ascii="Verdana" w:hAnsi="Verdana" w:cs="Verdana"/>
          <w:sz w:val="20"/>
          <w:szCs w:val="20"/>
          <w:lang w:val="es-ES"/>
        </w:rPr>
        <w:fldChar w:fldCharType="separate"/>
      </w:r>
      <w:r w:rsidR="007E3C4B">
        <w:rPr>
          <w:rFonts w:ascii="Verdana" w:hAnsi="Verdana" w:cs="Verdana"/>
          <w:sz w:val="20"/>
          <w:szCs w:val="20"/>
          <w:lang w:val="es-ES"/>
        </w:rPr>
        <w:t>32</w:t>
      </w:r>
      <w:r w:rsidR="00571994" w:rsidRPr="00DF3712">
        <w:rPr>
          <w:rFonts w:ascii="Verdana" w:hAnsi="Verdana" w:cs="Verdana"/>
          <w:sz w:val="20"/>
          <w:szCs w:val="20"/>
          <w:lang w:val="es-ES"/>
        </w:rPr>
        <w:fldChar w:fldCharType="end"/>
      </w:r>
      <w:r w:rsidR="00E21203" w:rsidRPr="00DF3712">
        <w:rPr>
          <w:rFonts w:ascii="Verdana" w:hAnsi="Verdana" w:cs="Verdana"/>
          <w:sz w:val="20"/>
          <w:szCs w:val="20"/>
          <w:lang w:val="es-ES"/>
        </w:rPr>
        <w:t xml:space="preserve">). </w:t>
      </w:r>
      <w:r w:rsidR="001E27DA" w:rsidRPr="00DF3712">
        <w:rPr>
          <w:rFonts w:ascii="Verdana" w:hAnsi="Verdana" w:cs="Verdana"/>
          <w:sz w:val="20"/>
          <w:szCs w:val="20"/>
          <w:lang w:val="es-ES"/>
        </w:rPr>
        <w:t xml:space="preserve">Al respecto, se otorgó </w:t>
      </w:r>
      <w:r w:rsidR="008C2012" w:rsidRPr="00DF3712">
        <w:rPr>
          <w:rFonts w:ascii="Verdana" w:hAnsi="Verdana" w:cs="Verdana"/>
          <w:sz w:val="20"/>
          <w:szCs w:val="20"/>
          <w:lang w:val="es-ES"/>
        </w:rPr>
        <w:t xml:space="preserve">la oportunidad </w:t>
      </w:r>
      <w:r w:rsidR="001E27DA" w:rsidRPr="00DF3712">
        <w:rPr>
          <w:rFonts w:ascii="Verdana" w:hAnsi="Verdana" w:cs="Verdana"/>
          <w:sz w:val="20"/>
          <w:szCs w:val="20"/>
          <w:lang w:val="es-ES"/>
        </w:rPr>
        <w:t xml:space="preserve">al Estado, a los representantes </w:t>
      </w:r>
      <w:r w:rsidR="008C2012" w:rsidRPr="00DF3712">
        <w:rPr>
          <w:rFonts w:ascii="Verdana" w:hAnsi="Verdana" w:cs="Verdana"/>
          <w:sz w:val="20"/>
          <w:szCs w:val="20"/>
          <w:lang w:val="es-ES"/>
        </w:rPr>
        <w:t xml:space="preserve">de las víctimas </w:t>
      </w:r>
      <w:r w:rsidR="001E27DA" w:rsidRPr="00DF3712">
        <w:rPr>
          <w:rFonts w:ascii="Verdana" w:hAnsi="Verdana" w:cs="Verdana"/>
          <w:sz w:val="20"/>
          <w:szCs w:val="20"/>
          <w:lang w:val="es-ES"/>
        </w:rPr>
        <w:t>y a la Comisión para que se refirieran a dicho informe</w:t>
      </w:r>
      <w:r w:rsidR="008C2012" w:rsidRPr="00DF3712">
        <w:rPr>
          <w:rFonts w:ascii="Verdana" w:hAnsi="Verdana" w:cs="Verdana"/>
          <w:sz w:val="20"/>
          <w:szCs w:val="20"/>
          <w:lang w:val="es-ES"/>
        </w:rPr>
        <w:t xml:space="preserve"> </w:t>
      </w:r>
      <w:r w:rsidR="001E27DA" w:rsidRPr="00DF3712">
        <w:rPr>
          <w:rFonts w:ascii="Verdana" w:hAnsi="Verdana" w:cs="Verdana"/>
          <w:sz w:val="20"/>
          <w:szCs w:val="20"/>
          <w:lang w:val="es-ES"/>
        </w:rPr>
        <w:t xml:space="preserve">en la audiencia </w:t>
      </w:r>
      <w:r w:rsidR="008C2012" w:rsidRPr="00DF3712">
        <w:rPr>
          <w:rFonts w:ascii="Verdana" w:hAnsi="Verdana" w:cs="Verdana"/>
          <w:sz w:val="20"/>
          <w:szCs w:val="20"/>
          <w:lang w:val="es-ES"/>
        </w:rPr>
        <w:t xml:space="preserve">de supervisión </w:t>
      </w:r>
      <w:r w:rsidR="001E27DA" w:rsidRPr="00DF3712">
        <w:rPr>
          <w:rFonts w:ascii="Verdana" w:hAnsi="Verdana" w:cs="Verdana"/>
          <w:sz w:val="20"/>
          <w:szCs w:val="20"/>
          <w:lang w:val="es-ES"/>
        </w:rPr>
        <w:t xml:space="preserve">convocada </w:t>
      </w:r>
      <w:r w:rsidR="008C2012" w:rsidRPr="00DF3712">
        <w:rPr>
          <w:rFonts w:ascii="Verdana" w:hAnsi="Verdana" w:cs="Verdana"/>
          <w:sz w:val="20"/>
          <w:szCs w:val="20"/>
          <w:lang w:val="es-ES"/>
        </w:rPr>
        <w:t>(</w:t>
      </w:r>
      <w:r w:rsidR="008C2012" w:rsidRPr="00DF3712">
        <w:rPr>
          <w:rFonts w:ascii="Verdana" w:hAnsi="Verdana" w:cs="Verdana"/>
          <w:i/>
          <w:sz w:val="20"/>
          <w:szCs w:val="20"/>
          <w:lang w:val="es-ES"/>
        </w:rPr>
        <w:t>supra</w:t>
      </w:r>
      <w:r w:rsidR="008C2012" w:rsidRPr="00DF3712">
        <w:rPr>
          <w:rFonts w:ascii="Verdana" w:hAnsi="Verdana" w:cs="Verdana"/>
          <w:sz w:val="20"/>
          <w:szCs w:val="20"/>
          <w:lang w:val="es-ES"/>
        </w:rPr>
        <w:t xml:space="preserve"> Visto </w:t>
      </w:r>
      <w:r w:rsidR="00797C28" w:rsidRPr="00DF3712">
        <w:rPr>
          <w:rFonts w:ascii="Verdana" w:hAnsi="Verdana" w:cs="Verdana"/>
          <w:sz w:val="20"/>
          <w:szCs w:val="20"/>
          <w:lang w:val="es-ES"/>
        </w:rPr>
        <w:fldChar w:fldCharType="begin"/>
      </w:r>
      <w:r w:rsidR="00797C28" w:rsidRPr="00DF3712">
        <w:rPr>
          <w:rFonts w:ascii="Verdana" w:hAnsi="Verdana" w:cs="Verdana"/>
          <w:sz w:val="20"/>
          <w:szCs w:val="20"/>
          <w:lang w:val="es-ES"/>
        </w:rPr>
        <w:instrText xml:space="preserve"> REF _Ref437281914 \r \h </w:instrText>
      </w:r>
      <w:r w:rsidR="00DF3712">
        <w:rPr>
          <w:rFonts w:ascii="Verdana" w:hAnsi="Verdana" w:cs="Verdana"/>
          <w:sz w:val="20"/>
          <w:szCs w:val="20"/>
          <w:lang w:val="es-ES"/>
        </w:rPr>
        <w:instrText xml:space="preserve"> \* MERGEFORMAT </w:instrText>
      </w:r>
      <w:r w:rsidR="00797C28" w:rsidRPr="00DF3712">
        <w:rPr>
          <w:rFonts w:ascii="Verdana" w:hAnsi="Verdana" w:cs="Verdana"/>
          <w:sz w:val="20"/>
          <w:szCs w:val="20"/>
          <w:lang w:val="es-ES"/>
        </w:rPr>
      </w:r>
      <w:r w:rsidR="00797C28" w:rsidRPr="00DF3712">
        <w:rPr>
          <w:rFonts w:ascii="Verdana" w:hAnsi="Verdana" w:cs="Verdana"/>
          <w:sz w:val="20"/>
          <w:szCs w:val="20"/>
          <w:lang w:val="es-ES"/>
        </w:rPr>
        <w:fldChar w:fldCharType="separate"/>
      </w:r>
      <w:r w:rsidR="007E3C4B">
        <w:rPr>
          <w:rFonts w:ascii="Verdana" w:hAnsi="Verdana" w:cs="Verdana"/>
          <w:sz w:val="20"/>
          <w:szCs w:val="20"/>
          <w:lang w:val="es-ES"/>
        </w:rPr>
        <w:t>10</w:t>
      </w:r>
      <w:r w:rsidR="00797C28" w:rsidRPr="00DF3712">
        <w:rPr>
          <w:rFonts w:ascii="Verdana" w:hAnsi="Verdana" w:cs="Verdana"/>
          <w:sz w:val="20"/>
          <w:szCs w:val="20"/>
          <w:lang w:val="es-ES"/>
        </w:rPr>
        <w:fldChar w:fldCharType="end"/>
      </w:r>
      <w:r w:rsidR="008C2012" w:rsidRPr="00DF3712">
        <w:rPr>
          <w:rFonts w:ascii="Verdana" w:hAnsi="Verdana" w:cs="Verdana"/>
          <w:sz w:val="20"/>
          <w:szCs w:val="20"/>
          <w:lang w:val="es-ES"/>
        </w:rPr>
        <w:t>)</w:t>
      </w:r>
      <w:r w:rsidR="008C2012" w:rsidRPr="0032068E">
        <w:rPr>
          <w:rFonts w:ascii="Verdana" w:hAnsi="Verdana" w:cs="Verdana"/>
          <w:sz w:val="20"/>
          <w:szCs w:val="20"/>
          <w:lang w:val="es-ES"/>
        </w:rPr>
        <w:t xml:space="preserve"> </w:t>
      </w:r>
      <w:r w:rsidR="001E27DA" w:rsidRPr="0032068E">
        <w:rPr>
          <w:rFonts w:ascii="Verdana" w:hAnsi="Verdana" w:cs="Verdana"/>
          <w:sz w:val="20"/>
          <w:szCs w:val="20"/>
          <w:lang w:val="es-ES"/>
        </w:rPr>
        <w:t xml:space="preserve">o, de requerirlo, </w:t>
      </w:r>
      <w:r w:rsidR="008C2012" w:rsidRPr="0032068E">
        <w:rPr>
          <w:rFonts w:ascii="Verdana" w:hAnsi="Verdana" w:cs="Verdana"/>
          <w:sz w:val="20"/>
          <w:szCs w:val="20"/>
          <w:lang w:val="es-ES"/>
        </w:rPr>
        <w:t xml:space="preserve">por escrito a más tardar </w:t>
      </w:r>
      <w:r w:rsidR="001E27DA" w:rsidRPr="0032068E">
        <w:rPr>
          <w:rFonts w:ascii="Verdana" w:hAnsi="Verdana" w:cs="Verdana"/>
          <w:sz w:val="20"/>
          <w:szCs w:val="20"/>
          <w:lang w:val="es-ES"/>
        </w:rPr>
        <w:t>el 13 de junio de 2014.</w:t>
      </w:r>
      <w:r w:rsidR="00666F22" w:rsidRPr="0032068E">
        <w:rPr>
          <w:rFonts w:ascii="Verdana" w:hAnsi="Verdana" w:cs="Verdana"/>
          <w:sz w:val="20"/>
          <w:szCs w:val="20"/>
          <w:lang w:val="es-ES"/>
        </w:rPr>
        <w:t xml:space="preserve"> </w:t>
      </w:r>
      <w:r w:rsidR="00A23E78" w:rsidRPr="0032068E">
        <w:rPr>
          <w:rFonts w:ascii="Verdana" w:hAnsi="Verdana" w:cs="Verdana"/>
          <w:sz w:val="20"/>
          <w:szCs w:val="20"/>
          <w:lang w:val="es-ES"/>
        </w:rPr>
        <w:t>E</w:t>
      </w:r>
      <w:r w:rsidR="00666F22" w:rsidRPr="0032068E">
        <w:rPr>
          <w:rFonts w:ascii="Verdana" w:hAnsi="Verdana" w:cs="Verdana"/>
          <w:sz w:val="20"/>
          <w:szCs w:val="20"/>
          <w:lang w:val="es-ES"/>
        </w:rPr>
        <w:t xml:space="preserve">l Estado se refirió </w:t>
      </w:r>
      <w:r w:rsidR="009041CF">
        <w:rPr>
          <w:rFonts w:ascii="Verdana" w:hAnsi="Verdana" w:cs="Verdana"/>
          <w:sz w:val="20"/>
          <w:szCs w:val="20"/>
          <w:lang w:val="es-ES"/>
        </w:rPr>
        <w:t>al</w:t>
      </w:r>
      <w:r w:rsidR="00666F22" w:rsidRPr="0032068E">
        <w:rPr>
          <w:rFonts w:ascii="Verdana" w:hAnsi="Verdana" w:cs="Verdana"/>
          <w:sz w:val="20"/>
          <w:szCs w:val="20"/>
          <w:lang w:val="es-ES"/>
        </w:rPr>
        <w:t xml:space="preserve"> informe del Ministerio Público</w:t>
      </w:r>
      <w:r w:rsidR="009041CF">
        <w:rPr>
          <w:rFonts w:ascii="Verdana" w:hAnsi="Verdana" w:cs="Verdana"/>
          <w:sz w:val="20"/>
          <w:szCs w:val="20"/>
          <w:lang w:val="es-ES"/>
        </w:rPr>
        <w:t xml:space="preserve"> de mayo de 2014</w:t>
      </w:r>
      <w:r w:rsidR="00666F22" w:rsidRPr="0032068E">
        <w:rPr>
          <w:rFonts w:ascii="Verdana" w:hAnsi="Verdana" w:cs="Verdana"/>
          <w:sz w:val="20"/>
          <w:szCs w:val="20"/>
          <w:lang w:val="es-ES"/>
        </w:rPr>
        <w:t xml:space="preserve"> en la audiencia, mientras que los representantes de los casos señalados presentaron sus observaciones entre los días 12 y 13 de junio de 2014.</w:t>
      </w:r>
      <w:bookmarkEnd w:id="22"/>
      <w:r w:rsidR="00666F22" w:rsidRPr="0032068E">
        <w:rPr>
          <w:rFonts w:ascii="Verdana" w:hAnsi="Verdana" w:cs="Verdana"/>
          <w:sz w:val="20"/>
          <w:szCs w:val="20"/>
          <w:lang w:val="es-ES"/>
        </w:rPr>
        <w:t xml:space="preserve">  </w:t>
      </w:r>
    </w:p>
    <w:p w14:paraId="24A1568D" w14:textId="77777777" w:rsidR="001E27DA" w:rsidRPr="0032068E" w:rsidRDefault="001E27DA" w:rsidP="001E27DA">
      <w:pPr>
        <w:spacing w:after="0" w:line="240" w:lineRule="auto"/>
        <w:ind w:right="1444"/>
        <w:contextualSpacing/>
        <w:jc w:val="both"/>
        <w:rPr>
          <w:rFonts w:ascii="Verdana" w:hAnsi="Verdana" w:cs="Verdana"/>
          <w:b/>
          <w:sz w:val="20"/>
          <w:szCs w:val="20"/>
          <w:lang w:val="es-ES"/>
        </w:rPr>
      </w:pPr>
    </w:p>
    <w:p w14:paraId="5C8235EA" w14:textId="36EFCAC7" w:rsidR="001E27DA" w:rsidRPr="0032068E" w:rsidRDefault="00151F7F" w:rsidP="00353CDE">
      <w:pPr>
        <w:numPr>
          <w:ilvl w:val="0"/>
          <w:numId w:val="2"/>
        </w:numPr>
        <w:spacing w:after="0" w:line="240" w:lineRule="auto"/>
        <w:ind w:left="0" w:right="1444" w:firstLine="0"/>
        <w:contextualSpacing/>
        <w:jc w:val="both"/>
        <w:rPr>
          <w:rFonts w:ascii="Verdana" w:hAnsi="Verdana" w:cs="Verdana"/>
          <w:b/>
          <w:sz w:val="20"/>
          <w:szCs w:val="20"/>
          <w:lang w:val="es-ES"/>
        </w:rPr>
      </w:pPr>
      <w:r>
        <w:rPr>
          <w:rFonts w:ascii="Verdana" w:hAnsi="Verdana" w:cs="Verdana"/>
          <w:sz w:val="20"/>
          <w:szCs w:val="20"/>
          <w:lang w:val="es-ES"/>
        </w:rPr>
        <w:t>El 6 de mayo de 2014</w:t>
      </w:r>
      <w:r w:rsidR="001E27DA" w:rsidRPr="0032068E">
        <w:rPr>
          <w:rFonts w:ascii="Verdana" w:hAnsi="Verdana" w:cs="Verdana"/>
          <w:sz w:val="20"/>
          <w:szCs w:val="20"/>
          <w:lang w:val="es-ES"/>
        </w:rPr>
        <w:t xml:space="preserve"> la señora Helen Mack presentó un escrito</w:t>
      </w:r>
      <w:r>
        <w:rPr>
          <w:rFonts w:ascii="Verdana" w:hAnsi="Verdana" w:cs="Verdana"/>
          <w:sz w:val="20"/>
          <w:szCs w:val="20"/>
          <w:lang w:val="es-ES"/>
        </w:rPr>
        <w:t>,</w:t>
      </w:r>
      <w:r w:rsidR="001E27DA" w:rsidRPr="0032068E">
        <w:rPr>
          <w:rFonts w:ascii="Verdana" w:hAnsi="Verdana" w:cs="Verdana"/>
          <w:sz w:val="20"/>
          <w:szCs w:val="20"/>
          <w:lang w:val="es-ES"/>
        </w:rPr>
        <w:t xml:space="preserve"> mediante el cual  indicó que en la audiencia referida anteriormente “se </w:t>
      </w:r>
      <w:proofErr w:type="gramStart"/>
      <w:r w:rsidR="001E27DA" w:rsidRPr="0032068E">
        <w:rPr>
          <w:rFonts w:ascii="Verdana" w:hAnsi="Verdana" w:cs="Verdana"/>
          <w:sz w:val="20"/>
          <w:szCs w:val="20"/>
          <w:lang w:val="es-ES"/>
        </w:rPr>
        <w:t>omit[</w:t>
      </w:r>
      <w:proofErr w:type="gramEnd"/>
      <w:r w:rsidR="001E27DA" w:rsidRPr="0032068E">
        <w:rPr>
          <w:rFonts w:ascii="Verdana" w:hAnsi="Verdana" w:cs="Verdana"/>
          <w:sz w:val="20"/>
          <w:szCs w:val="20"/>
          <w:lang w:val="es-ES"/>
        </w:rPr>
        <w:t xml:space="preserve">ió] convocar a la representación de las víctimas del caso </w:t>
      </w:r>
      <w:r w:rsidR="001E27DA" w:rsidRPr="0032068E">
        <w:rPr>
          <w:rFonts w:ascii="Verdana" w:hAnsi="Verdana" w:cs="Verdana"/>
          <w:i/>
          <w:sz w:val="20"/>
          <w:szCs w:val="20"/>
          <w:lang w:val="es-ES"/>
        </w:rPr>
        <w:t>Mack Chang</w:t>
      </w:r>
      <w:r w:rsidR="001E27DA" w:rsidRPr="0032068E">
        <w:rPr>
          <w:rFonts w:ascii="Verdana" w:hAnsi="Verdana" w:cs="Verdana"/>
          <w:sz w:val="20"/>
          <w:szCs w:val="20"/>
          <w:lang w:val="es-ES"/>
        </w:rPr>
        <w:t xml:space="preserve">” y manifestó su disposición a participar en la misma. </w:t>
      </w:r>
      <w:r w:rsidR="001A1652">
        <w:rPr>
          <w:rFonts w:ascii="Verdana" w:hAnsi="Verdana" w:cs="Verdana"/>
          <w:sz w:val="20"/>
          <w:szCs w:val="20"/>
          <w:lang w:val="es-ES"/>
        </w:rPr>
        <w:t>S</w:t>
      </w:r>
      <w:r w:rsidR="00A8723E" w:rsidRPr="0032068E">
        <w:rPr>
          <w:rFonts w:ascii="Verdana" w:hAnsi="Verdana" w:cs="Verdana"/>
          <w:sz w:val="20"/>
          <w:szCs w:val="20"/>
          <w:lang w:val="es-ES"/>
        </w:rPr>
        <w:t xml:space="preserve">iguiendo instrucciones del Presidente y mediante nota de </w:t>
      </w:r>
      <w:r w:rsidR="00126845" w:rsidRPr="0032068E">
        <w:rPr>
          <w:rFonts w:ascii="Verdana" w:hAnsi="Verdana" w:cs="Verdana"/>
          <w:sz w:val="20"/>
          <w:szCs w:val="20"/>
          <w:lang w:val="es-ES"/>
        </w:rPr>
        <w:t>S</w:t>
      </w:r>
      <w:r w:rsidR="00A8723E" w:rsidRPr="0032068E">
        <w:rPr>
          <w:rFonts w:ascii="Verdana" w:hAnsi="Verdana" w:cs="Verdana"/>
          <w:sz w:val="20"/>
          <w:szCs w:val="20"/>
          <w:lang w:val="es-ES"/>
        </w:rPr>
        <w:t>ecretaría del 7 de mayo de 2014, se atendió la solicitud de la señora Mack, y se autorizó su participación en la referida audiencia.</w:t>
      </w:r>
    </w:p>
    <w:p w14:paraId="0A5B31EB" w14:textId="77777777" w:rsidR="00E0224E" w:rsidRPr="0032068E" w:rsidRDefault="00E0224E" w:rsidP="00E0224E">
      <w:pPr>
        <w:spacing w:after="0" w:line="240" w:lineRule="auto"/>
        <w:ind w:right="1444"/>
        <w:contextualSpacing/>
        <w:jc w:val="both"/>
        <w:rPr>
          <w:rFonts w:ascii="Verdana" w:hAnsi="Verdana" w:cs="Verdana"/>
          <w:b/>
          <w:sz w:val="20"/>
          <w:szCs w:val="20"/>
          <w:lang w:val="es-ES"/>
        </w:rPr>
      </w:pPr>
    </w:p>
    <w:p w14:paraId="6796CB07" w14:textId="5BFE12B0" w:rsidR="00A54F9F" w:rsidRPr="0032068E" w:rsidRDefault="00E0224E" w:rsidP="00A54F9F">
      <w:pPr>
        <w:numPr>
          <w:ilvl w:val="0"/>
          <w:numId w:val="2"/>
        </w:numPr>
        <w:spacing w:after="0" w:line="240" w:lineRule="auto"/>
        <w:ind w:left="0" w:right="1444" w:firstLine="0"/>
        <w:contextualSpacing/>
        <w:jc w:val="both"/>
        <w:rPr>
          <w:rFonts w:ascii="Verdana" w:hAnsi="Verdana" w:cs="Verdana"/>
          <w:sz w:val="20"/>
          <w:szCs w:val="20"/>
          <w:lang w:val="es-ES"/>
        </w:rPr>
      </w:pPr>
      <w:bookmarkStart w:id="23" w:name="_Ref438113907"/>
      <w:r w:rsidRPr="0032068E">
        <w:rPr>
          <w:rFonts w:ascii="Verdana" w:hAnsi="Verdana" w:cs="Verdana"/>
          <w:sz w:val="20"/>
          <w:szCs w:val="20"/>
          <w:lang w:val="es-ES"/>
        </w:rPr>
        <w:t>El 16 de mayo de 2014 se celebró la audiencia</w:t>
      </w:r>
      <w:r w:rsidR="001A1652">
        <w:rPr>
          <w:rFonts w:ascii="Verdana" w:hAnsi="Verdana" w:cs="Verdana"/>
          <w:sz w:val="20"/>
          <w:szCs w:val="20"/>
          <w:lang w:val="es-ES"/>
        </w:rPr>
        <w:t xml:space="preserve"> privada</w:t>
      </w:r>
      <w:r w:rsidRPr="0032068E">
        <w:rPr>
          <w:rFonts w:ascii="Verdana" w:hAnsi="Verdana" w:cs="Verdana"/>
          <w:sz w:val="20"/>
          <w:szCs w:val="20"/>
          <w:lang w:val="es-ES"/>
        </w:rPr>
        <w:t xml:space="preserve"> convocada por la Corte</w:t>
      </w:r>
      <w:r w:rsidRPr="0032068E">
        <w:rPr>
          <w:rFonts w:ascii="Verdana" w:hAnsi="Verdana"/>
          <w:sz w:val="20"/>
          <w:vertAlign w:val="superscript"/>
          <w:lang w:val="es-MX"/>
        </w:rPr>
        <w:footnoteReference w:id="37"/>
      </w:r>
      <w:r w:rsidR="00E21203" w:rsidRPr="0032068E">
        <w:rPr>
          <w:rFonts w:ascii="Verdana" w:hAnsi="Verdana" w:cs="Verdana"/>
          <w:sz w:val="20"/>
          <w:szCs w:val="20"/>
          <w:lang w:val="es-ES"/>
        </w:rPr>
        <w:t>.</w:t>
      </w:r>
      <w:r w:rsidRPr="0032068E">
        <w:rPr>
          <w:rFonts w:ascii="Verdana" w:hAnsi="Verdana" w:cs="Verdana"/>
          <w:sz w:val="20"/>
          <w:szCs w:val="20"/>
          <w:lang w:val="es-ES"/>
        </w:rPr>
        <w:t xml:space="preserve"> </w:t>
      </w:r>
      <w:r w:rsidR="004D554A" w:rsidRPr="0032068E">
        <w:rPr>
          <w:rFonts w:ascii="Verdana" w:hAnsi="Verdana" w:cs="Verdana"/>
          <w:sz w:val="20"/>
          <w:szCs w:val="20"/>
          <w:lang w:val="es-ES"/>
        </w:rPr>
        <w:t>En dicha audiencia</w:t>
      </w:r>
      <w:r w:rsidR="003F4AA8">
        <w:rPr>
          <w:rFonts w:ascii="Verdana" w:hAnsi="Verdana" w:cs="Verdana"/>
          <w:sz w:val="20"/>
          <w:szCs w:val="20"/>
          <w:lang w:val="es-ES"/>
        </w:rPr>
        <w:t>,</w:t>
      </w:r>
      <w:r w:rsidR="004D554A" w:rsidRPr="0032068E">
        <w:rPr>
          <w:rFonts w:ascii="Verdana" w:hAnsi="Verdana" w:cs="Verdana"/>
          <w:sz w:val="20"/>
          <w:szCs w:val="20"/>
          <w:lang w:val="es-ES"/>
        </w:rPr>
        <w:t xml:space="preserve"> </w:t>
      </w:r>
      <w:r w:rsidR="006069CD" w:rsidRPr="0032068E">
        <w:rPr>
          <w:rFonts w:ascii="Verdana" w:hAnsi="Verdana" w:cs="Verdana"/>
          <w:sz w:val="20"/>
          <w:szCs w:val="20"/>
          <w:lang w:val="es-ES"/>
        </w:rPr>
        <w:t>el Estado</w:t>
      </w:r>
      <w:r w:rsidR="004D554A" w:rsidRPr="0032068E">
        <w:rPr>
          <w:rFonts w:ascii="Verdana" w:hAnsi="Verdana" w:cs="Verdana"/>
          <w:sz w:val="20"/>
          <w:szCs w:val="20"/>
          <w:lang w:val="es-ES"/>
        </w:rPr>
        <w:t xml:space="preserve"> omitió rendir la información solicitada y mantuvo una posición que fue posteriormente valorada </w:t>
      </w:r>
      <w:r w:rsidR="003F4AA8">
        <w:rPr>
          <w:rFonts w:ascii="Verdana" w:hAnsi="Verdana" w:cs="Verdana"/>
          <w:sz w:val="20"/>
          <w:szCs w:val="20"/>
          <w:lang w:val="es-ES"/>
        </w:rPr>
        <w:t>por</w:t>
      </w:r>
      <w:r w:rsidR="004D554A" w:rsidRPr="0032068E">
        <w:rPr>
          <w:rFonts w:ascii="Verdana" w:hAnsi="Verdana" w:cs="Verdana"/>
          <w:sz w:val="20"/>
          <w:szCs w:val="20"/>
          <w:lang w:val="es-ES"/>
        </w:rPr>
        <w:t xml:space="preserve"> la Corte como “inaceptable” y constitutiva de un “desacato” a las Sentencias </w:t>
      </w:r>
      <w:r w:rsidR="004D554A" w:rsidRPr="00151F7F">
        <w:rPr>
          <w:rFonts w:ascii="Verdana" w:hAnsi="Verdana" w:cs="Verdana"/>
          <w:sz w:val="20"/>
          <w:szCs w:val="20"/>
          <w:lang w:val="es-ES"/>
        </w:rPr>
        <w:t>(</w:t>
      </w:r>
      <w:r w:rsidR="004D554A" w:rsidRPr="00151F7F">
        <w:rPr>
          <w:rFonts w:ascii="Verdana" w:hAnsi="Verdana" w:cs="Verdana"/>
          <w:i/>
          <w:sz w:val="20"/>
          <w:szCs w:val="20"/>
          <w:lang w:val="es-ES"/>
        </w:rPr>
        <w:t xml:space="preserve">infra </w:t>
      </w:r>
      <w:r w:rsidR="004D554A" w:rsidRPr="00151F7F">
        <w:rPr>
          <w:rFonts w:ascii="Verdana" w:hAnsi="Verdana" w:cs="Verdana"/>
          <w:sz w:val="20"/>
          <w:szCs w:val="20"/>
          <w:lang w:val="es-ES"/>
        </w:rPr>
        <w:t xml:space="preserve">Considerando </w:t>
      </w:r>
      <w:r w:rsidR="003F4AA8" w:rsidRPr="00151F7F">
        <w:rPr>
          <w:rFonts w:ascii="Verdana" w:hAnsi="Verdana" w:cs="Verdana"/>
          <w:sz w:val="20"/>
          <w:szCs w:val="20"/>
          <w:lang w:val="es-ES"/>
        </w:rPr>
        <w:fldChar w:fldCharType="begin"/>
      </w:r>
      <w:r w:rsidR="003F4AA8" w:rsidRPr="00151F7F">
        <w:rPr>
          <w:rFonts w:ascii="Verdana" w:hAnsi="Verdana" w:cs="Verdana"/>
          <w:sz w:val="20"/>
          <w:szCs w:val="20"/>
          <w:lang w:val="es-ES"/>
        </w:rPr>
        <w:instrText xml:space="preserve"> REF _Ref437013194 \r \h </w:instrText>
      </w:r>
      <w:r w:rsidR="004B4974" w:rsidRPr="00151F7F">
        <w:rPr>
          <w:rFonts w:ascii="Verdana" w:hAnsi="Verdana" w:cs="Verdana"/>
          <w:sz w:val="20"/>
          <w:szCs w:val="20"/>
          <w:lang w:val="es-ES"/>
        </w:rPr>
        <w:instrText xml:space="preserve"> \* MERGEFORMAT </w:instrText>
      </w:r>
      <w:r w:rsidR="003F4AA8" w:rsidRPr="00151F7F">
        <w:rPr>
          <w:rFonts w:ascii="Verdana" w:hAnsi="Verdana" w:cs="Verdana"/>
          <w:sz w:val="20"/>
          <w:szCs w:val="20"/>
          <w:lang w:val="es-ES"/>
        </w:rPr>
      </w:r>
      <w:r w:rsidR="003F4AA8" w:rsidRPr="00151F7F">
        <w:rPr>
          <w:rFonts w:ascii="Verdana" w:hAnsi="Verdana" w:cs="Verdana"/>
          <w:sz w:val="20"/>
          <w:szCs w:val="20"/>
          <w:lang w:val="es-ES"/>
        </w:rPr>
        <w:fldChar w:fldCharType="separate"/>
      </w:r>
      <w:r w:rsidR="007E3C4B">
        <w:rPr>
          <w:rFonts w:ascii="Verdana" w:hAnsi="Verdana" w:cs="Verdana"/>
          <w:sz w:val="20"/>
          <w:szCs w:val="20"/>
          <w:lang w:val="es-ES"/>
        </w:rPr>
        <w:t>26</w:t>
      </w:r>
      <w:r w:rsidR="003F4AA8" w:rsidRPr="00151F7F">
        <w:rPr>
          <w:rFonts w:ascii="Verdana" w:hAnsi="Verdana" w:cs="Verdana"/>
          <w:sz w:val="20"/>
          <w:szCs w:val="20"/>
          <w:lang w:val="es-ES"/>
        </w:rPr>
        <w:fldChar w:fldCharType="end"/>
      </w:r>
      <w:r w:rsidR="004D554A" w:rsidRPr="00151F7F">
        <w:rPr>
          <w:rFonts w:ascii="Verdana" w:hAnsi="Verdana" w:cs="Verdana"/>
          <w:sz w:val="20"/>
          <w:szCs w:val="20"/>
          <w:lang w:val="es-ES"/>
        </w:rPr>
        <w:t>).</w:t>
      </w:r>
      <w:r w:rsidR="004D554A" w:rsidRPr="0032068E">
        <w:rPr>
          <w:rFonts w:ascii="Verdana" w:hAnsi="Verdana" w:cs="Verdana"/>
          <w:sz w:val="20"/>
          <w:szCs w:val="20"/>
          <w:lang w:val="es-ES"/>
        </w:rPr>
        <w:t xml:space="preserve"> En esa oportunidad, Guatemala </w:t>
      </w:r>
      <w:r w:rsidR="006069CD" w:rsidRPr="0032068E">
        <w:rPr>
          <w:rFonts w:ascii="Verdana" w:hAnsi="Verdana" w:cs="Verdana"/>
          <w:sz w:val="20"/>
          <w:szCs w:val="20"/>
          <w:lang w:val="es-ES"/>
        </w:rPr>
        <w:t>planteó que</w:t>
      </w:r>
      <w:r w:rsidR="001A1652">
        <w:rPr>
          <w:rFonts w:ascii="Verdana" w:hAnsi="Verdana" w:cs="Verdana"/>
          <w:sz w:val="20"/>
          <w:szCs w:val="20"/>
          <w:lang w:val="es-ES"/>
        </w:rPr>
        <w:t>:</w:t>
      </w:r>
      <w:r w:rsidR="006069CD" w:rsidRPr="0032068E">
        <w:rPr>
          <w:rFonts w:ascii="Verdana" w:hAnsi="Verdana" w:cs="Verdana"/>
          <w:sz w:val="20"/>
          <w:szCs w:val="20"/>
          <w:lang w:val="es-ES"/>
        </w:rPr>
        <w:t xml:space="preserve"> la Corte carecía de competencia temporal para ejercer su jurisdicción sobr</w:t>
      </w:r>
      <w:r w:rsidR="00833AC1">
        <w:rPr>
          <w:rFonts w:ascii="Verdana" w:hAnsi="Verdana" w:cs="Verdana"/>
          <w:sz w:val="20"/>
          <w:szCs w:val="20"/>
          <w:lang w:val="es-ES"/>
        </w:rPr>
        <w:t xml:space="preserve">e algunos de </w:t>
      </w:r>
      <w:r w:rsidR="00833AC1" w:rsidRPr="00833AC1">
        <w:rPr>
          <w:rFonts w:ascii="Verdana" w:hAnsi="Verdana" w:cs="Verdana"/>
          <w:sz w:val="20"/>
          <w:szCs w:val="20"/>
          <w:lang w:val="es-ES"/>
        </w:rPr>
        <w:t xml:space="preserve">los </w:t>
      </w:r>
      <w:r w:rsidR="006069CD" w:rsidRPr="00833AC1">
        <w:rPr>
          <w:rFonts w:ascii="Verdana" w:hAnsi="Verdana" w:cs="Verdana"/>
          <w:sz w:val="20"/>
          <w:szCs w:val="20"/>
          <w:lang w:val="es-ES"/>
        </w:rPr>
        <w:t>casos;</w:t>
      </w:r>
      <w:r w:rsidR="006069CD" w:rsidRPr="0032068E">
        <w:rPr>
          <w:rFonts w:ascii="Verdana" w:hAnsi="Verdana" w:cs="Verdana"/>
          <w:sz w:val="20"/>
          <w:szCs w:val="20"/>
          <w:lang w:val="es-ES"/>
        </w:rPr>
        <w:t xml:space="preserve"> la calificación de los hechos como conductas continuadas, a los cuales los casos se refieren, era inaceptable; los hechos </w:t>
      </w:r>
      <w:r w:rsidR="00833AC1">
        <w:rPr>
          <w:rFonts w:ascii="Verdana" w:hAnsi="Verdana" w:cs="Verdana"/>
          <w:sz w:val="20"/>
          <w:szCs w:val="20"/>
          <w:lang w:val="es-ES"/>
        </w:rPr>
        <w:t xml:space="preserve">relativos a siete casos </w:t>
      </w:r>
      <w:r w:rsidR="006069CD" w:rsidRPr="0032068E">
        <w:rPr>
          <w:rFonts w:ascii="Verdana" w:hAnsi="Verdana" w:cs="Verdana"/>
          <w:sz w:val="20"/>
          <w:szCs w:val="20"/>
          <w:lang w:val="es-ES"/>
        </w:rPr>
        <w:t>se encontraban enmarcados dentro de los supuestos de la Ley de Reconciliación Nacional, y que acarrearían la extinción de responsabilidad penal; en ninguno de los casos podía haber procesamiento por el delito de desaparición forzada, y que en ninguno de los casos procedía la imprescriptibilidad</w:t>
      </w:r>
      <w:r w:rsidR="00833AC1">
        <w:rPr>
          <w:rFonts w:ascii="Verdana" w:hAnsi="Verdana" w:cs="Verdana"/>
          <w:sz w:val="20"/>
          <w:szCs w:val="20"/>
          <w:lang w:val="es-ES"/>
        </w:rPr>
        <w:t xml:space="preserve"> (</w:t>
      </w:r>
      <w:r w:rsidR="00833AC1" w:rsidRPr="00833AC1">
        <w:rPr>
          <w:rFonts w:ascii="Verdana" w:hAnsi="Verdana" w:cs="Verdana"/>
          <w:i/>
          <w:sz w:val="20"/>
          <w:szCs w:val="20"/>
          <w:lang w:val="es-ES"/>
        </w:rPr>
        <w:t>infra</w:t>
      </w:r>
      <w:r w:rsidR="00833AC1">
        <w:rPr>
          <w:rFonts w:ascii="Verdana" w:hAnsi="Verdana" w:cs="Verdana"/>
          <w:sz w:val="20"/>
          <w:szCs w:val="20"/>
          <w:lang w:val="es-ES"/>
        </w:rPr>
        <w:t xml:space="preserve"> Considerando 137)</w:t>
      </w:r>
      <w:r w:rsidR="006069CD" w:rsidRPr="0032068E">
        <w:rPr>
          <w:rFonts w:ascii="Verdana" w:hAnsi="Verdana" w:cs="Verdana"/>
          <w:sz w:val="20"/>
          <w:szCs w:val="20"/>
          <w:lang w:val="es-ES"/>
        </w:rPr>
        <w:t>.</w:t>
      </w:r>
      <w:bookmarkEnd w:id="23"/>
    </w:p>
    <w:p w14:paraId="1EF7B066" w14:textId="77777777" w:rsidR="00F15D25" w:rsidRPr="0032068E" w:rsidRDefault="00F15D25" w:rsidP="00D901B8">
      <w:pPr>
        <w:spacing w:after="0" w:line="240" w:lineRule="auto"/>
        <w:ind w:left="2340" w:right="1444"/>
        <w:contextualSpacing/>
        <w:jc w:val="both"/>
        <w:rPr>
          <w:rFonts w:ascii="Verdana" w:hAnsi="Verdana" w:cs="Verdana"/>
          <w:sz w:val="20"/>
          <w:szCs w:val="20"/>
          <w:lang w:val="es-ES"/>
        </w:rPr>
      </w:pPr>
    </w:p>
    <w:p w14:paraId="1F36FF44" w14:textId="1BDBA794" w:rsidR="00B93968" w:rsidRPr="0032068E" w:rsidRDefault="00B93968" w:rsidP="00353CDE">
      <w:pPr>
        <w:numPr>
          <w:ilvl w:val="0"/>
          <w:numId w:val="2"/>
        </w:numPr>
        <w:spacing w:after="0" w:line="240" w:lineRule="auto"/>
        <w:ind w:left="0" w:right="1444" w:firstLine="0"/>
        <w:contextualSpacing/>
        <w:jc w:val="both"/>
        <w:rPr>
          <w:rFonts w:ascii="Verdana" w:hAnsi="Verdana" w:cs="Verdana"/>
          <w:sz w:val="20"/>
          <w:szCs w:val="20"/>
          <w:lang w:val="es-ES"/>
        </w:rPr>
      </w:pPr>
      <w:bookmarkStart w:id="24" w:name="_Ref437013194"/>
      <w:r w:rsidRPr="0032068E">
        <w:rPr>
          <w:rFonts w:ascii="Verdana" w:hAnsi="Verdana" w:cs="Verdana"/>
          <w:sz w:val="20"/>
          <w:szCs w:val="20"/>
          <w:lang w:val="es-ES"/>
        </w:rPr>
        <w:lastRenderedPageBreak/>
        <w:t xml:space="preserve">Mediante </w:t>
      </w:r>
      <w:r w:rsidR="003F4AA8" w:rsidRPr="00432F5C">
        <w:rPr>
          <w:rFonts w:ascii="Verdana" w:hAnsi="Verdana" w:cs="Verdana"/>
          <w:sz w:val="20"/>
          <w:szCs w:val="20"/>
          <w:lang w:val="es-ES"/>
        </w:rPr>
        <w:t>R</w:t>
      </w:r>
      <w:r w:rsidRPr="00432F5C">
        <w:rPr>
          <w:rFonts w:ascii="Verdana" w:hAnsi="Verdana" w:cs="Verdana"/>
          <w:sz w:val="20"/>
          <w:szCs w:val="20"/>
          <w:lang w:val="es-ES"/>
        </w:rPr>
        <w:t>esolución</w:t>
      </w:r>
      <w:r w:rsidRPr="0032068E">
        <w:rPr>
          <w:rFonts w:ascii="Verdana" w:hAnsi="Verdana" w:cs="Verdana"/>
          <w:sz w:val="20"/>
          <w:szCs w:val="20"/>
          <w:lang w:val="es-ES"/>
        </w:rPr>
        <w:t xml:space="preserve"> del 21 de agosto de 2014, </w:t>
      </w:r>
      <w:r w:rsidR="00D90DD9" w:rsidRPr="0032068E">
        <w:rPr>
          <w:rFonts w:ascii="Verdana" w:hAnsi="Verdana" w:cs="Verdana"/>
          <w:sz w:val="20"/>
          <w:szCs w:val="20"/>
          <w:lang w:val="es-ES"/>
        </w:rPr>
        <w:t>el Tribunal</w:t>
      </w:r>
      <w:r w:rsidRPr="0032068E">
        <w:rPr>
          <w:rFonts w:ascii="Verdana" w:hAnsi="Verdana" w:cs="Verdana"/>
          <w:sz w:val="20"/>
          <w:szCs w:val="20"/>
          <w:lang w:val="es-ES"/>
        </w:rPr>
        <w:t xml:space="preserve"> rechazó la posición asumida por el Estado de Guatemala en la audiencia, y la calificó como “un acto de evidente desacato de la obligatoriedad de las Sentencias de esta Corte”</w:t>
      </w:r>
      <w:r w:rsidRPr="0032068E">
        <w:rPr>
          <w:rStyle w:val="FootnoteReference"/>
          <w:rFonts w:ascii="Verdana" w:hAnsi="Verdana" w:cs="Verdana"/>
          <w:sz w:val="20"/>
          <w:szCs w:val="20"/>
          <w:lang w:val="es-ES"/>
        </w:rPr>
        <w:footnoteReference w:id="38"/>
      </w:r>
      <w:r w:rsidRPr="0032068E">
        <w:rPr>
          <w:rFonts w:ascii="Verdana" w:hAnsi="Verdana" w:cs="Verdana"/>
          <w:sz w:val="20"/>
          <w:szCs w:val="20"/>
          <w:lang w:val="es-ES"/>
        </w:rPr>
        <w:t>.</w:t>
      </w:r>
      <w:r w:rsidR="00DD3D78" w:rsidRPr="0032068E">
        <w:rPr>
          <w:rFonts w:ascii="Verdana" w:hAnsi="Verdana" w:cs="Verdana"/>
          <w:sz w:val="20"/>
          <w:szCs w:val="20"/>
          <w:lang w:val="es-ES"/>
        </w:rPr>
        <w:t xml:space="preserve"> Más aún, la Corte determinó que los cuestionamientos a </w:t>
      </w:r>
      <w:r w:rsidR="001A1652">
        <w:rPr>
          <w:rFonts w:ascii="Verdana" w:hAnsi="Verdana" w:cs="Verdana"/>
          <w:sz w:val="20"/>
          <w:szCs w:val="20"/>
          <w:lang w:val="es-ES"/>
        </w:rPr>
        <w:t>su</w:t>
      </w:r>
      <w:r w:rsidR="00DD3D78" w:rsidRPr="0032068E">
        <w:rPr>
          <w:rFonts w:ascii="Verdana" w:hAnsi="Verdana" w:cs="Verdana"/>
          <w:sz w:val="20"/>
          <w:szCs w:val="20"/>
          <w:lang w:val="es-ES"/>
        </w:rPr>
        <w:t xml:space="preserve"> competencia ya habrían sido resueltos en las etapas correspondientes del proceso </w:t>
      </w:r>
      <w:r w:rsidR="00D90DD9" w:rsidRPr="0032068E">
        <w:rPr>
          <w:rFonts w:ascii="Verdana" w:hAnsi="Verdana" w:cs="Verdana"/>
          <w:sz w:val="20"/>
          <w:szCs w:val="20"/>
          <w:lang w:val="es-ES"/>
        </w:rPr>
        <w:t>y recordó que en la mayoría de estos caso</w:t>
      </w:r>
      <w:r w:rsidR="00935B20">
        <w:rPr>
          <w:rFonts w:ascii="Verdana" w:hAnsi="Verdana" w:cs="Verdana"/>
          <w:sz w:val="20"/>
          <w:szCs w:val="20"/>
          <w:lang w:val="es-ES"/>
        </w:rPr>
        <w:t>s</w:t>
      </w:r>
      <w:r w:rsidR="00D90DD9" w:rsidRPr="0032068E">
        <w:rPr>
          <w:rFonts w:ascii="Verdana" w:hAnsi="Verdana" w:cs="Verdana"/>
          <w:sz w:val="20"/>
          <w:szCs w:val="20"/>
          <w:lang w:val="es-ES"/>
        </w:rPr>
        <w:t xml:space="preserve"> el Estado había efectuado reconocimientos de responsabilidad internacional</w:t>
      </w:r>
      <w:r w:rsidR="00DD3D78" w:rsidRPr="0032068E">
        <w:rPr>
          <w:rFonts w:ascii="Verdana" w:hAnsi="Verdana" w:cs="Verdana"/>
          <w:sz w:val="20"/>
          <w:szCs w:val="20"/>
          <w:lang w:val="es-ES"/>
        </w:rPr>
        <w:t xml:space="preserve">. </w:t>
      </w:r>
      <w:r w:rsidR="00DD3D78" w:rsidRPr="00A90955">
        <w:rPr>
          <w:rFonts w:ascii="Verdana" w:hAnsi="Verdana" w:cs="Verdana"/>
          <w:sz w:val="20"/>
          <w:szCs w:val="20"/>
          <w:lang w:val="es-ES"/>
        </w:rPr>
        <w:t>Además, reiteró su jurisprudencia</w:t>
      </w:r>
      <w:r w:rsidR="007D7A5E">
        <w:rPr>
          <w:rFonts w:ascii="Verdana" w:hAnsi="Verdana" w:cs="Verdana"/>
          <w:sz w:val="20"/>
          <w:szCs w:val="20"/>
          <w:lang w:val="es-ES"/>
        </w:rPr>
        <w:t xml:space="preserve"> </w:t>
      </w:r>
      <w:r w:rsidR="007D7A5E" w:rsidRPr="0096640C">
        <w:rPr>
          <w:rFonts w:ascii="Verdana" w:hAnsi="Verdana"/>
          <w:sz w:val="20"/>
          <w:lang w:val="es-CR"/>
        </w:rPr>
        <w:t xml:space="preserve">en lo que respecta a la incompatibilidad </w:t>
      </w:r>
      <w:r w:rsidR="007D7A5E">
        <w:rPr>
          <w:rFonts w:ascii="Verdana" w:hAnsi="Verdana"/>
          <w:sz w:val="20"/>
          <w:lang w:val="es-CR"/>
        </w:rPr>
        <w:t>con la Convención</w:t>
      </w:r>
      <w:r w:rsidR="007D7A5E" w:rsidRPr="0096640C">
        <w:rPr>
          <w:rFonts w:ascii="Verdana" w:hAnsi="Verdana"/>
          <w:sz w:val="20"/>
          <w:lang w:val="es-CR"/>
        </w:rPr>
        <w:t xml:space="preserve"> de ‘‘aplicar leyes de amnistía, argumentar prescripción, irretroactividad penal, cosa juzgada, ni el principio de </w:t>
      </w:r>
      <w:r w:rsidR="007D7A5E" w:rsidRPr="0096640C">
        <w:rPr>
          <w:rFonts w:ascii="Verdana" w:hAnsi="Verdana"/>
          <w:i/>
          <w:sz w:val="20"/>
          <w:lang w:val="es-CR"/>
        </w:rPr>
        <w:t>non bis in idem</w:t>
      </w:r>
      <w:r w:rsidR="007D7A5E" w:rsidRPr="0096640C">
        <w:rPr>
          <w:rFonts w:ascii="Verdana" w:hAnsi="Verdana"/>
          <w:sz w:val="20"/>
          <w:lang w:val="es-CR"/>
        </w:rPr>
        <w:t xml:space="preserve"> o cualquier excluyente similar de responsabilidad’’ con el fin de excusarse de la obligación de investigar graves violaciones a los derechos humanos, así como también </w:t>
      </w:r>
      <w:r w:rsidR="007D7A5E">
        <w:rPr>
          <w:rFonts w:ascii="Verdana" w:hAnsi="Verdana"/>
          <w:sz w:val="20"/>
          <w:lang w:val="es-CR"/>
        </w:rPr>
        <w:t xml:space="preserve">las </w:t>
      </w:r>
      <w:r w:rsidR="007D7A5E" w:rsidRPr="0096640C">
        <w:rPr>
          <w:rFonts w:ascii="Verdana" w:hAnsi="Verdana"/>
          <w:sz w:val="20"/>
          <w:lang w:val="es-CR"/>
        </w:rPr>
        <w:t xml:space="preserve">consideraciones específicas en lo que respecta a una eventual aplicación de la Ley de Reconciliación Nacional de Guatemala en los casos </w:t>
      </w:r>
      <w:r w:rsidR="007D7A5E" w:rsidRPr="0096640C">
        <w:rPr>
          <w:rFonts w:ascii="Verdana" w:hAnsi="Verdana"/>
          <w:i/>
          <w:sz w:val="20"/>
          <w:lang w:val="es-CR"/>
        </w:rPr>
        <w:t xml:space="preserve">Masacre de las Dos Erres </w:t>
      </w:r>
      <w:r w:rsidR="007D7A5E" w:rsidRPr="0096640C">
        <w:rPr>
          <w:rFonts w:ascii="Verdana" w:hAnsi="Verdana"/>
          <w:sz w:val="20"/>
          <w:lang w:val="es-CR"/>
        </w:rPr>
        <w:t xml:space="preserve">y </w:t>
      </w:r>
      <w:r w:rsidR="007D7A5E" w:rsidRPr="0096640C">
        <w:rPr>
          <w:rFonts w:ascii="Verdana" w:hAnsi="Verdana"/>
          <w:i/>
          <w:sz w:val="20"/>
          <w:lang w:val="es-CR"/>
        </w:rPr>
        <w:t>Chitay Nech</w:t>
      </w:r>
      <w:r w:rsidR="00DD3D78" w:rsidRPr="00A90955">
        <w:rPr>
          <w:rFonts w:ascii="Verdana" w:hAnsi="Verdana" w:cs="Verdana"/>
          <w:sz w:val="20"/>
          <w:szCs w:val="20"/>
          <w:lang w:val="es-ES"/>
        </w:rPr>
        <w:t>.</w:t>
      </w:r>
      <w:bookmarkEnd w:id="24"/>
    </w:p>
    <w:p w14:paraId="1BEB8EC0" w14:textId="77777777" w:rsidR="004A37BF" w:rsidRPr="0032068E" w:rsidRDefault="004A37BF" w:rsidP="004A37BF">
      <w:pPr>
        <w:spacing w:after="0" w:line="240" w:lineRule="auto"/>
        <w:ind w:right="1444"/>
        <w:contextualSpacing/>
        <w:jc w:val="both"/>
        <w:rPr>
          <w:rFonts w:ascii="Verdana" w:hAnsi="Verdana" w:cs="Verdana"/>
          <w:sz w:val="20"/>
          <w:szCs w:val="20"/>
          <w:lang w:val="es-ES"/>
        </w:rPr>
      </w:pPr>
    </w:p>
    <w:p w14:paraId="36D01452" w14:textId="57BEF83E" w:rsidR="00A94DCB" w:rsidRPr="0032068E" w:rsidRDefault="004A37BF" w:rsidP="00A94DCB">
      <w:pPr>
        <w:numPr>
          <w:ilvl w:val="0"/>
          <w:numId w:val="2"/>
        </w:numPr>
        <w:spacing w:after="0" w:line="240" w:lineRule="auto"/>
        <w:ind w:left="0" w:right="1444" w:firstLine="0"/>
        <w:contextualSpacing/>
        <w:jc w:val="both"/>
        <w:rPr>
          <w:rFonts w:ascii="Verdana" w:hAnsi="Verdana" w:cs="Verdana"/>
          <w:sz w:val="20"/>
          <w:szCs w:val="20"/>
          <w:lang w:val="es-ES"/>
        </w:rPr>
      </w:pPr>
      <w:bookmarkStart w:id="25" w:name="_Ref437337187"/>
      <w:r w:rsidRPr="00011002">
        <w:rPr>
          <w:rFonts w:ascii="Verdana" w:hAnsi="Verdana" w:cs="Verdana"/>
          <w:sz w:val="20"/>
          <w:szCs w:val="20"/>
          <w:lang w:val="es-ES"/>
        </w:rPr>
        <w:t>Posteriormente</w:t>
      </w:r>
      <w:r w:rsidRPr="0032068E">
        <w:rPr>
          <w:rFonts w:ascii="Verdana" w:hAnsi="Verdana" w:cs="Verdana"/>
          <w:sz w:val="20"/>
          <w:szCs w:val="20"/>
          <w:lang w:val="es-ES"/>
        </w:rPr>
        <w:t>, mediante nota de la Secretaría del 18 de febrero de 2015</w:t>
      </w:r>
      <w:r w:rsidR="00A94DCB" w:rsidRPr="0032068E">
        <w:rPr>
          <w:rFonts w:ascii="Verdana" w:hAnsi="Verdana" w:cs="Verdana"/>
          <w:sz w:val="20"/>
          <w:szCs w:val="20"/>
          <w:lang w:val="es-ES"/>
        </w:rPr>
        <w:t xml:space="preserve"> </w:t>
      </w:r>
      <w:r w:rsidR="00A94DCB" w:rsidRPr="000C0CC3">
        <w:rPr>
          <w:rFonts w:ascii="Verdana" w:hAnsi="Verdana" w:cs="Verdana"/>
          <w:sz w:val="20"/>
          <w:szCs w:val="20"/>
          <w:lang w:val="es-ES"/>
        </w:rPr>
        <w:t>(</w:t>
      </w:r>
      <w:r w:rsidR="00A94DCB" w:rsidRPr="000C0CC3">
        <w:rPr>
          <w:rFonts w:ascii="Verdana" w:hAnsi="Verdana" w:cs="Verdana"/>
          <w:i/>
          <w:sz w:val="20"/>
          <w:szCs w:val="20"/>
          <w:lang w:val="es-ES"/>
        </w:rPr>
        <w:t xml:space="preserve">supra </w:t>
      </w:r>
      <w:r w:rsidR="00A94DCB" w:rsidRPr="000C0CC3">
        <w:rPr>
          <w:rFonts w:ascii="Verdana" w:hAnsi="Verdana" w:cs="Verdana"/>
          <w:sz w:val="20"/>
          <w:szCs w:val="20"/>
          <w:lang w:val="es-ES"/>
        </w:rPr>
        <w:t>Visto</w:t>
      </w:r>
      <w:r w:rsidR="0089082A" w:rsidRPr="000C0CC3">
        <w:rPr>
          <w:rFonts w:ascii="Verdana" w:hAnsi="Verdana" w:cs="Verdana"/>
          <w:sz w:val="20"/>
          <w:szCs w:val="20"/>
          <w:lang w:val="es-ES"/>
        </w:rPr>
        <w:t xml:space="preserve"> </w:t>
      </w:r>
      <w:r w:rsidR="00830D5C" w:rsidRPr="000C0CC3">
        <w:rPr>
          <w:rFonts w:ascii="Verdana" w:hAnsi="Verdana" w:cs="Verdana"/>
          <w:sz w:val="20"/>
          <w:szCs w:val="20"/>
          <w:lang w:val="es-ES"/>
        </w:rPr>
        <w:fldChar w:fldCharType="begin"/>
      </w:r>
      <w:r w:rsidR="00830D5C" w:rsidRPr="000C0CC3">
        <w:rPr>
          <w:rFonts w:ascii="Verdana" w:hAnsi="Verdana" w:cs="Verdana"/>
          <w:sz w:val="20"/>
          <w:szCs w:val="20"/>
          <w:lang w:val="es-ES"/>
        </w:rPr>
        <w:instrText xml:space="preserve"> REF _Ref437854689 \r \h </w:instrText>
      </w:r>
      <w:r w:rsidR="004A422E" w:rsidRPr="000C0CC3">
        <w:rPr>
          <w:rFonts w:ascii="Verdana" w:hAnsi="Verdana" w:cs="Verdana"/>
          <w:sz w:val="20"/>
          <w:szCs w:val="20"/>
          <w:lang w:val="es-ES"/>
        </w:rPr>
        <w:instrText xml:space="preserve"> \* MERGEFORMAT </w:instrText>
      </w:r>
      <w:r w:rsidR="00830D5C" w:rsidRPr="000C0CC3">
        <w:rPr>
          <w:rFonts w:ascii="Verdana" w:hAnsi="Verdana" w:cs="Verdana"/>
          <w:sz w:val="20"/>
          <w:szCs w:val="20"/>
          <w:lang w:val="es-ES"/>
        </w:rPr>
      </w:r>
      <w:r w:rsidR="00830D5C" w:rsidRPr="000C0CC3">
        <w:rPr>
          <w:rFonts w:ascii="Verdana" w:hAnsi="Verdana" w:cs="Verdana"/>
          <w:sz w:val="20"/>
          <w:szCs w:val="20"/>
          <w:lang w:val="es-ES"/>
        </w:rPr>
        <w:fldChar w:fldCharType="separate"/>
      </w:r>
      <w:r w:rsidR="007E3C4B">
        <w:rPr>
          <w:rFonts w:ascii="Verdana" w:hAnsi="Verdana" w:cs="Verdana"/>
          <w:sz w:val="20"/>
          <w:szCs w:val="20"/>
          <w:lang w:val="es-ES"/>
        </w:rPr>
        <w:t>11</w:t>
      </w:r>
      <w:r w:rsidR="00830D5C" w:rsidRPr="000C0CC3">
        <w:rPr>
          <w:rFonts w:ascii="Verdana" w:hAnsi="Verdana" w:cs="Verdana"/>
          <w:sz w:val="20"/>
          <w:szCs w:val="20"/>
          <w:lang w:val="es-ES"/>
        </w:rPr>
        <w:fldChar w:fldCharType="end"/>
      </w:r>
      <w:r w:rsidR="0089082A" w:rsidRPr="000C0CC3">
        <w:rPr>
          <w:rFonts w:ascii="Verdana" w:hAnsi="Verdana" w:cs="Verdana"/>
          <w:sz w:val="20"/>
          <w:szCs w:val="20"/>
          <w:lang w:val="es-ES"/>
        </w:rPr>
        <w:t xml:space="preserve">), </w:t>
      </w:r>
      <w:r w:rsidRPr="000C0CC3">
        <w:rPr>
          <w:rFonts w:ascii="Verdana" w:hAnsi="Verdana" w:cs="Verdana"/>
          <w:sz w:val="20"/>
          <w:szCs w:val="20"/>
          <w:lang w:val="es-ES"/>
        </w:rPr>
        <w:t xml:space="preserve">siguiendo instrucciones del Presidente del Tribunal, se solicitó </w:t>
      </w:r>
      <w:r w:rsidR="0033711B" w:rsidRPr="000C0CC3">
        <w:rPr>
          <w:rFonts w:ascii="Verdana" w:hAnsi="Verdana" w:cs="Verdana"/>
          <w:sz w:val="20"/>
          <w:szCs w:val="20"/>
          <w:lang w:val="es-ES"/>
        </w:rPr>
        <w:t>a Guatem</w:t>
      </w:r>
      <w:r w:rsidR="0033711B" w:rsidRPr="0032068E">
        <w:rPr>
          <w:rFonts w:ascii="Verdana" w:hAnsi="Verdana" w:cs="Verdana"/>
          <w:sz w:val="20"/>
          <w:szCs w:val="20"/>
          <w:lang w:val="es-ES"/>
        </w:rPr>
        <w:t xml:space="preserve">ala </w:t>
      </w:r>
      <w:r w:rsidRPr="0032068E">
        <w:rPr>
          <w:rFonts w:ascii="Verdana" w:hAnsi="Verdana" w:cs="Verdana"/>
          <w:sz w:val="20"/>
          <w:szCs w:val="20"/>
          <w:lang w:val="es-ES"/>
        </w:rPr>
        <w:t xml:space="preserve">que remitiera un informe </w:t>
      </w:r>
      <w:r w:rsidR="00A94DCB" w:rsidRPr="0032068E">
        <w:rPr>
          <w:rFonts w:ascii="Verdana" w:hAnsi="Verdana" w:cs="Verdana"/>
          <w:sz w:val="20"/>
          <w:szCs w:val="20"/>
          <w:lang w:val="es-ES"/>
        </w:rPr>
        <w:t xml:space="preserve">en el </w:t>
      </w:r>
      <w:r w:rsidRPr="0032068E">
        <w:rPr>
          <w:rFonts w:ascii="Verdana" w:hAnsi="Verdana" w:cs="Verdana"/>
          <w:sz w:val="20"/>
          <w:szCs w:val="20"/>
          <w:lang w:val="es-ES"/>
        </w:rPr>
        <w:t>que</w:t>
      </w:r>
      <w:r w:rsidR="001A1652">
        <w:rPr>
          <w:rFonts w:ascii="Verdana" w:hAnsi="Verdana" w:cs="Verdana"/>
          <w:sz w:val="20"/>
          <w:szCs w:val="20"/>
          <w:lang w:val="es-ES"/>
        </w:rPr>
        <w:t>,</w:t>
      </w:r>
      <w:r w:rsidRPr="0032068E">
        <w:rPr>
          <w:rFonts w:ascii="Verdana" w:hAnsi="Verdana" w:cs="Verdana"/>
          <w:sz w:val="20"/>
          <w:szCs w:val="20"/>
          <w:lang w:val="es-ES"/>
        </w:rPr>
        <w:t xml:space="preserve"> “teniendo en cuenta la Resolución de la Corte […</w:t>
      </w:r>
      <w:r w:rsidR="00A94DCB" w:rsidRPr="0032068E">
        <w:rPr>
          <w:rFonts w:ascii="Verdana" w:hAnsi="Verdana" w:cs="Verdana"/>
          <w:sz w:val="20"/>
          <w:szCs w:val="20"/>
          <w:lang w:val="es-ES"/>
        </w:rPr>
        <w:t>] de 21 de agosto de 2014”, presentara “la información más reciente y adicional a la que fue remitida por el Ministerio Público de Guatemala el 5 de mayo de 2014</w:t>
      </w:r>
      <w:r w:rsidR="00741FBB" w:rsidRPr="0032068E">
        <w:rPr>
          <w:rFonts w:ascii="Verdana" w:hAnsi="Verdana" w:cs="Verdana"/>
          <w:sz w:val="20"/>
          <w:szCs w:val="20"/>
          <w:lang w:val="es-ES"/>
        </w:rPr>
        <w:t>”</w:t>
      </w:r>
      <w:r w:rsidR="00A94DCB" w:rsidRPr="0032068E">
        <w:rPr>
          <w:rFonts w:ascii="Verdana" w:hAnsi="Verdana" w:cs="Verdana"/>
          <w:sz w:val="20"/>
          <w:szCs w:val="20"/>
          <w:lang w:val="es-ES"/>
        </w:rPr>
        <w:t>, relativa al cumplimiento</w:t>
      </w:r>
      <w:r w:rsidR="000C0CC3">
        <w:rPr>
          <w:rFonts w:ascii="Verdana" w:hAnsi="Verdana" w:cs="Verdana"/>
          <w:sz w:val="20"/>
          <w:szCs w:val="20"/>
          <w:lang w:val="es-ES"/>
        </w:rPr>
        <w:t xml:space="preserve"> de la obligación de investigar</w:t>
      </w:r>
      <w:r w:rsidR="00A94DCB" w:rsidRPr="0032068E">
        <w:rPr>
          <w:rFonts w:ascii="Verdana" w:hAnsi="Verdana" w:cs="Verdana"/>
          <w:sz w:val="20"/>
          <w:szCs w:val="20"/>
          <w:lang w:val="es-ES"/>
        </w:rPr>
        <w:t xml:space="preserve"> en los casos </w:t>
      </w:r>
      <w:r w:rsidR="00A94DCB" w:rsidRPr="0032068E">
        <w:rPr>
          <w:rFonts w:ascii="Verdana" w:hAnsi="Verdana" w:cs="Verdana"/>
          <w:i/>
          <w:sz w:val="20"/>
          <w:szCs w:val="20"/>
          <w:lang w:val="es-ES"/>
        </w:rPr>
        <w:t xml:space="preserve">Blake, Niños de la Calle, Bámaca Velásquez, Maritza Urrutia, Masacre Plan de Sánchez, Molina </w:t>
      </w:r>
      <w:r w:rsidR="00AA6E2C">
        <w:rPr>
          <w:rFonts w:ascii="Verdana" w:hAnsi="Verdana" w:cs="Verdana"/>
          <w:i/>
          <w:sz w:val="20"/>
          <w:szCs w:val="20"/>
          <w:lang w:val="es-ES"/>
        </w:rPr>
        <w:t>Theissen</w:t>
      </w:r>
      <w:r w:rsidR="00A94DCB" w:rsidRPr="0032068E">
        <w:rPr>
          <w:rFonts w:ascii="Verdana" w:hAnsi="Verdana" w:cs="Verdana"/>
          <w:i/>
          <w:sz w:val="20"/>
          <w:szCs w:val="20"/>
          <w:lang w:val="es-ES"/>
        </w:rPr>
        <w:t xml:space="preserve">, Carpio Nicolle, Tiu Tojín, Masacre de las Dos Erres, Chitay Nech </w:t>
      </w:r>
      <w:r w:rsidR="00A94DCB" w:rsidRPr="0032068E">
        <w:rPr>
          <w:rFonts w:ascii="Verdana" w:hAnsi="Verdana" w:cs="Verdana"/>
          <w:sz w:val="20"/>
          <w:szCs w:val="20"/>
          <w:lang w:val="es-ES"/>
        </w:rPr>
        <w:t xml:space="preserve">y </w:t>
      </w:r>
      <w:r w:rsidR="00A94DCB" w:rsidRPr="0032068E">
        <w:rPr>
          <w:rFonts w:ascii="Verdana" w:hAnsi="Verdana" w:cs="Verdana"/>
          <w:i/>
          <w:sz w:val="20"/>
          <w:szCs w:val="20"/>
          <w:lang w:val="es-ES"/>
        </w:rPr>
        <w:t>Mack Chang.</w:t>
      </w:r>
      <w:r w:rsidR="00021CFE" w:rsidRPr="0032068E">
        <w:rPr>
          <w:rFonts w:ascii="Verdana" w:hAnsi="Verdana" w:cs="Verdana"/>
          <w:sz w:val="20"/>
          <w:szCs w:val="20"/>
          <w:lang w:val="es-ES"/>
        </w:rPr>
        <w:t xml:space="preserve"> Adicionalmente</w:t>
      </w:r>
      <w:r w:rsidR="00A94DCB" w:rsidRPr="0032068E">
        <w:rPr>
          <w:rFonts w:ascii="Verdana" w:hAnsi="Verdana" w:cs="Verdana"/>
          <w:sz w:val="20"/>
          <w:szCs w:val="20"/>
          <w:lang w:val="es-ES"/>
        </w:rPr>
        <w:t xml:space="preserve">, mediante nota de la Secretaría del 27 de febrero de 2015, siguiendo instrucciones del Presidente del Tribunal, se solicitó al Estado un informe sobre el cumplimiento de dicha obligación en el caso </w:t>
      </w:r>
      <w:r w:rsidR="00A94DCB" w:rsidRPr="0032068E">
        <w:rPr>
          <w:rFonts w:ascii="Verdana" w:hAnsi="Verdana" w:cs="Verdana"/>
          <w:i/>
          <w:sz w:val="20"/>
          <w:szCs w:val="20"/>
          <w:lang w:val="es-ES"/>
        </w:rPr>
        <w:t>Panel Blanca</w:t>
      </w:r>
      <w:r w:rsidR="00A94DCB" w:rsidRPr="0032068E">
        <w:rPr>
          <w:rFonts w:ascii="Verdana" w:hAnsi="Verdana" w:cs="Verdana"/>
          <w:sz w:val="20"/>
          <w:szCs w:val="20"/>
          <w:lang w:val="es-ES"/>
        </w:rPr>
        <w:t>.</w:t>
      </w:r>
      <w:bookmarkEnd w:id="25"/>
      <w:r w:rsidR="00A94DCB" w:rsidRPr="0032068E">
        <w:rPr>
          <w:rFonts w:ascii="Verdana" w:hAnsi="Verdana" w:cs="Verdana"/>
          <w:sz w:val="20"/>
          <w:szCs w:val="20"/>
          <w:lang w:val="es-ES"/>
        </w:rPr>
        <w:t xml:space="preserve"> </w:t>
      </w:r>
    </w:p>
    <w:p w14:paraId="67A86CF2" w14:textId="77777777" w:rsidR="00A94DCB" w:rsidRPr="0032068E" w:rsidRDefault="00A94DCB" w:rsidP="00A94DCB">
      <w:pPr>
        <w:spacing w:after="0" w:line="240" w:lineRule="auto"/>
        <w:ind w:right="1444"/>
        <w:contextualSpacing/>
        <w:jc w:val="both"/>
        <w:rPr>
          <w:rFonts w:ascii="Verdana" w:hAnsi="Verdana" w:cs="Verdana"/>
          <w:sz w:val="20"/>
          <w:szCs w:val="20"/>
          <w:lang w:val="es-ES"/>
        </w:rPr>
      </w:pPr>
    </w:p>
    <w:p w14:paraId="2E9453C2" w14:textId="29CDBC2F" w:rsidR="003A4943" w:rsidRPr="000C0CC3" w:rsidRDefault="001F3B5D" w:rsidP="003978C5">
      <w:pPr>
        <w:numPr>
          <w:ilvl w:val="0"/>
          <w:numId w:val="2"/>
        </w:numPr>
        <w:spacing w:after="0" w:line="240" w:lineRule="auto"/>
        <w:ind w:left="0" w:right="1444" w:firstLine="0"/>
        <w:contextualSpacing/>
        <w:jc w:val="both"/>
        <w:rPr>
          <w:rFonts w:ascii="Verdana" w:hAnsi="Verdana" w:cs="Verdana"/>
          <w:sz w:val="20"/>
          <w:szCs w:val="20"/>
          <w:lang w:val="es-ES"/>
        </w:rPr>
      </w:pPr>
      <w:r w:rsidRPr="0032068E">
        <w:rPr>
          <w:rFonts w:ascii="Verdana" w:hAnsi="Verdana" w:cs="Verdana"/>
          <w:sz w:val="20"/>
          <w:szCs w:val="20"/>
          <w:lang w:val="es-ES"/>
        </w:rPr>
        <w:t xml:space="preserve">Los informes requeridos al Estado fueron recibidos el 17 y 27 de abril de 2015, respectivamente. En ambos escritos, el Estado presentó información sobre alegados avances en el cumplimiento de las Sentencias </w:t>
      </w:r>
      <w:r w:rsidRPr="000C0CC3">
        <w:rPr>
          <w:rFonts w:ascii="Verdana" w:hAnsi="Verdana" w:cs="Verdana"/>
          <w:sz w:val="20"/>
          <w:szCs w:val="20"/>
          <w:lang w:val="es-ES"/>
        </w:rPr>
        <w:t>(</w:t>
      </w:r>
      <w:r w:rsidRPr="000C0CC3">
        <w:rPr>
          <w:rFonts w:ascii="Verdana" w:hAnsi="Verdana" w:cs="Verdana"/>
          <w:i/>
          <w:sz w:val="20"/>
          <w:szCs w:val="20"/>
          <w:lang w:val="es-ES"/>
        </w:rPr>
        <w:t xml:space="preserve">infra </w:t>
      </w:r>
      <w:r w:rsidRPr="000C0CC3">
        <w:rPr>
          <w:rFonts w:ascii="Verdana" w:hAnsi="Verdana" w:cs="Verdana"/>
          <w:sz w:val="20"/>
          <w:szCs w:val="20"/>
          <w:lang w:val="es-ES"/>
        </w:rPr>
        <w:t xml:space="preserve">Considerando </w:t>
      </w:r>
      <w:r w:rsidR="00830D5C" w:rsidRPr="000C0CC3">
        <w:rPr>
          <w:rFonts w:ascii="Verdana" w:hAnsi="Verdana" w:cs="Verdana"/>
          <w:sz w:val="20"/>
          <w:szCs w:val="20"/>
          <w:lang w:val="es-ES"/>
        </w:rPr>
        <w:fldChar w:fldCharType="begin"/>
      </w:r>
      <w:r w:rsidR="00830D5C" w:rsidRPr="000C0CC3">
        <w:rPr>
          <w:rFonts w:ascii="Verdana" w:hAnsi="Verdana" w:cs="Verdana"/>
          <w:sz w:val="20"/>
          <w:szCs w:val="20"/>
          <w:lang w:val="es-ES"/>
        </w:rPr>
        <w:instrText xml:space="preserve"> REF _Ref437854819 \r \h </w:instrText>
      </w:r>
      <w:r w:rsidR="004B4974" w:rsidRPr="000C0CC3">
        <w:rPr>
          <w:rFonts w:ascii="Verdana" w:hAnsi="Verdana" w:cs="Verdana"/>
          <w:sz w:val="20"/>
          <w:szCs w:val="20"/>
          <w:lang w:val="es-ES"/>
        </w:rPr>
        <w:instrText xml:space="preserve"> \* MERGEFORMAT </w:instrText>
      </w:r>
      <w:r w:rsidR="00830D5C" w:rsidRPr="000C0CC3">
        <w:rPr>
          <w:rFonts w:ascii="Verdana" w:hAnsi="Verdana" w:cs="Verdana"/>
          <w:sz w:val="20"/>
          <w:szCs w:val="20"/>
          <w:lang w:val="es-ES"/>
        </w:rPr>
      </w:r>
      <w:r w:rsidR="00830D5C" w:rsidRPr="000C0CC3">
        <w:rPr>
          <w:rFonts w:ascii="Verdana" w:hAnsi="Verdana" w:cs="Verdana"/>
          <w:sz w:val="20"/>
          <w:szCs w:val="20"/>
          <w:lang w:val="es-ES"/>
        </w:rPr>
        <w:fldChar w:fldCharType="separate"/>
      </w:r>
      <w:r w:rsidR="007E3C4B">
        <w:rPr>
          <w:rFonts w:ascii="Verdana" w:hAnsi="Verdana" w:cs="Verdana"/>
          <w:sz w:val="20"/>
          <w:szCs w:val="20"/>
          <w:lang w:val="es-ES"/>
        </w:rPr>
        <w:t>33</w:t>
      </w:r>
      <w:r w:rsidR="00830D5C" w:rsidRPr="000C0CC3">
        <w:rPr>
          <w:rFonts w:ascii="Verdana" w:hAnsi="Verdana" w:cs="Verdana"/>
          <w:sz w:val="20"/>
          <w:szCs w:val="20"/>
          <w:lang w:val="es-ES"/>
        </w:rPr>
        <w:fldChar w:fldCharType="end"/>
      </w:r>
      <w:r w:rsidR="00F7044E" w:rsidRPr="000C0CC3">
        <w:rPr>
          <w:rFonts w:ascii="Verdana" w:hAnsi="Verdana" w:cs="Verdana"/>
          <w:sz w:val="20"/>
          <w:szCs w:val="20"/>
          <w:lang w:val="es-ES"/>
        </w:rPr>
        <w:t xml:space="preserve">). </w:t>
      </w:r>
      <w:r w:rsidRPr="000C0CC3">
        <w:rPr>
          <w:rFonts w:ascii="Verdana" w:hAnsi="Verdana" w:cs="Verdana"/>
          <w:sz w:val="20"/>
          <w:szCs w:val="20"/>
          <w:lang w:val="es-ES"/>
        </w:rPr>
        <w:t>Al respecto, los representantes</w:t>
      </w:r>
      <w:r w:rsidR="001A1652" w:rsidRPr="000C0CC3">
        <w:rPr>
          <w:rFonts w:ascii="Verdana" w:hAnsi="Verdana" w:cs="Verdana"/>
          <w:sz w:val="20"/>
          <w:szCs w:val="20"/>
          <w:lang w:val="es-ES"/>
        </w:rPr>
        <w:t xml:space="preserve"> de las víctimas</w:t>
      </w:r>
      <w:r w:rsidRPr="000C0CC3">
        <w:rPr>
          <w:rFonts w:ascii="Verdana" w:hAnsi="Verdana" w:cs="Verdana"/>
          <w:sz w:val="20"/>
          <w:szCs w:val="20"/>
          <w:lang w:val="es-ES"/>
        </w:rPr>
        <w:t xml:space="preserve"> y la Comisión presentaron escritos en los que se refirieron a los informes presentados por el Estado (</w:t>
      </w:r>
      <w:r w:rsidRPr="000C0CC3">
        <w:rPr>
          <w:rFonts w:ascii="Verdana" w:hAnsi="Verdana" w:cs="Verdana"/>
          <w:i/>
          <w:sz w:val="20"/>
          <w:szCs w:val="20"/>
          <w:lang w:val="es-ES"/>
        </w:rPr>
        <w:t xml:space="preserve">supra </w:t>
      </w:r>
      <w:r w:rsidRPr="000C0CC3">
        <w:rPr>
          <w:rFonts w:ascii="Verdana" w:hAnsi="Verdana" w:cs="Verdana"/>
          <w:sz w:val="20"/>
          <w:szCs w:val="20"/>
          <w:lang w:val="es-ES"/>
        </w:rPr>
        <w:t xml:space="preserve">Vistos </w:t>
      </w:r>
      <w:r w:rsidR="00830D5C" w:rsidRPr="000C0CC3">
        <w:rPr>
          <w:rFonts w:ascii="Verdana" w:hAnsi="Verdana" w:cs="Verdana"/>
          <w:sz w:val="20"/>
          <w:szCs w:val="20"/>
          <w:lang w:val="es-ES"/>
        </w:rPr>
        <w:fldChar w:fldCharType="begin"/>
      </w:r>
      <w:r w:rsidR="00830D5C" w:rsidRPr="000C0CC3">
        <w:rPr>
          <w:rFonts w:ascii="Verdana" w:hAnsi="Verdana" w:cs="Verdana"/>
          <w:sz w:val="20"/>
          <w:szCs w:val="20"/>
          <w:lang w:val="es-ES"/>
        </w:rPr>
        <w:instrText xml:space="preserve"> REF _Ref437854876 \r \h </w:instrText>
      </w:r>
      <w:r w:rsidR="004A422E" w:rsidRPr="000C0CC3">
        <w:rPr>
          <w:rFonts w:ascii="Verdana" w:hAnsi="Verdana" w:cs="Verdana"/>
          <w:sz w:val="20"/>
          <w:szCs w:val="20"/>
          <w:lang w:val="es-ES"/>
        </w:rPr>
        <w:instrText xml:space="preserve"> \* MERGEFORMAT </w:instrText>
      </w:r>
      <w:r w:rsidR="00830D5C" w:rsidRPr="000C0CC3">
        <w:rPr>
          <w:rFonts w:ascii="Verdana" w:hAnsi="Verdana" w:cs="Verdana"/>
          <w:sz w:val="20"/>
          <w:szCs w:val="20"/>
          <w:lang w:val="es-ES"/>
        </w:rPr>
      </w:r>
      <w:r w:rsidR="00830D5C" w:rsidRPr="000C0CC3">
        <w:rPr>
          <w:rFonts w:ascii="Verdana" w:hAnsi="Verdana" w:cs="Verdana"/>
          <w:sz w:val="20"/>
          <w:szCs w:val="20"/>
          <w:lang w:val="es-ES"/>
        </w:rPr>
        <w:fldChar w:fldCharType="separate"/>
      </w:r>
      <w:r w:rsidR="007E3C4B">
        <w:rPr>
          <w:rFonts w:ascii="Verdana" w:hAnsi="Verdana" w:cs="Verdana"/>
          <w:sz w:val="20"/>
          <w:szCs w:val="20"/>
          <w:lang w:val="es-ES"/>
        </w:rPr>
        <w:t>13</w:t>
      </w:r>
      <w:r w:rsidR="00830D5C" w:rsidRPr="000C0CC3">
        <w:rPr>
          <w:rFonts w:ascii="Verdana" w:hAnsi="Verdana" w:cs="Verdana"/>
          <w:sz w:val="20"/>
          <w:szCs w:val="20"/>
          <w:lang w:val="es-ES"/>
        </w:rPr>
        <w:fldChar w:fldCharType="end"/>
      </w:r>
      <w:r w:rsidR="00830D5C" w:rsidRPr="000C0CC3">
        <w:rPr>
          <w:rFonts w:ascii="Verdana" w:hAnsi="Verdana" w:cs="Verdana"/>
          <w:sz w:val="20"/>
          <w:szCs w:val="20"/>
          <w:lang w:val="es-ES"/>
        </w:rPr>
        <w:t xml:space="preserve"> y </w:t>
      </w:r>
      <w:r w:rsidR="00830D5C" w:rsidRPr="000C0CC3">
        <w:rPr>
          <w:rFonts w:ascii="Verdana" w:hAnsi="Verdana" w:cs="Verdana"/>
          <w:sz w:val="20"/>
          <w:szCs w:val="20"/>
          <w:lang w:val="es-ES"/>
        </w:rPr>
        <w:fldChar w:fldCharType="begin"/>
      </w:r>
      <w:r w:rsidR="00830D5C" w:rsidRPr="000C0CC3">
        <w:rPr>
          <w:rFonts w:ascii="Verdana" w:hAnsi="Verdana" w:cs="Verdana"/>
          <w:sz w:val="20"/>
          <w:szCs w:val="20"/>
          <w:lang w:val="es-ES"/>
        </w:rPr>
        <w:instrText xml:space="preserve"> REF _Ref437854881 \r \h </w:instrText>
      </w:r>
      <w:r w:rsidR="004A422E" w:rsidRPr="000C0CC3">
        <w:rPr>
          <w:rFonts w:ascii="Verdana" w:hAnsi="Verdana" w:cs="Verdana"/>
          <w:sz w:val="20"/>
          <w:szCs w:val="20"/>
          <w:lang w:val="es-ES"/>
        </w:rPr>
        <w:instrText xml:space="preserve"> \* MERGEFORMAT </w:instrText>
      </w:r>
      <w:r w:rsidR="00830D5C" w:rsidRPr="000C0CC3">
        <w:rPr>
          <w:rFonts w:ascii="Verdana" w:hAnsi="Verdana" w:cs="Verdana"/>
          <w:sz w:val="20"/>
          <w:szCs w:val="20"/>
          <w:lang w:val="es-ES"/>
        </w:rPr>
      </w:r>
      <w:r w:rsidR="00830D5C" w:rsidRPr="000C0CC3">
        <w:rPr>
          <w:rFonts w:ascii="Verdana" w:hAnsi="Verdana" w:cs="Verdana"/>
          <w:sz w:val="20"/>
          <w:szCs w:val="20"/>
          <w:lang w:val="es-ES"/>
        </w:rPr>
        <w:fldChar w:fldCharType="separate"/>
      </w:r>
      <w:r w:rsidR="007E3C4B">
        <w:rPr>
          <w:rFonts w:ascii="Verdana" w:hAnsi="Verdana" w:cs="Verdana"/>
          <w:sz w:val="20"/>
          <w:szCs w:val="20"/>
          <w:lang w:val="es-ES"/>
        </w:rPr>
        <w:t>14</w:t>
      </w:r>
      <w:r w:rsidR="00830D5C" w:rsidRPr="000C0CC3">
        <w:rPr>
          <w:rFonts w:ascii="Verdana" w:hAnsi="Verdana" w:cs="Verdana"/>
          <w:sz w:val="20"/>
          <w:szCs w:val="20"/>
          <w:lang w:val="es-ES"/>
        </w:rPr>
        <w:fldChar w:fldCharType="end"/>
      </w:r>
      <w:r w:rsidR="00F7044E" w:rsidRPr="000C0CC3">
        <w:rPr>
          <w:rFonts w:ascii="Verdana" w:hAnsi="Verdana" w:cs="Verdana"/>
          <w:sz w:val="20"/>
          <w:szCs w:val="20"/>
          <w:lang w:val="es-ES"/>
        </w:rPr>
        <w:t xml:space="preserve">). </w:t>
      </w:r>
      <w:r w:rsidR="00910864" w:rsidRPr="000C0CC3">
        <w:rPr>
          <w:rFonts w:ascii="Verdana" w:hAnsi="Verdana" w:cs="Verdana"/>
          <w:sz w:val="20"/>
          <w:szCs w:val="20"/>
          <w:lang w:val="es-ES"/>
        </w:rPr>
        <w:t xml:space="preserve">Posteriormente, </w:t>
      </w:r>
      <w:r w:rsidR="0095546A" w:rsidRPr="000C0CC3">
        <w:rPr>
          <w:rFonts w:ascii="Verdana" w:hAnsi="Verdana" w:cs="Verdana"/>
          <w:sz w:val="20"/>
          <w:szCs w:val="20"/>
          <w:lang w:val="es-ES"/>
        </w:rPr>
        <w:t xml:space="preserve">en octubre y noviembre de 2015, </w:t>
      </w:r>
      <w:r w:rsidR="00910864" w:rsidRPr="000C0CC3">
        <w:rPr>
          <w:rFonts w:ascii="Verdana" w:hAnsi="Verdana" w:cs="Verdana"/>
          <w:sz w:val="20"/>
          <w:szCs w:val="20"/>
          <w:lang w:val="es-ES"/>
        </w:rPr>
        <w:t xml:space="preserve">y sin que le fueran solicitados, el Estado remitió </w:t>
      </w:r>
      <w:r w:rsidR="00874B5A" w:rsidRPr="000C0CC3">
        <w:rPr>
          <w:rFonts w:ascii="Verdana" w:hAnsi="Verdana" w:cs="Verdana"/>
          <w:sz w:val="20"/>
          <w:szCs w:val="20"/>
          <w:lang w:val="es-ES"/>
        </w:rPr>
        <w:t>un</w:t>
      </w:r>
      <w:r w:rsidR="00910864" w:rsidRPr="000C0CC3">
        <w:rPr>
          <w:rFonts w:ascii="Verdana" w:hAnsi="Verdana" w:cs="Verdana"/>
          <w:sz w:val="20"/>
          <w:szCs w:val="20"/>
          <w:lang w:val="es-ES"/>
        </w:rPr>
        <w:t xml:space="preserve"> informe adicional sobre el cumplimiento de la obligación de investigar en los </w:t>
      </w:r>
      <w:r w:rsidR="00910864" w:rsidRPr="000C0CC3">
        <w:rPr>
          <w:rFonts w:ascii="Verdana" w:hAnsi="Verdana" w:cs="Verdana"/>
          <w:i/>
          <w:sz w:val="20"/>
          <w:szCs w:val="20"/>
          <w:lang w:val="es-ES"/>
        </w:rPr>
        <w:t>12 casos</w:t>
      </w:r>
      <w:r w:rsidR="00910864" w:rsidRPr="000C0CC3">
        <w:rPr>
          <w:rFonts w:ascii="Verdana" w:hAnsi="Verdana" w:cs="Verdana"/>
          <w:sz w:val="20"/>
          <w:szCs w:val="20"/>
          <w:lang w:val="es-ES"/>
        </w:rPr>
        <w:t xml:space="preserve"> y un informe específico respecto de todas las reparaciones ordenadas en la Sentencia del caso </w:t>
      </w:r>
      <w:r w:rsidR="00910864" w:rsidRPr="000C0CC3">
        <w:rPr>
          <w:rFonts w:ascii="Verdana" w:hAnsi="Verdana" w:cs="Verdana"/>
          <w:i/>
          <w:sz w:val="20"/>
          <w:szCs w:val="20"/>
          <w:lang w:val="es-ES"/>
        </w:rPr>
        <w:t>Molina Th</w:t>
      </w:r>
      <w:r w:rsidR="00874B5A" w:rsidRPr="000C0CC3">
        <w:rPr>
          <w:rFonts w:ascii="Verdana" w:hAnsi="Verdana" w:cs="Verdana"/>
          <w:i/>
          <w:sz w:val="20"/>
          <w:szCs w:val="20"/>
          <w:lang w:val="es-ES"/>
        </w:rPr>
        <w:t>ei</w:t>
      </w:r>
      <w:r w:rsidR="00910864" w:rsidRPr="000C0CC3">
        <w:rPr>
          <w:rFonts w:ascii="Verdana" w:hAnsi="Verdana" w:cs="Verdana"/>
          <w:i/>
          <w:sz w:val="20"/>
          <w:szCs w:val="20"/>
          <w:lang w:val="es-ES"/>
        </w:rPr>
        <w:t>ssen</w:t>
      </w:r>
      <w:r w:rsidR="000C0CC3">
        <w:rPr>
          <w:rStyle w:val="FootnoteReference"/>
          <w:rFonts w:ascii="Verdana" w:hAnsi="Verdana" w:cs="Verdana"/>
          <w:i/>
          <w:sz w:val="20"/>
          <w:szCs w:val="20"/>
          <w:lang w:val="es-ES"/>
        </w:rPr>
        <w:footnoteReference w:id="39"/>
      </w:r>
      <w:r w:rsidR="00910864" w:rsidRPr="000C0CC3">
        <w:rPr>
          <w:rFonts w:ascii="Verdana" w:hAnsi="Verdana" w:cs="Verdana"/>
          <w:sz w:val="20"/>
          <w:szCs w:val="20"/>
          <w:lang w:val="es-ES"/>
        </w:rPr>
        <w:t xml:space="preserve">. </w:t>
      </w:r>
      <w:r w:rsidR="0095546A" w:rsidRPr="000C0CC3">
        <w:rPr>
          <w:rFonts w:ascii="Verdana" w:hAnsi="Verdana" w:cs="Verdana"/>
          <w:sz w:val="20"/>
          <w:szCs w:val="20"/>
          <w:lang w:val="es-ES"/>
        </w:rPr>
        <w:t>Los representantes presentaron observaciones a esos informes (</w:t>
      </w:r>
      <w:r w:rsidR="0095546A" w:rsidRPr="000C0CC3">
        <w:rPr>
          <w:rFonts w:ascii="Verdana" w:hAnsi="Verdana" w:cs="Verdana"/>
          <w:i/>
          <w:sz w:val="20"/>
          <w:szCs w:val="20"/>
          <w:lang w:val="es-ES"/>
        </w:rPr>
        <w:t xml:space="preserve">supra </w:t>
      </w:r>
      <w:r w:rsidR="0095546A" w:rsidRPr="000C0CC3">
        <w:rPr>
          <w:rFonts w:ascii="Verdana" w:hAnsi="Verdana" w:cs="Verdana"/>
          <w:sz w:val="20"/>
          <w:szCs w:val="20"/>
          <w:lang w:val="es-ES"/>
        </w:rPr>
        <w:t xml:space="preserve">Visto </w:t>
      </w:r>
      <w:r w:rsidR="00830D5C" w:rsidRPr="000C0CC3">
        <w:rPr>
          <w:rFonts w:ascii="Verdana" w:hAnsi="Verdana" w:cs="Verdana"/>
          <w:sz w:val="20"/>
          <w:szCs w:val="20"/>
          <w:lang w:val="es-ES"/>
        </w:rPr>
        <w:fldChar w:fldCharType="begin"/>
      </w:r>
      <w:r w:rsidR="00830D5C" w:rsidRPr="000C0CC3">
        <w:rPr>
          <w:rFonts w:ascii="Verdana" w:hAnsi="Verdana" w:cs="Verdana"/>
          <w:sz w:val="20"/>
          <w:szCs w:val="20"/>
          <w:lang w:val="es-ES"/>
        </w:rPr>
        <w:instrText xml:space="preserve"> REF _Ref437854876 \r \h </w:instrText>
      </w:r>
      <w:r w:rsidR="000C0CC3">
        <w:rPr>
          <w:rFonts w:ascii="Verdana" w:hAnsi="Verdana" w:cs="Verdana"/>
          <w:sz w:val="20"/>
          <w:szCs w:val="20"/>
          <w:lang w:val="es-ES"/>
        </w:rPr>
        <w:instrText xml:space="preserve"> \* MERGEFORMAT </w:instrText>
      </w:r>
      <w:r w:rsidR="00830D5C" w:rsidRPr="000C0CC3">
        <w:rPr>
          <w:rFonts w:ascii="Verdana" w:hAnsi="Verdana" w:cs="Verdana"/>
          <w:sz w:val="20"/>
          <w:szCs w:val="20"/>
          <w:lang w:val="es-ES"/>
        </w:rPr>
      </w:r>
      <w:r w:rsidR="00830D5C" w:rsidRPr="000C0CC3">
        <w:rPr>
          <w:rFonts w:ascii="Verdana" w:hAnsi="Verdana" w:cs="Verdana"/>
          <w:sz w:val="20"/>
          <w:szCs w:val="20"/>
          <w:lang w:val="es-ES"/>
        </w:rPr>
        <w:fldChar w:fldCharType="separate"/>
      </w:r>
      <w:r w:rsidR="007E3C4B">
        <w:rPr>
          <w:rFonts w:ascii="Verdana" w:hAnsi="Verdana" w:cs="Verdana"/>
          <w:sz w:val="20"/>
          <w:szCs w:val="20"/>
          <w:lang w:val="es-ES"/>
        </w:rPr>
        <w:t>13</w:t>
      </w:r>
      <w:r w:rsidR="00830D5C" w:rsidRPr="000C0CC3">
        <w:rPr>
          <w:rFonts w:ascii="Verdana" w:hAnsi="Verdana" w:cs="Verdana"/>
          <w:sz w:val="20"/>
          <w:szCs w:val="20"/>
          <w:lang w:val="es-ES"/>
        </w:rPr>
        <w:fldChar w:fldCharType="end"/>
      </w:r>
      <w:r w:rsidR="0095546A" w:rsidRPr="000C0CC3">
        <w:rPr>
          <w:rFonts w:ascii="Verdana" w:hAnsi="Verdana" w:cs="Verdana"/>
          <w:sz w:val="20"/>
          <w:szCs w:val="20"/>
          <w:lang w:val="es-ES"/>
        </w:rPr>
        <w:t>).</w:t>
      </w:r>
      <w:r w:rsidR="00874B5A" w:rsidRPr="000C0CC3">
        <w:rPr>
          <w:rFonts w:ascii="Verdana" w:hAnsi="Verdana" w:cs="Verdana"/>
          <w:sz w:val="20"/>
          <w:szCs w:val="20"/>
          <w:lang w:val="es-ES"/>
        </w:rPr>
        <w:t xml:space="preserve"> </w:t>
      </w:r>
    </w:p>
    <w:p w14:paraId="3151B088" w14:textId="77777777" w:rsidR="003A4943" w:rsidRPr="0032068E" w:rsidRDefault="003A4943" w:rsidP="003A4943">
      <w:pPr>
        <w:spacing w:after="0" w:line="240" w:lineRule="auto"/>
        <w:ind w:right="1444"/>
        <w:contextualSpacing/>
        <w:jc w:val="both"/>
        <w:rPr>
          <w:rFonts w:ascii="Verdana" w:hAnsi="Verdana" w:cs="Verdana"/>
          <w:sz w:val="20"/>
          <w:szCs w:val="20"/>
          <w:lang w:val="es-ES"/>
        </w:rPr>
      </w:pPr>
    </w:p>
    <w:p w14:paraId="257B93B4" w14:textId="25A8676C" w:rsidR="0084035F" w:rsidRDefault="00DA7265" w:rsidP="0084035F">
      <w:pPr>
        <w:numPr>
          <w:ilvl w:val="0"/>
          <w:numId w:val="2"/>
        </w:numPr>
        <w:spacing w:after="0" w:line="240" w:lineRule="auto"/>
        <w:ind w:left="0" w:right="1444" w:firstLine="0"/>
        <w:contextualSpacing/>
        <w:jc w:val="both"/>
        <w:rPr>
          <w:rFonts w:ascii="Verdana" w:hAnsi="Verdana" w:cs="Verdana"/>
          <w:sz w:val="20"/>
          <w:szCs w:val="20"/>
          <w:lang w:val="es-ES"/>
        </w:rPr>
      </w:pPr>
      <w:bookmarkStart w:id="26" w:name="_Ref437960057"/>
      <w:r w:rsidRPr="009E442B">
        <w:rPr>
          <w:rFonts w:ascii="Verdana" w:hAnsi="Verdana" w:cs="Verdana"/>
          <w:sz w:val="20"/>
          <w:szCs w:val="20"/>
          <w:lang w:val="es-ES"/>
        </w:rPr>
        <w:t xml:space="preserve">Al respecto, la Corte </w:t>
      </w:r>
      <w:r w:rsidR="001D68CD" w:rsidRPr="009E442B">
        <w:rPr>
          <w:rFonts w:ascii="Verdana" w:hAnsi="Verdana" w:cs="Verdana"/>
          <w:sz w:val="20"/>
          <w:szCs w:val="20"/>
          <w:lang w:val="es-ES"/>
        </w:rPr>
        <w:t xml:space="preserve">destaca como positivo que, con posterioridad a la referida Resolución de agosto de 2014 </w:t>
      </w:r>
      <w:r w:rsidR="001D68CD" w:rsidRPr="000C0CC3">
        <w:rPr>
          <w:rFonts w:ascii="Verdana" w:hAnsi="Verdana" w:cs="Verdana"/>
          <w:sz w:val="20"/>
          <w:szCs w:val="20"/>
          <w:lang w:val="es-ES"/>
        </w:rPr>
        <w:t>(</w:t>
      </w:r>
      <w:r w:rsidR="001D68CD" w:rsidRPr="000C0CC3">
        <w:rPr>
          <w:rFonts w:ascii="Verdana" w:hAnsi="Verdana" w:cs="Verdana"/>
          <w:i/>
          <w:sz w:val="20"/>
          <w:szCs w:val="20"/>
          <w:lang w:val="es-ES"/>
        </w:rPr>
        <w:t>supra</w:t>
      </w:r>
      <w:r w:rsidR="001D68CD" w:rsidRPr="000C0CC3">
        <w:rPr>
          <w:rFonts w:ascii="Verdana" w:hAnsi="Verdana" w:cs="Verdana"/>
          <w:sz w:val="20"/>
          <w:szCs w:val="20"/>
          <w:lang w:val="es-ES"/>
        </w:rPr>
        <w:t xml:space="preserve"> Considerando </w:t>
      </w:r>
      <w:r w:rsidR="00A50D31" w:rsidRPr="000C0CC3">
        <w:rPr>
          <w:rFonts w:ascii="Verdana" w:hAnsi="Verdana" w:cs="Verdana"/>
          <w:sz w:val="20"/>
          <w:szCs w:val="20"/>
          <w:lang w:val="es-ES"/>
        </w:rPr>
        <w:fldChar w:fldCharType="begin"/>
      </w:r>
      <w:r w:rsidR="00A50D31" w:rsidRPr="000C0CC3">
        <w:rPr>
          <w:rFonts w:ascii="Verdana" w:hAnsi="Verdana" w:cs="Verdana"/>
          <w:sz w:val="20"/>
          <w:szCs w:val="20"/>
          <w:lang w:val="es-ES"/>
        </w:rPr>
        <w:instrText xml:space="preserve"> REF _Ref437013194 \r \h </w:instrText>
      </w:r>
      <w:r w:rsidR="000C0CC3">
        <w:rPr>
          <w:rFonts w:ascii="Verdana" w:hAnsi="Verdana" w:cs="Verdana"/>
          <w:sz w:val="20"/>
          <w:szCs w:val="20"/>
          <w:lang w:val="es-ES"/>
        </w:rPr>
        <w:instrText xml:space="preserve"> \* MERGEFORMAT </w:instrText>
      </w:r>
      <w:r w:rsidR="00A50D31" w:rsidRPr="000C0CC3">
        <w:rPr>
          <w:rFonts w:ascii="Verdana" w:hAnsi="Verdana" w:cs="Verdana"/>
          <w:sz w:val="20"/>
          <w:szCs w:val="20"/>
          <w:lang w:val="es-ES"/>
        </w:rPr>
      </w:r>
      <w:r w:rsidR="00A50D31" w:rsidRPr="000C0CC3">
        <w:rPr>
          <w:rFonts w:ascii="Verdana" w:hAnsi="Verdana" w:cs="Verdana"/>
          <w:sz w:val="20"/>
          <w:szCs w:val="20"/>
          <w:lang w:val="es-ES"/>
        </w:rPr>
        <w:fldChar w:fldCharType="separate"/>
      </w:r>
      <w:r w:rsidR="007E3C4B">
        <w:rPr>
          <w:rFonts w:ascii="Verdana" w:hAnsi="Verdana" w:cs="Verdana"/>
          <w:sz w:val="20"/>
          <w:szCs w:val="20"/>
          <w:lang w:val="es-ES"/>
        </w:rPr>
        <w:t>26</w:t>
      </w:r>
      <w:r w:rsidR="00A50D31" w:rsidRPr="000C0CC3">
        <w:rPr>
          <w:rFonts w:ascii="Verdana" w:hAnsi="Verdana" w:cs="Verdana"/>
          <w:sz w:val="20"/>
          <w:szCs w:val="20"/>
          <w:lang w:val="es-ES"/>
        </w:rPr>
        <w:fldChar w:fldCharType="end"/>
      </w:r>
      <w:r w:rsidR="001D68CD" w:rsidRPr="000C0CC3">
        <w:rPr>
          <w:rFonts w:ascii="Verdana" w:hAnsi="Verdana" w:cs="Verdana"/>
          <w:sz w:val="20"/>
          <w:szCs w:val="20"/>
          <w:lang w:val="es-ES"/>
        </w:rPr>
        <w:t>)</w:t>
      </w:r>
      <w:r w:rsidR="002E391A" w:rsidRPr="000C0CC3">
        <w:rPr>
          <w:rFonts w:ascii="Verdana" w:hAnsi="Verdana" w:cs="Verdana"/>
          <w:sz w:val="20"/>
          <w:szCs w:val="20"/>
          <w:lang w:val="es-ES"/>
        </w:rPr>
        <w:t>,</w:t>
      </w:r>
      <w:r w:rsidR="001D68CD" w:rsidRPr="000C0CC3">
        <w:rPr>
          <w:rFonts w:ascii="Verdana" w:hAnsi="Verdana" w:cs="Verdana"/>
          <w:sz w:val="20"/>
          <w:szCs w:val="20"/>
          <w:lang w:val="es-ES"/>
        </w:rPr>
        <w:t xml:space="preserve"> </w:t>
      </w:r>
      <w:r w:rsidR="002E391A" w:rsidRPr="000C0CC3">
        <w:rPr>
          <w:rFonts w:ascii="Verdana" w:hAnsi="Verdana" w:cs="Verdana"/>
          <w:sz w:val="20"/>
          <w:szCs w:val="20"/>
          <w:lang w:val="es-ES"/>
        </w:rPr>
        <w:t>Guatemala</w:t>
      </w:r>
      <w:r w:rsidR="002E391A" w:rsidRPr="009E442B">
        <w:rPr>
          <w:rFonts w:ascii="Verdana" w:hAnsi="Verdana" w:cs="Verdana"/>
          <w:sz w:val="20"/>
          <w:szCs w:val="20"/>
          <w:lang w:val="es-ES"/>
        </w:rPr>
        <w:t xml:space="preserve"> ha cambiado su </w:t>
      </w:r>
      <w:r w:rsidRPr="009E442B">
        <w:rPr>
          <w:rFonts w:ascii="Verdana" w:hAnsi="Verdana" w:cs="Verdana"/>
          <w:sz w:val="20"/>
          <w:szCs w:val="20"/>
          <w:lang w:val="es-ES"/>
        </w:rPr>
        <w:t xml:space="preserve">posición </w:t>
      </w:r>
      <w:r w:rsidR="00A44A25" w:rsidRPr="009E442B">
        <w:rPr>
          <w:rFonts w:ascii="Verdana" w:hAnsi="Verdana" w:cs="Verdana"/>
          <w:sz w:val="20"/>
          <w:szCs w:val="20"/>
          <w:lang w:val="es-ES"/>
        </w:rPr>
        <w:t>con respecto</w:t>
      </w:r>
      <w:r w:rsidRPr="009E442B">
        <w:rPr>
          <w:rFonts w:ascii="Verdana" w:hAnsi="Verdana" w:cs="Verdana"/>
          <w:sz w:val="20"/>
          <w:szCs w:val="20"/>
          <w:lang w:val="es-ES"/>
        </w:rPr>
        <w:t xml:space="preserve"> al deber de informar </w:t>
      </w:r>
      <w:r w:rsidR="002E391A" w:rsidRPr="009E442B">
        <w:rPr>
          <w:rFonts w:ascii="Verdana" w:hAnsi="Verdana" w:cs="Verdana"/>
          <w:sz w:val="20"/>
          <w:szCs w:val="20"/>
          <w:lang w:val="es-ES"/>
        </w:rPr>
        <w:t xml:space="preserve">sobre </w:t>
      </w:r>
      <w:r w:rsidRPr="009E442B">
        <w:rPr>
          <w:rFonts w:ascii="Verdana" w:hAnsi="Verdana" w:cs="Verdana"/>
          <w:sz w:val="20"/>
          <w:szCs w:val="20"/>
          <w:lang w:val="es-ES"/>
        </w:rPr>
        <w:t xml:space="preserve">el cumplimiento de </w:t>
      </w:r>
      <w:r w:rsidR="002E391A" w:rsidRPr="009E442B">
        <w:rPr>
          <w:rFonts w:ascii="Verdana" w:hAnsi="Verdana" w:cs="Verdana"/>
          <w:sz w:val="20"/>
          <w:szCs w:val="20"/>
          <w:lang w:val="es-ES"/>
        </w:rPr>
        <w:t>la</w:t>
      </w:r>
      <w:r w:rsidRPr="009E442B">
        <w:rPr>
          <w:rFonts w:ascii="Verdana" w:hAnsi="Verdana" w:cs="Verdana"/>
          <w:sz w:val="20"/>
          <w:szCs w:val="20"/>
          <w:lang w:val="es-ES"/>
        </w:rPr>
        <w:t xml:space="preserve"> obligaci</w:t>
      </w:r>
      <w:r w:rsidR="002E391A" w:rsidRPr="009E442B">
        <w:rPr>
          <w:rFonts w:ascii="Verdana" w:hAnsi="Verdana" w:cs="Verdana"/>
          <w:sz w:val="20"/>
          <w:szCs w:val="20"/>
          <w:lang w:val="es-ES"/>
        </w:rPr>
        <w:t>ón de investigar</w:t>
      </w:r>
      <w:r w:rsidRPr="009E442B">
        <w:rPr>
          <w:rFonts w:ascii="Verdana" w:hAnsi="Verdana" w:cs="Verdana"/>
          <w:sz w:val="20"/>
          <w:szCs w:val="20"/>
          <w:lang w:val="es-ES"/>
        </w:rPr>
        <w:t xml:space="preserve">. En este sentido, valora positivamente que en sus últimos informes se haya referido a </w:t>
      </w:r>
      <w:r w:rsidR="00A50D31">
        <w:rPr>
          <w:rFonts w:ascii="Verdana" w:hAnsi="Verdana" w:cs="Verdana"/>
          <w:sz w:val="20"/>
          <w:szCs w:val="20"/>
          <w:lang w:val="es-ES"/>
        </w:rPr>
        <w:t>alegados</w:t>
      </w:r>
      <w:r w:rsidRPr="009E442B">
        <w:rPr>
          <w:rFonts w:ascii="Verdana" w:hAnsi="Verdana" w:cs="Verdana"/>
          <w:sz w:val="20"/>
          <w:szCs w:val="20"/>
          <w:lang w:val="es-ES"/>
        </w:rPr>
        <w:t xml:space="preserve"> avances del cumplimiento de la referida medida, pues permitirán a la Corte evaluar el grado de cumplimiento </w:t>
      </w:r>
      <w:r w:rsidR="001A1652">
        <w:rPr>
          <w:rFonts w:ascii="Verdana" w:hAnsi="Verdana" w:cs="Verdana"/>
          <w:sz w:val="20"/>
          <w:szCs w:val="20"/>
          <w:lang w:val="es-ES"/>
        </w:rPr>
        <w:t>de la misma</w:t>
      </w:r>
      <w:r w:rsidR="008805B9" w:rsidRPr="009E442B">
        <w:rPr>
          <w:rFonts w:ascii="Verdana" w:hAnsi="Verdana" w:cs="Verdana"/>
          <w:sz w:val="20"/>
          <w:szCs w:val="20"/>
          <w:lang w:val="es-ES"/>
        </w:rPr>
        <w:t xml:space="preserve">, tomando en cuenta el </w:t>
      </w:r>
      <w:r w:rsidR="008805B9" w:rsidRPr="009E442B">
        <w:rPr>
          <w:rFonts w:ascii="Verdana" w:hAnsi="Verdana" w:cs="Verdana"/>
          <w:i/>
          <w:sz w:val="20"/>
          <w:szCs w:val="20"/>
          <w:lang w:val="es-ES"/>
        </w:rPr>
        <w:t>Informe del Ministerio Público</w:t>
      </w:r>
      <w:r w:rsidR="009041CF" w:rsidRPr="009041CF">
        <w:rPr>
          <w:rFonts w:ascii="Verdana" w:hAnsi="Verdana" w:cs="Verdana"/>
          <w:sz w:val="20"/>
          <w:szCs w:val="20"/>
          <w:lang w:val="es-ES"/>
        </w:rPr>
        <w:t xml:space="preserve"> </w:t>
      </w:r>
      <w:r w:rsidR="009041CF" w:rsidRPr="009041CF">
        <w:rPr>
          <w:rFonts w:ascii="Verdana" w:hAnsi="Verdana" w:cs="Verdana"/>
          <w:i/>
          <w:sz w:val="20"/>
          <w:szCs w:val="20"/>
          <w:lang w:val="es-ES"/>
        </w:rPr>
        <w:t>de mayo de 2014</w:t>
      </w:r>
      <w:r w:rsidR="008805B9" w:rsidRPr="009E442B">
        <w:rPr>
          <w:rFonts w:ascii="Verdana" w:hAnsi="Verdana" w:cs="Verdana"/>
          <w:sz w:val="20"/>
          <w:szCs w:val="20"/>
          <w:lang w:val="es-ES"/>
        </w:rPr>
        <w:t xml:space="preserve"> y las observaciones presentadas por los representantes y la Comisión</w:t>
      </w:r>
      <w:r w:rsidR="00043EDC" w:rsidRPr="009E442B">
        <w:rPr>
          <w:rFonts w:ascii="Verdana" w:hAnsi="Verdana" w:cs="Verdana"/>
          <w:sz w:val="20"/>
          <w:szCs w:val="20"/>
          <w:lang w:val="es-ES"/>
        </w:rPr>
        <w:t>.</w:t>
      </w:r>
      <w:bookmarkEnd w:id="26"/>
      <w:r w:rsidR="00043EDC" w:rsidRPr="009E442B">
        <w:rPr>
          <w:rFonts w:ascii="Verdana" w:hAnsi="Verdana" w:cs="Verdana"/>
          <w:sz w:val="20"/>
          <w:szCs w:val="20"/>
          <w:lang w:val="es-ES"/>
        </w:rPr>
        <w:t xml:space="preserve"> </w:t>
      </w:r>
    </w:p>
    <w:p w14:paraId="2AEEDC84" w14:textId="77777777" w:rsidR="009E442B" w:rsidRPr="009E442B" w:rsidRDefault="009E442B" w:rsidP="009E442B">
      <w:pPr>
        <w:spacing w:after="0" w:line="240" w:lineRule="auto"/>
        <w:ind w:right="1444"/>
        <w:contextualSpacing/>
        <w:jc w:val="both"/>
        <w:rPr>
          <w:rFonts w:ascii="Verdana" w:hAnsi="Verdana" w:cs="Verdana"/>
          <w:sz w:val="20"/>
          <w:szCs w:val="20"/>
          <w:lang w:val="es-ES"/>
        </w:rPr>
      </w:pPr>
    </w:p>
    <w:p w14:paraId="4368271D" w14:textId="4CBF78AB" w:rsidR="0084035F" w:rsidRPr="0032068E" w:rsidRDefault="0084035F" w:rsidP="003978C5">
      <w:pPr>
        <w:numPr>
          <w:ilvl w:val="0"/>
          <w:numId w:val="2"/>
        </w:numPr>
        <w:spacing w:after="0" w:line="240" w:lineRule="auto"/>
        <w:ind w:left="0" w:right="1444" w:firstLine="0"/>
        <w:contextualSpacing/>
        <w:jc w:val="both"/>
        <w:rPr>
          <w:rFonts w:ascii="Verdana" w:hAnsi="Verdana" w:cs="Verdana"/>
          <w:sz w:val="20"/>
          <w:szCs w:val="20"/>
          <w:lang w:val="es-ES"/>
        </w:rPr>
      </w:pPr>
      <w:r w:rsidRPr="0032068E">
        <w:rPr>
          <w:rFonts w:ascii="Verdana" w:hAnsi="Verdana" w:cs="Verdana"/>
          <w:sz w:val="20"/>
          <w:szCs w:val="20"/>
          <w:lang w:val="es-ES"/>
        </w:rPr>
        <w:t xml:space="preserve">Finalmente, la Corte hace notar que en los casos </w:t>
      </w:r>
      <w:r w:rsidRPr="0032068E">
        <w:rPr>
          <w:rFonts w:ascii="Verdana" w:hAnsi="Verdana" w:cs="Verdana"/>
          <w:i/>
          <w:sz w:val="20"/>
          <w:szCs w:val="20"/>
          <w:lang w:val="es-ES"/>
        </w:rPr>
        <w:t>Blake</w:t>
      </w:r>
      <w:r w:rsidRPr="0032068E">
        <w:rPr>
          <w:rFonts w:ascii="Verdana" w:hAnsi="Verdana" w:cs="Verdana"/>
          <w:sz w:val="20"/>
          <w:szCs w:val="20"/>
          <w:lang w:val="es-ES"/>
        </w:rPr>
        <w:t xml:space="preserve">, </w:t>
      </w:r>
      <w:r w:rsidRPr="0032068E">
        <w:rPr>
          <w:rFonts w:ascii="Verdana" w:hAnsi="Verdana" w:cs="Verdana"/>
          <w:i/>
          <w:sz w:val="20"/>
          <w:szCs w:val="20"/>
          <w:lang w:val="es-ES"/>
        </w:rPr>
        <w:t>Maritza Urrutia</w:t>
      </w:r>
      <w:r w:rsidRPr="0032068E">
        <w:rPr>
          <w:rFonts w:ascii="Verdana" w:hAnsi="Verdana" w:cs="Verdana"/>
          <w:sz w:val="20"/>
          <w:szCs w:val="20"/>
          <w:lang w:val="es-ES"/>
        </w:rPr>
        <w:t xml:space="preserve">, </w:t>
      </w:r>
      <w:r w:rsidRPr="0032068E">
        <w:rPr>
          <w:rFonts w:ascii="Verdana" w:hAnsi="Verdana" w:cs="Verdana"/>
          <w:i/>
          <w:sz w:val="20"/>
          <w:szCs w:val="20"/>
          <w:lang w:val="es-ES"/>
        </w:rPr>
        <w:t>Mack Chang</w:t>
      </w:r>
      <w:r w:rsidRPr="0032068E">
        <w:rPr>
          <w:rFonts w:ascii="Verdana" w:hAnsi="Verdana" w:cs="Verdana"/>
          <w:sz w:val="20"/>
          <w:szCs w:val="20"/>
          <w:lang w:val="es-ES"/>
        </w:rPr>
        <w:t xml:space="preserve">, y </w:t>
      </w:r>
      <w:r w:rsidRPr="0032068E">
        <w:rPr>
          <w:rFonts w:ascii="Verdana" w:hAnsi="Verdana" w:cs="Verdana"/>
          <w:i/>
          <w:sz w:val="20"/>
          <w:szCs w:val="20"/>
          <w:lang w:val="es-ES"/>
        </w:rPr>
        <w:t>Villagrán Morales</w:t>
      </w:r>
      <w:r w:rsidRPr="0032068E">
        <w:rPr>
          <w:rFonts w:ascii="Verdana" w:hAnsi="Verdana" w:cs="Verdana"/>
          <w:sz w:val="20"/>
          <w:szCs w:val="20"/>
          <w:lang w:val="es-ES"/>
        </w:rPr>
        <w:t xml:space="preserve">, de las distintas reparaciones que fueron ordenadas en las Sentencias, sólo queda pendiente de cumplimiento la obligación de investigar. Igualmente, en el caso </w:t>
      </w:r>
      <w:r w:rsidRPr="0032068E">
        <w:rPr>
          <w:rFonts w:ascii="Verdana" w:hAnsi="Verdana" w:cs="Verdana"/>
          <w:i/>
          <w:sz w:val="20"/>
          <w:szCs w:val="20"/>
          <w:lang w:val="es-ES"/>
        </w:rPr>
        <w:t xml:space="preserve">Tiu </w:t>
      </w:r>
      <w:r w:rsidRPr="0032068E">
        <w:rPr>
          <w:rFonts w:ascii="Verdana" w:hAnsi="Verdana" w:cs="Verdana"/>
          <w:i/>
          <w:sz w:val="20"/>
          <w:szCs w:val="20"/>
          <w:lang w:val="es-ES"/>
        </w:rPr>
        <w:lastRenderedPageBreak/>
        <w:t>Tojín,</w:t>
      </w:r>
      <w:r w:rsidRPr="0032068E">
        <w:rPr>
          <w:rFonts w:ascii="Verdana" w:hAnsi="Verdana" w:cs="Verdana"/>
          <w:sz w:val="20"/>
          <w:szCs w:val="20"/>
          <w:lang w:val="es-ES"/>
        </w:rPr>
        <w:t xml:space="preserve"> de las reparaciones ordenadas, sólo está</w:t>
      </w:r>
      <w:r w:rsidR="00571B4A" w:rsidRPr="0032068E">
        <w:rPr>
          <w:rFonts w:ascii="Verdana" w:hAnsi="Verdana" w:cs="Verdana"/>
          <w:sz w:val="20"/>
          <w:szCs w:val="20"/>
          <w:lang w:val="es-ES"/>
        </w:rPr>
        <w:t>n</w:t>
      </w:r>
      <w:r w:rsidRPr="0032068E">
        <w:rPr>
          <w:rFonts w:ascii="Verdana" w:hAnsi="Verdana" w:cs="Verdana"/>
          <w:sz w:val="20"/>
          <w:szCs w:val="20"/>
          <w:lang w:val="es-ES"/>
        </w:rPr>
        <w:t xml:space="preserve"> pendiente</w:t>
      </w:r>
      <w:r w:rsidR="00571B4A" w:rsidRPr="0032068E">
        <w:rPr>
          <w:rFonts w:ascii="Verdana" w:hAnsi="Verdana" w:cs="Verdana"/>
          <w:sz w:val="20"/>
          <w:szCs w:val="20"/>
          <w:lang w:val="es-ES"/>
        </w:rPr>
        <w:t>s</w:t>
      </w:r>
      <w:r w:rsidRPr="0032068E">
        <w:rPr>
          <w:rFonts w:ascii="Verdana" w:hAnsi="Verdana" w:cs="Verdana"/>
          <w:sz w:val="20"/>
          <w:szCs w:val="20"/>
          <w:lang w:val="es-ES"/>
        </w:rPr>
        <w:t xml:space="preserve"> el cumplimiento de la</w:t>
      </w:r>
      <w:r w:rsidR="00571B4A" w:rsidRPr="0032068E">
        <w:rPr>
          <w:rFonts w:ascii="Verdana" w:hAnsi="Verdana" w:cs="Verdana"/>
          <w:sz w:val="20"/>
          <w:szCs w:val="20"/>
          <w:lang w:val="es-ES"/>
        </w:rPr>
        <w:t>s</w:t>
      </w:r>
      <w:r w:rsidRPr="0032068E">
        <w:rPr>
          <w:rFonts w:ascii="Verdana" w:hAnsi="Verdana" w:cs="Verdana"/>
          <w:sz w:val="20"/>
          <w:szCs w:val="20"/>
          <w:lang w:val="es-ES"/>
        </w:rPr>
        <w:t xml:space="preserve"> reparaci</w:t>
      </w:r>
      <w:r w:rsidR="00571B4A" w:rsidRPr="0032068E">
        <w:rPr>
          <w:rFonts w:ascii="Verdana" w:hAnsi="Verdana" w:cs="Verdana"/>
          <w:sz w:val="20"/>
          <w:szCs w:val="20"/>
          <w:lang w:val="es-ES"/>
        </w:rPr>
        <w:t>o</w:t>
      </w:r>
      <w:r w:rsidRPr="0032068E">
        <w:rPr>
          <w:rFonts w:ascii="Verdana" w:hAnsi="Verdana" w:cs="Verdana"/>
          <w:sz w:val="20"/>
          <w:szCs w:val="20"/>
          <w:lang w:val="es-ES"/>
        </w:rPr>
        <w:t>n</w:t>
      </w:r>
      <w:r w:rsidR="00571B4A" w:rsidRPr="0032068E">
        <w:rPr>
          <w:rFonts w:ascii="Verdana" w:hAnsi="Verdana" w:cs="Verdana"/>
          <w:sz w:val="20"/>
          <w:szCs w:val="20"/>
          <w:lang w:val="es-ES"/>
        </w:rPr>
        <w:t>es</w:t>
      </w:r>
      <w:r w:rsidRPr="0032068E">
        <w:rPr>
          <w:rFonts w:ascii="Verdana" w:hAnsi="Verdana" w:cs="Verdana"/>
          <w:sz w:val="20"/>
          <w:szCs w:val="20"/>
          <w:lang w:val="es-ES"/>
        </w:rPr>
        <w:t xml:space="preserve"> correspondiente</w:t>
      </w:r>
      <w:r w:rsidR="00571B4A" w:rsidRPr="0032068E">
        <w:rPr>
          <w:rFonts w:ascii="Verdana" w:hAnsi="Verdana" w:cs="Verdana"/>
          <w:sz w:val="20"/>
          <w:szCs w:val="20"/>
          <w:lang w:val="es-ES"/>
        </w:rPr>
        <w:t>s</w:t>
      </w:r>
      <w:r w:rsidRPr="0032068E">
        <w:rPr>
          <w:rFonts w:ascii="Verdana" w:hAnsi="Verdana" w:cs="Verdana"/>
          <w:sz w:val="20"/>
          <w:szCs w:val="20"/>
          <w:lang w:val="es-ES"/>
        </w:rPr>
        <w:t xml:space="preserve"> a la obligación de investigar y la de búsqueda y localización de María y Josefa Tiu Tojín.</w:t>
      </w:r>
    </w:p>
    <w:p w14:paraId="758C1D60" w14:textId="77777777" w:rsidR="00C02060" w:rsidRPr="0032068E" w:rsidRDefault="00C02060" w:rsidP="003978C5">
      <w:pPr>
        <w:spacing w:after="0" w:line="240" w:lineRule="auto"/>
        <w:ind w:right="1444"/>
        <w:contextualSpacing/>
        <w:jc w:val="both"/>
        <w:rPr>
          <w:rFonts w:ascii="Verdana" w:hAnsi="Verdana" w:cs="Verdana"/>
          <w:sz w:val="20"/>
          <w:szCs w:val="20"/>
          <w:lang w:val="es-ES"/>
        </w:rPr>
      </w:pPr>
    </w:p>
    <w:p w14:paraId="602030AC" w14:textId="77777777" w:rsidR="00C02060" w:rsidRPr="0032068E" w:rsidRDefault="00C02060" w:rsidP="003978C5">
      <w:pPr>
        <w:spacing w:after="0" w:line="240" w:lineRule="auto"/>
        <w:ind w:right="1444"/>
        <w:contextualSpacing/>
        <w:jc w:val="both"/>
        <w:rPr>
          <w:rFonts w:ascii="Verdana" w:hAnsi="Verdana" w:cs="Verdana"/>
          <w:sz w:val="20"/>
          <w:szCs w:val="20"/>
          <w:lang w:val="es-ES"/>
        </w:rPr>
      </w:pPr>
    </w:p>
    <w:p w14:paraId="6528AF69" w14:textId="77777777" w:rsidR="003978C5" w:rsidRPr="0032068E" w:rsidRDefault="00BA2A62" w:rsidP="0062279D">
      <w:pPr>
        <w:pStyle w:val="Heading1"/>
      </w:pPr>
      <w:bookmarkStart w:id="27" w:name="_Toc435778521"/>
      <w:bookmarkStart w:id="28" w:name="_Toc439248779"/>
      <w:r w:rsidRPr="0032068E">
        <w:t>El grado de cumplimiento de la obligación de investigar por parte del Estado de Guatemala en los 12 Casos</w:t>
      </w:r>
      <w:bookmarkEnd w:id="27"/>
      <w:bookmarkEnd w:id="28"/>
    </w:p>
    <w:p w14:paraId="64DE41EF" w14:textId="77777777" w:rsidR="003978C5" w:rsidRPr="0032068E" w:rsidRDefault="003978C5" w:rsidP="003978C5">
      <w:pPr>
        <w:spacing w:after="0" w:line="240" w:lineRule="auto"/>
        <w:ind w:right="1444"/>
        <w:contextualSpacing/>
        <w:jc w:val="both"/>
        <w:rPr>
          <w:rFonts w:ascii="Verdana" w:hAnsi="Verdana" w:cs="Verdana"/>
          <w:sz w:val="20"/>
          <w:szCs w:val="20"/>
          <w:lang w:val="es-ES"/>
        </w:rPr>
      </w:pPr>
    </w:p>
    <w:p w14:paraId="3D945227" w14:textId="0B8A1B91" w:rsidR="00F15D25" w:rsidRPr="0032068E" w:rsidRDefault="002B5764" w:rsidP="00AD5701">
      <w:pPr>
        <w:pStyle w:val="Heading2"/>
      </w:pPr>
      <w:bookmarkStart w:id="29" w:name="_Toc435778522"/>
      <w:bookmarkStart w:id="30" w:name="_Toc439248780"/>
      <w:r w:rsidRPr="0032068E">
        <w:t>A)</w:t>
      </w:r>
      <w:r w:rsidRPr="0032068E">
        <w:tab/>
      </w:r>
      <w:r w:rsidR="008A2A30" w:rsidRPr="0032068E">
        <w:t xml:space="preserve">Información </w:t>
      </w:r>
      <w:r w:rsidR="002E391A" w:rsidRPr="0032068E">
        <w:t>aportada por</w:t>
      </w:r>
      <w:r w:rsidR="008A2A30" w:rsidRPr="0032068E">
        <w:t xml:space="preserve"> el Ministerio Público de Guatemala</w:t>
      </w:r>
      <w:bookmarkEnd w:id="29"/>
      <w:bookmarkEnd w:id="30"/>
    </w:p>
    <w:p w14:paraId="7E208452" w14:textId="77777777" w:rsidR="00A54F9F" w:rsidRPr="0032068E" w:rsidRDefault="00A54F9F" w:rsidP="00A54F9F">
      <w:pPr>
        <w:spacing w:after="0" w:line="240" w:lineRule="auto"/>
        <w:ind w:right="1444"/>
        <w:contextualSpacing/>
        <w:jc w:val="both"/>
        <w:rPr>
          <w:rFonts w:ascii="Verdana" w:hAnsi="Verdana" w:cs="Verdana"/>
          <w:sz w:val="20"/>
          <w:szCs w:val="20"/>
          <w:lang w:val="es-ES"/>
        </w:rPr>
      </w:pPr>
    </w:p>
    <w:p w14:paraId="40813C0B" w14:textId="7F16B286" w:rsidR="007B52D4" w:rsidRPr="0032068E" w:rsidRDefault="00F92CDF" w:rsidP="00237DF4">
      <w:pPr>
        <w:numPr>
          <w:ilvl w:val="0"/>
          <w:numId w:val="2"/>
        </w:numPr>
        <w:spacing w:after="0" w:line="240" w:lineRule="auto"/>
        <w:ind w:left="0" w:right="1444" w:firstLine="0"/>
        <w:contextualSpacing/>
        <w:jc w:val="both"/>
        <w:rPr>
          <w:rFonts w:ascii="Verdana" w:hAnsi="Verdana" w:cs="Verdana"/>
          <w:sz w:val="20"/>
          <w:szCs w:val="20"/>
          <w:lang w:val="es-ES_tradnl"/>
        </w:rPr>
      </w:pPr>
      <w:bookmarkStart w:id="31" w:name="_Ref437011705"/>
      <w:r w:rsidRPr="0032068E">
        <w:rPr>
          <w:rFonts w:ascii="Verdana" w:hAnsi="Verdana" w:cs="Verdana"/>
          <w:sz w:val="20"/>
          <w:szCs w:val="20"/>
          <w:lang w:val="es-ES"/>
        </w:rPr>
        <w:t xml:space="preserve">El informe proporcionado </w:t>
      </w:r>
      <w:r w:rsidR="00150C13" w:rsidRPr="0032068E">
        <w:rPr>
          <w:rFonts w:ascii="Verdana" w:hAnsi="Verdana" w:cs="Verdana"/>
          <w:sz w:val="20"/>
          <w:szCs w:val="20"/>
          <w:lang w:val="es-ES"/>
        </w:rPr>
        <w:t xml:space="preserve">por </w:t>
      </w:r>
      <w:r w:rsidR="00237DF4" w:rsidRPr="0032068E">
        <w:rPr>
          <w:rFonts w:ascii="Verdana" w:hAnsi="Verdana" w:cs="Verdana"/>
          <w:sz w:val="20"/>
          <w:szCs w:val="20"/>
          <w:lang w:val="es-ES"/>
        </w:rPr>
        <w:t>el Ministerio Público de Guatemala</w:t>
      </w:r>
      <w:r w:rsidR="00150C13" w:rsidRPr="0032068E">
        <w:rPr>
          <w:rFonts w:ascii="Verdana" w:hAnsi="Verdana" w:cs="Verdana"/>
          <w:sz w:val="20"/>
          <w:szCs w:val="20"/>
          <w:lang w:val="es-ES"/>
        </w:rPr>
        <w:t xml:space="preserve"> en mayo de 2014 </w:t>
      </w:r>
      <w:r w:rsidR="00150C13" w:rsidRPr="000C0CC3">
        <w:rPr>
          <w:rFonts w:ascii="Verdana" w:hAnsi="Verdana" w:cs="Verdana"/>
          <w:sz w:val="20"/>
          <w:szCs w:val="20"/>
          <w:lang w:val="es-ES"/>
        </w:rPr>
        <w:t>(</w:t>
      </w:r>
      <w:r w:rsidR="00150C13" w:rsidRPr="000C0CC3">
        <w:rPr>
          <w:rFonts w:ascii="Verdana" w:hAnsi="Verdana" w:cs="Verdana"/>
          <w:i/>
          <w:sz w:val="20"/>
          <w:szCs w:val="20"/>
          <w:lang w:val="es-ES"/>
        </w:rPr>
        <w:t>supra</w:t>
      </w:r>
      <w:r w:rsidR="00150C13" w:rsidRPr="000C0CC3">
        <w:rPr>
          <w:rFonts w:ascii="Verdana" w:hAnsi="Verdana" w:cs="Verdana"/>
          <w:sz w:val="20"/>
          <w:szCs w:val="20"/>
          <w:lang w:val="es-ES"/>
        </w:rPr>
        <w:t xml:space="preserve"> Visto </w:t>
      </w:r>
      <w:r w:rsidR="005732A7" w:rsidRPr="000C0CC3">
        <w:rPr>
          <w:rFonts w:ascii="Verdana" w:hAnsi="Verdana" w:cs="Verdana"/>
          <w:sz w:val="20"/>
          <w:szCs w:val="20"/>
          <w:lang w:val="es-ES"/>
        </w:rPr>
        <w:fldChar w:fldCharType="begin"/>
      </w:r>
      <w:r w:rsidR="005732A7" w:rsidRPr="000C0CC3">
        <w:rPr>
          <w:rFonts w:ascii="Verdana" w:hAnsi="Verdana" w:cs="Verdana"/>
          <w:sz w:val="20"/>
          <w:szCs w:val="20"/>
          <w:lang w:val="es-ES"/>
        </w:rPr>
        <w:instrText xml:space="preserve"> REF _Ref437856160 \r \h </w:instrText>
      </w:r>
      <w:r w:rsidR="004A422E" w:rsidRPr="000C0CC3">
        <w:rPr>
          <w:rFonts w:ascii="Verdana" w:hAnsi="Verdana" w:cs="Verdana"/>
          <w:sz w:val="20"/>
          <w:szCs w:val="20"/>
          <w:lang w:val="es-ES"/>
        </w:rPr>
        <w:instrText xml:space="preserve"> \* MERGEFORMAT </w:instrText>
      </w:r>
      <w:r w:rsidR="005732A7" w:rsidRPr="000C0CC3">
        <w:rPr>
          <w:rFonts w:ascii="Verdana" w:hAnsi="Verdana" w:cs="Verdana"/>
          <w:sz w:val="20"/>
          <w:szCs w:val="20"/>
          <w:lang w:val="es-ES"/>
        </w:rPr>
      </w:r>
      <w:r w:rsidR="005732A7" w:rsidRPr="000C0CC3">
        <w:rPr>
          <w:rFonts w:ascii="Verdana" w:hAnsi="Verdana" w:cs="Verdana"/>
          <w:sz w:val="20"/>
          <w:szCs w:val="20"/>
          <w:lang w:val="es-ES"/>
        </w:rPr>
        <w:fldChar w:fldCharType="separate"/>
      </w:r>
      <w:r w:rsidR="007E3C4B">
        <w:rPr>
          <w:rFonts w:ascii="Verdana" w:hAnsi="Verdana" w:cs="Verdana"/>
          <w:sz w:val="20"/>
          <w:szCs w:val="20"/>
          <w:lang w:val="es-ES"/>
        </w:rPr>
        <w:t>7</w:t>
      </w:r>
      <w:r w:rsidR="005732A7" w:rsidRPr="000C0CC3">
        <w:rPr>
          <w:rFonts w:ascii="Verdana" w:hAnsi="Verdana" w:cs="Verdana"/>
          <w:sz w:val="20"/>
          <w:szCs w:val="20"/>
          <w:lang w:val="es-ES"/>
        </w:rPr>
        <w:fldChar w:fldCharType="end"/>
      </w:r>
      <w:r w:rsidR="005732A7" w:rsidRPr="000C0CC3">
        <w:rPr>
          <w:rFonts w:ascii="Verdana" w:hAnsi="Verdana" w:cs="Verdana"/>
          <w:sz w:val="20"/>
          <w:szCs w:val="20"/>
          <w:lang w:val="es-ES"/>
        </w:rPr>
        <w:t xml:space="preserve"> y Considerando</w:t>
      </w:r>
      <w:r w:rsidR="00150C13" w:rsidRPr="000C0CC3">
        <w:rPr>
          <w:rFonts w:ascii="Verdana" w:hAnsi="Verdana" w:cs="Verdana"/>
          <w:sz w:val="20"/>
          <w:szCs w:val="20"/>
          <w:lang w:val="es-ES"/>
        </w:rPr>
        <w:t xml:space="preserve"> </w:t>
      </w:r>
      <w:r w:rsidR="005732A7" w:rsidRPr="000C0CC3">
        <w:rPr>
          <w:rFonts w:ascii="Verdana" w:hAnsi="Verdana" w:cs="Verdana"/>
          <w:sz w:val="20"/>
          <w:szCs w:val="20"/>
          <w:lang w:val="es-ES"/>
        </w:rPr>
        <w:fldChar w:fldCharType="begin"/>
      </w:r>
      <w:r w:rsidR="005732A7" w:rsidRPr="000C0CC3">
        <w:rPr>
          <w:rFonts w:ascii="Verdana" w:hAnsi="Verdana" w:cs="Verdana"/>
          <w:sz w:val="20"/>
          <w:szCs w:val="20"/>
          <w:lang w:val="es-ES"/>
        </w:rPr>
        <w:instrText xml:space="preserve"> REF _Ref437281285 \r \h </w:instrText>
      </w:r>
      <w:r w:rsidR="004A422E" w:rsidRPr="000C0CC3">
        <w:rPr>
          <w:rFonts w:ascii="Verdana" w:hAnsi="Verdana" w:cs="Verdana"/>
          <w:sz w:val="20"/>
          <w:szCs w:val="20"/>
          <w:lang w:val="es-ES"/>
        </w:rPr>
        <w:instrText xml:space="preserve"> \* MERGEFORMAT </w:instrText>
      </w:r>
      <w:r w:rsidR="005732A7" w:rsidRPr="000C0CC3">
        <w:rPr>
          <w:rFonts w:ascii="Verdana" w:hAnsi="Verdana" w:cs="Verdana"/>
          <w:sz w:val="20"/>
          <w:szCs w:val="20"/>
          <w:lang w:val="es-ES"/>
        </w:rPr>
      </w:r>
      <w:r w:rsidR="005732A7" w:rsidRPr="000C0CC3">
        <w:rPr>
          <w:rFonts w:ascii="Verdana" w:hAnsi="Verdana" w:cs="Verdana"/>
          <w:sz w:val="20"/>
          <w:szCs w:val="20"/>
          <w:lang w:val="es-ES"/>
        </w:rPr>
        <w:fldChar w:fldCharType="separate"/>
      </w:r>
      <w:r w:rsidR="007E3C4B">
        <w:rPr>
          <w:rFonts w:ascii="Verdana" w:hAnsi="Verdana" w:cs="Verdana"/>
          <w:sz w:val="20"/>
          <w:szCs w:val="20"/>
          <w:lang w:val="es-ES"/>
        </w:rPr>
        <w:t>23</w:t>
      </w:r>
      <w:r w:rsidR="005732A7" w:rsidRPr="000C0CC3">
        <w:rPr>
          <w:rFonts w:ascii="Verdana" w:hAnsi="Verdana" w:cs="Verdana"/>
          <w:sz w:val="20"/>
          <w:szCs w:val="20"/>
          <w:lang w:val="es-ES"/>
        </w:rPr>
        <w:fldChar w:fldCharType="end"/>
      </w:r>
      <w:r w:rsidR="00150C13" w:rsidRPr="00FB125A">
        <w:rPr>
          <w:rFonts w:ascii="Verdana" w:hAnsi="Verdana" w:cs="Verdana"/>
          <w:sz w:val="20"/>
          <w:szCs w:val="20"/>
          <w:lang w:val="es-ES"/>
        </w:rPr>
        <w:t>)</w:t>
      </w:r>
      <w:r w:rsidRPr="00FB125A">
        <w:rPr>
          <w:rFonts w:ascii="Verdana" w:hAnsi="Verdana" w:cs="Verdana"/>
          <w:sz w:val="20"/>
          <w:szCs w:val="20"/>
          <w:lang w:val="es-ES"/>
        </w:rPr>
        <w:t>,</w:t>
      </w:r>
      <w:r w:rsidRPr="0032068E">
        <w:rPr>
          <w:rFonts w:ascii="Verdana" w:hAnsi="Verdana" w:cs="Verdana"/>
          <w:sz w:val="20"/>
          <w:szCs w:val="20"/>
          <w:lang w:val="es-ES"/>
        </w:rPr>
        <w:t xml:space="preserve"> será</w:t>
      </w:r>
      <w:r w:rsidR="000C0CC3">
        <w:rPr>
          <w:rFonts w:ascii="Verdana" w:hAnsi="Verdana" w:cs="Verdana"/>
          <w:sz w:val="20"/>
          <w:szCs w:val="20"/>
          <w:lang w:val="es-ES"/>
        </w:rPr>
        <w:t xml:space="preserve"> valorado de conformidad con lo</w:t>
      </w:r>
      <w:r w:rsidRPr="0032068E">
        <w:rPr>
          <w:rFonts w:ascii="Verdana" w:hAnsi="Verdana" w:cs="Verdana"/>
          <w:sz w:val="20"/>
          <w:szCs w:val="20"/>
          <w:lang w:val="es-ES"/>
        </w:rPr>
        <w:t xml:space="preserve"> dispuesto en el artículo 69.2 del Reglamento del Tribunal,</w:t>
      </w:r>
      <w:r w:rsidR="00150C13" w:rsidRPr="0032068E">
        <w:rPr>
          <w:rFonts w:ascii="Verdana" w:hAnsi="Verdana" w:cs="Verdana"/>
          <w:sz w:val="20"/>
          <w:szCs w:val="20"/>
          <w:lang w:val="es-ES"/>
        </w:rPr>
        <w:t xml:space="preserve"> como una fuente de información </w:t>
      </w:r>
      <w:r w:rsidR="00151492" w:rsidRPr="0032068E">
        <w:rPr>
          <w:rFonts w:ascii="Verdana" w:hAnsi="Verdana" w:cs="Verdana"/>
          <w:sz w:val="20"/>
          <w:szCs w:val="20"/>
          <w:lang w:val="es-ES_tradnl"/>
        </w:rPr>
        <w:t xml:space="preserve">distinta a la que brinda el Estado en su carácter de parte en </w:t>
      </w:r>
      <w:r w:rsidR="003F211C">
        <w:rPr>
          <w:rFonts w:ascii="Verdana" w:hAnsi="Verdana" w:cs="Verdana"/>
          <w:sz w:val="20"/>
          <w:szCs w:val="20"/>
          <w:lang w:val="es-ES_tradnl"/>
        </w:rPr>
        <w:t>el</w:t>
      </w:r>
      <w:r w:rsidR="00151492" w:rsidRPr="0032068E">
        <w:rPr>
          <w:rFonts w:ascii="Verdana" w:hAnsi="Verdana" w:cs="Verdana"/>
          <w:sz w:val="20"/>
          <w:szCs w:val="20"/>
          <w:lang w:val="es-ES_tradnl"/>
        </w:rPr>
        <w:t xml:space="preserve"> proceso. Se trata de información</w:t>
      </w:r>
      <w:r w:rsidR="00151492" w:rsidRPr="0032068E">
        <w:rPr>
          <w:rFonts w:ascii="Verdana" w:hAnsi="Verdana" w:cs="Verdana"/>
          <w:sz w:val="20"/>
          <w:szCs w:val="20"/>
          <w:lang w:val="es-ES"/>
        </w:rPr>
        <w:t xml:space="preserve"> </w:t>
      </w:r>
      <w:r w:rsidR="00150C13" w:rsidRPr="0032068E">
        <w:rPr>
          <w:rFonts w:ascii="Verdana" w:hAnsi="Verdana" w:cs="Verdana"/>
          <w:sz w:val="20"/>
          <w:szCs w:val="20"/>
          <w:lang w:val="es-ES"/>
        </w:rPr>
        <w:t>de particular relevancia para esta supervisión</w:t>
      </w:r>
      <w:r w:rsidR="00A61FD6" w:rsidRPr="0032068E">
        <w:rPr>
          <w:rFonts w:ascii="Verdana" w:hAnsi="Verdana" w:cs="Verdana"/>
          <w:sz w:val="20"/>
          <w:szCs w:val="20"/>
          <w:lang w:val="es-ES"/>
        </w:rPr>
        <w:t>, pues en o</w:t>
      </w:r>
      <w:r w:rsidRPr="0032068E">
        <w:rPr>
          <w:rFonts w:ascii="Verdana" w:hAnsi="Verdana" w:cs="Verdana"/>
          <w:sz w:val="20"/>
          <w:szCs w:val="20"/>
          <w:lang w:val="es-ES"/>
        </w:rPr>
        <w:t>nce de los casos supervisados los</w:t>
      </w:r>
      <w:r w:rsidR="00A61FD6" w:rsidRPr="0032068E">
        <w:rPr>
          <w:rFonts w:ascii="Verdana" w:hAnsi="Verdana" w:cs="Verdana"/>
          <w:sz w:val="20"/>
          <w:szCs w:val="20"/>
          <w:lang w:val="es-ES"/>
        </w:rPr>
        <w:t xml:space="preserve"> proceso</w:t>
      </w:r>
      <w:r w:rsidRPr="0032068E">
        <w:rPr>
          <w:rFonts w:ascii="Verdana" w:hAnsi="Verdana" w:cs="Verdana"/>
          <w:sz w:val="20"/>
          <w:szCs w:val="20"/>
          <w:lang w:val="es-ES"/>
        </w:rPr>
        <w:t>s</w:t>
      </w:r>
      <w:r w:rsidR="00A61FD6" w:rsidRPr="0032068E">
        <w:rPr>
          <w:rFonts w:ascii="Verdana" w:hAnsi="Verdana" w:cs="Verdana"/>
          <w:sz w:val="20"/>
          <w:szCs w:val="20"/>
          <w:lang w:val="es-ES"/>
        </w:rPr>
        <w:t xml:space="preserve"> penal</w:t>
      </w:r>
      <w:r w:rsidRPr="0032068E">
        <w:rPr>
          <w:rFonts w:ascii="Verdana" w:hAnsi="Verdana" w:cs="Verdana"/>
          <w:sz w:val="20"/>
          <w:szCs w:val="20"/>
          <w:lang w:val="es-ES"/>
        </w:rPr>
        <w:t>es</w:t>
      </w:r>
      <w:r w:rsidR="00A61FD6" w:rsidRPr="0032068E">
        <w:rPr>
          <w:rFonts w:ascii="Verdana" w:hAnsi="Verdana" w:cs="Verdana"/>
          <w:sz w:val="20"/>
          <w:szCs w:val="20"/>
          <w:lang w:val="es-ES"/>
        </w:rPr>
        <w:t xml:space="preserve"> se encuentran en etapa de investigación</w:t>
      </w:r>
      <w:r w:rsidR="00150C13" w:rsidRPr="0032068E">
        <w:rPr>
          <w:rFonts w:ascii="Verdana" w:hAnsi="Verdana" w:cs="Verdana"/>
          <w:sz w:val="20"/>
          <w:szCs w:val="20"/>
          <w:lang w:val="es-ES"/>
        </w:rPr>
        <w:t xml:space="preserve">. </w:t>
      </w:r>
      <w:r w:rsidR="00151492" w:rsidRPr="0032068E">
        <w:rPr>
          <w:rFonts w:ascii="Verdana" w:hAnsi="Verdana" w:cs="Verdana"/>
          <w:sz w:val="20"/>
          <w:szCs w:val="20"/>
          <w:lang w:val="es-ES"/>
        </w:rPr>
        <w:t>Dicho informe será valorado</w:t>
      </w:r>
      <w:r w:rsidR="00150C13" w:rsidRPr="0032068E">
        <w:rPr>
          <w:rFonts w:ascii="Verdana" w:hAnsi="Verdana" w:cs="Verdana"/>
          <w:sz w:val="20"/>
          <w:szCs w:val="20"/>
          <w:lang w:val="es-ES"/>
        </w:rPr>
        <w:t xml:space="preserve"> tomando en cuenta las observaciones presentadas por las </w:t>
      </w:r>
      <w:r w:rsidR="00A61FD6" w:rsidRPr="0032068E">
        <w:rPr>
          <w:rFonts w:ascii="Verdana" w:hAnsi="Verdana" w:cs="Verdana"/>
          <w:sz w:val="20"/>
          <w:szCs w:val="20"/>
          <w:lang w:val="es-ES"/>
        </w:rPr>
        <w:t>partes y la Comisión Interamericana.</w:t>
      </w:r>
      <w:bookmarkEnd w:id="31"/>
      <w:r w:rsidR="00A61FD6" w:rsidRPr="0032068E">
        <w:rPr>
          <w:rFonts w:ascii="Verdana" w:hAnsi="Verdana" w:cs="Verdana"/>
          <w:sz w:val="20"/>
          <w:szCs w:val="20"/>
          <w:lang w:val="es-ES"/>
        </w:rPr>
        <w:t xml:space="preserve"> </w:t>
      </w:r>
      <w:r w:rsidR="00A61FD6" w:rsidRPr="0032068E" w:rsidDel="00A61FD6">
        <w:rPr>
          <w:rFonts w:ascii="Verdana" w:hAnsi="Verdana" w:cs="Verdana"/>
          <w:sz w:val="20"/>
          <w:szCs w:val="20"/>
          <w:lang w:val="es-ES"/>
        </w:rPr>
        <w:t xml:space="preserve"> </w:t>
      </w:r>
    </w:p>
    <w:p w14:paraId="38E94E62" w14:textId="35622318" w:rsidR="00F15D25" w:rsidRPr="0032068E" w:rsidRDefault="00F15D25" w:rsidP="00BF166D">
      <w:pPr>
        <w:spacing w:after="0" w:line="240" w:lineRule="auto"/>
        <w:ind w:right="1444"/>
        <w:contextualSpacing/>
        <w:jc w:val="both"/>
        <w:rPr>
          <w:rFonts w:ascii="Verdana" w:hAnsi="Verdana" w:cs="Verdana"/>
          <w:sz w:val="20"/>
          <w:szCs w:val="20"/>
          <w:lang w:val="es-ES_tradnl"/>
        </w:rPr>
      </w:pPr>
    </w:p>
    <w:p w14:paraId="29DAA235" w14:textId="6DA262EC" w:rsidR="006529CE" w:rsidRPr="0032068E" w:rsidRDefault="00A54F9F" w:rsidP="00A54F9F">
      <w:pPr>
        <w:numPr>
          <w:ilvl w:val="0"/>
          <w:numId w:val="2"/>
        </w:numPr>
        <w:spacing w:after="0" w:line="240" w:lineRule="auto"/>
        <w:ind w:left="0" w:right="1444" w:firstLine="0"/>
        <w:contextualSpacing/>
        <w:jc w:val="both"/>
        <w:rPr>
          <w:rFonts w:ascii="Verdana" w:hAnsi="Verdana" w:cs="Verdana"/>
          <w:sz w:val="20"/>
          <w:szCs w:val="20"/>
          <w:lang w:val="es-ES"/>
        </w:rPr>
      </w:pPr>
      <w:bookmarkStart w:id="32" w:name="_Ref437850624"/>
      <w:r w:rsidRPr="0032068E">
        <w:rPr>
          <w:rFonts w:ascii="Verdana" w:hAnsi="Verdana" w:cs="Verdana"/>
          <w:sz w:val="20"/>
          <w:szCs w:val="20"/>
          <w:lang w:val="es-ES"/>
        </w:rPr>
        <w:t xml:space="preserve">En el </w:t>
      </w:r>
      <w:r w:rsidRPr="0032068E">
        <w:rPr>
          <w:rFonts w:ascii="Verdana" w:hAnsi="Verdana" w:cs="Verdana"/>
          <w:i/>
          <w:sz w:val="20"/>
          <w:szCs w:val="20"/>
          <w:lang w:val="es-ES"/>
        </w:rPr>
        <w:t>Informe</w:t>
      </w:r>
      <w:r w:rsidR="0003342F" w:rsidRPr="0032068E">
        <w:rPr>
          <w:rFonts w:ascii="Verdana" w:hAnsi="Verdana" w:cs="Verdana"/>
          <w:i/>
          <w:sz w:val="20"/>
          <w:szCs w:val="20"/>
          <w:lang w:val="es-ES"/>
        </w:rPr>
        <w:t>,</w:t>
      </w:r>
      <w:r w:rsidRPr="0032068E">
        <w:rPr>
          <w:rFonts w:ascii="Verdana" w:hAnsi="Verdana" w:cs="Verdana"/>
          <w:i/>
          <w:sz w:val="20"/>
          <w:szCs w:val="20"/>
          <w:lang w:val="es-ES"/>
        </w:rPr>
        <w:t xml:space="preserve"> el Ministerio Público </w:t>
      </w:r>
      <w:r w:rsidR="005A0F16" w:rsidRPr="0032068E">
        <w:rPr>
          <w:rFonts w:ascii="Verdana" w:hAnsi="Verdana" w:cs="Verdana"/>
          <w:sz w:val="20"/>
          <w:szCs w:val="20"/>
          <w:lang w:val="es-ES"/>
        </w:rPr>
        <w:t xml:space="preserve">proporcionó información específica sobre varias de las investigaciones y </w:t>
      </w:r>
      <w:r w:rsidR="005E0E5E" w:rsidRPr="0032068E">
        <w:rPr>
          <w:rFonts w:ascii="Verdana" w:hAnsi="Verdana" w:cs="Verdana"/>
          <w:sz w:val="20"/>
          <w:szCs w:val="20"/>
          <w:lang w:val="es-ES"/>
        </w:rPr>
        <w:t>sostuvo que</w:t>
      </w:r>
      <w:r w:rsidRPr="0032068E">
        <w:rPr>
          <w:rFonts w:ascii="Verdana" w:hAnsi="Verdana" w:cs="Verdana"/>
          <w:sz w:val="20"/>
          <w:szCs w:val="20"/>
          <w:lang w:val="es-ES"/>
        </w:rPr>
        <w:t xml:space="preserve">  una serie de “problemáticas estructurales” se han constituido como obstáculos en la investigación de los casos a los cuales hizo referencia dicho informe. </w:t>
      </w:r>
      <w:r w:rsidR="006529CE" w:rsidRPr="0032068E">
        <w:rPr>
          <w:rFonts w:ascii="Verdana" w:hAnsi="Verdana" w:cs="Verdana"/>
          <w:sz w:val="20"/>
          <w:szCs w:val="20"/>
          <w:lang w:val="es-ES"/>
        </w:rPr>
        <w:t xml:space="preserve">Entre tales obstáculos </w:t>
      </w:r>
      <w:r w:rsidR="000B6A05" w:rsidRPr="0032068E">
        <w:rPr>
          <w:rFonts w:ascii="Verdana" w:hAnsi="Verdana" w:cs="Verdana"/>
          <w:sz w:val="20"/>
          <w:szCs w:val="20"/>
          <w:lang w:val="es-ES"/>
        </w:rPr>
        <w:t>se refirió a los siguientes</w:t>
      </w:r>
      <w:r w:rsidR="006529CE" w:rsidRPr="0032068E">
        <w:rPr>
          <w:rFonts w:ascii="Verdana" w:hAnsi="Verdana" w:cs="Verdana"/>
          <w:sz w:val="20"/>
          <w:szCs w:val="20"/>
          <w:lang w:val="es-ES"/>
        </w:rPr>
        <w:t>:</w:t>
      </w:r>
      <w:bookmarkEnd w:id="32"/>
      <w:r w:rsidRPr="0032068E">
        <w:rPr>
          <w:rFonts w:ascii="Verdana" w:hAnsi="Verdana" w:cs="Verdana"/>
          <w:sz w:val="20"/>
          <w:szCs w:val="20"/>
          <w:lang w:val="es-ES"/>
        </w:rPr>
        <w:t xml:space="preserve"> </w:t>
      </w:r>
    </w:p>
    <w:p w14:paraId="0E05D164" w14:textId="593EB6E1" w:rsidR="006529CE" w:rsidRPr="000C0CC3" w:rsidRDefault="00A54F9F" w:rsidP="005A04C1">
      <w:pPr>
        <w:spacing w:after="0" w:line="240" w:lineRule="auto"/>
        <w:ind w:left="720" w:right="1444"/>
        <w:contextualSpacing/>
        <w:jc w:val="both"/>
        <w:rPr>
          <w:rFonts w:ascii="Verdana" w:hAnsi="Verdana" w:cs="Verdana"/>
          <w:sz w:val="20"/>
          <w:szCs w:val="20"/>
          <w:lang w:val="es-ES"/>
        </w:rPr>
      </w:pPr>
      <w:r w:rsidRPr="0032068E">
        <w:rPr>
          <w:rFonts w:ascii="Verdana" w:hAnsi="Verdana" w:cs="Verdana"/>
          <w:sz w:val="20"/>
          <w:szCs w:val="20"/>
          <w:lang w:val="es-ES"/>
        </w:rPr>
        <w:t>a) “[l]imitaciones en la contratación de más personal”</w:t>
      </w:r>
      <w:r w:rsidR="005A04C1" w:rsidRPr="0032068E">
        <w:rPr>
          <w:rFonts w:ascii="Verdana" w:hAnsi="Verdana" w:cs="Verdana"/>
          <w:sz w:val="20"/>
          <w:szCs w:val="20"/>
          <w:lang w:val="es-ES"/>
        </w:rPr>
        <w:t>, especialmente para “fortalecer la Unidad de Casos Especiales del Conflicto Armado Interno”</w:t>
      </w:r>
      <w:r w:rsidRPr="0032068E">
        <w:rPr>
          <w:rFonts w:ascii="Verdana" w:hAnsi="Verdana" w:cs="Verdana"/>
          <w:sz w:val="20"/>
          <w:szCs w:val="20"/>
          <w:lang w:val="es-ES"/>
        </w:rPr>
        <w:t xml:space="preserve"> </w:t>
      </w:r>
      <w:r w:rsidRPr="000C0CC3">
        <w:rPr>
          <w:rFonts w:ascii="Verdana" w:hAnsi="Verdana" w:cs="Verdana"/>
          <w:sz w:val="20"/>
          <w:szCs w:val="20"/>
          <w:lang w:val="es-ES"/>
        </w:rPr>
        <w:t>(</w:t>
      </w:r>
      <w:r w:rsidRPr="000C0CC3">
        <w:rPr>
          <w:rFonts w:ascii="Verdana" w:hAnsi="Verdana" w:cs="Verdana"/>
          <w:i/>
          <w:sz w:val="20"/>
          <w:szCs w:val="20"/>
          <w:lang w:val="es-ES"/>
        </w:rPr>
        <w:t>infra</w:t>
      </w:r>
      <w:r w:rsidRPr="000C0CC3">
        <w:rPr>
          <w:rFonts w:ascii="Verdana" w:hAnsi="Verdana" w:cs="Verdana"/>
          <w:sz w:val="20"/>
          <w:szCs w:val="20"/>
          <w:lang w:val="es-ES"/>
        </w:rPr>
        <w:t xml:space="preserve"> Considerando </w:t>
      </w:r>
      <w:r w:rsidR="005732A7" w:rsidRPr="000C0CC3">
        <w:rPr>
          <w:rFonts w:ascii="Verdana" w:hAnsi="Verdana" w:cs="Verdana"/>
          <w:sz w:val="20"/>
          <w:szCs w:val="20"/>
          <w:lang w:val="es-ES"/>
        </w:rPr>
        <w:fldChar w:fldCharType="begin"/>
      </w:r>
      <w:r w:rsidR="005732A7" w:rsidRPr="000C0CC3">
        <w:rPr>
          <w:rFonts w:ascii="Verdana" w:hAnsi="Verdana" w:cs="Verdana"/>
          <w:sz w:val="20"/>
          <w:szCs w:val="20"/>
          <w:lang w:val="es-ES"/>
        </w:rPr>
        <w:instrText xml:space="preserve"> REF _Ref437856355 \r \h </w:instrText>
      </w:r>
      <w:r w:rsidR="004B4974" w:rsidRPr="000C0CC3">
        <w:rPr>
          <w:rFonts w:ascii="Verdana" w:hAnsi="Verdana" w:cs="Verdana"/>
          <w:sz w:val="20"/>
          <w:szCs w:val="20"/>
          <w:lang w:val="es-ES"/>
        </w:rPr>
        <w:instrText xml:space="preserve"> \* MERGEFORMAT </w:instrText>
      </w:r>
      <w:r w:rsidR="005732A7" w:rsidRPr="000C0CC3">
        <w:rPr>
          <w:rFonts w:ascii="Verdana" w:hAnsi="Verdana" w:cs="Verdana"/>
          <w:sz w:val="20"/>
          <w:szCs w:val="20"/>
          <w:lang w:val="es-ES"/>
        </w:rPr>
      </w:r>
      <w:r w:rsidR="005732A7" w:rsidRPr="000C0CC3">
        <w:rPr>
          <w:rFonts w:ascii="Verdana" w:hAnsi="Verdana" w:cs="Verdana"/>
          <w:sz w:val="20"/>
          <w:szCs w:val="20"/>
          <w:lang w:val="es-ES"/>
        </w:rPr>
        <w:fldChar w:fldCharType="separate"/>
      </w:r>
      <w:r w:rsidR="007E3C4B">
        <w:rPr>
          <w:rFonts w:ascii="Verdana" w:hAnsi="Verdana" w:cs="Verdana"/>
          <w:sz w:val="20"/>
          <w:szCs w:val="20"/>
          <w:lang w:val="es-ES"/>
        </w:rPr>
        <w:t>168</w:t>
      </w:r>
      <w:r w:rsidR="005732A7" w:rsidRPr="000C0CC3">
        <w:rPr>
          <w:rFonts w:ascii="Verdana" w:hAnsi="Verdana" w:cs="Verdana"/>
          <w:sz w:val="20"/>
          <w:szCs w:val="20"/>
          <w:lang w:val="es-ES"/>
        </w:rPr>
        <w:fldChar w:fldCharType="end"/>
      </w:r>
      <w:r w:rsidRPr="000C0CC3">
        <w:rPr>
          <w:rFonts w:ascii="Verdana" w:hAnsi="Verdana" w:cs="Verdana"/>
          <w:sz w:val="20"/>
          <w:szCs w:val="20"/>
          <w:lang w:val="es-ES"/>
        </w:rPr>
        <w:t xml:space="preserve">); </w:t>
      </w:r>
    </w:p>
    <w:p w14:paraId="579650AD" w14:textId="24CBB930" w:rsidR="006529CE" w:rsidRPr="0032068E" w:rsidRDefault="00A54F9F" w:rsidP="005A04C1">
      <w:pPr>
        <w:spacing w:after="0" w:line="240" w:lineRule="auto"/>
        <w:ind w:left="720" w:right="1444"/>
        <w:contextualSpacing/>
        <w:jc w:val="both"/>
        <w:rPr>
          <w:rFonts w:ascii="Verdana" w:hAnsi="Verdana" w:cs="Verdana"/>
          <w:sz w:val="20"/>
          <w:szCs w:val="20"/>
          <w:lang w:val="es-ES"/>
        </w:rPr>
      </w:pPr>
      <w:r w:rsidRPr="000C0CC3">
        <w:rPr>
          <w:rFonts w:ascii="Verdana" w:hAnsi="Verdana" w:cs="Verdana"/>
          <w:sz w:val="20"/>
          <w:szCs w:val="20"/>
          <w:lang w:val="es-ES"/>
        </w:rPr>
        <w:t xml:space="preserve">b) un “[l]imitado acceso a la información sobre posibles autores”, haciendo referencia particularmente a la </w:t>
      </w:r>
      <w:r w:rsidR="00D73ACB" w:rsidRPr="000C0CC3">
        <w:rPr>
          <w:rFonts w:ascii="Verdana" w:hAnsi="Verdana" w:cs="Verdana"/>
          <w:sz w:val="20"/>
          <w:szCs w:val="20"/>
          <w:lang w:val="es-ES"/>
        </w:rPr>
        <w:t xml:space="preserve">supuesta </w:t>
      </w:r>
      <w:r w:rsidRPr="000C0CC3">
        <w:rPr>
          <w:rFonts w:ascii="Verdana" w:hAnsi="Verdana" w:cs="Verdana"/>
          <w:sz w:val="20"/>
          <w:szCs w:val="20"/>
          <w:lang w:val="es-ES"/>
        </w:rPr>
        <w:t>negativa del Ministerio de la Defensa y del Instituto de Previsión Militar a proporcionar información que les</w:t>
      </w:r>
      <w:r w:rsidR="00366427" w:rsidRPr="000C0CC3">
        <w:rPr>
          <w:rFonts w:ascii="Verdana" w:hAnsi="Verdana" w:cs="Verdana"/>
          <w:sz w:val="20"/>
          <w:szCs w:val="20"/>
          <w:lang w:val="es-ES"/>
        </w:rPr>
        <w:t xml:space="preserve"> fue</w:t>
      </w:r>
      <w:r w:rsidRPr="000C0CC3">
        <w:rPr>
          <w:rFonts w:ascii="Verdana" w:hAnsi="Verdana" w:cs="Verdana"/>
          <w:sz w:val="20"/>
          <w:szCs w:val="20"/>
          <w:lang w:val="es-ES"/>
        </w:rPr>
        <w:t xml:space="preserve"> requerida por el Ministerio Público en el marco de las investigaciones </w:t>
      </w:r>
      <w:r w:rsidR="00043EDC" w:rsidRPr="000C0CC3">
        <w:rPr>
          <w:rFonts w:ascii="Verdana" w:hAnsi="Verdana" w:cs="Verdana"/>
          <w:sz w:val="20"/>
          <w:szCs w:val="20"/>
          <w:lang w:val="es-ES"/>
        </w:rPr>
        <w:t>(</w:t>
      </w:r>
      <w:r w:rsidR="00043EDC" w:rsidRPr="000C0CC3">
        <w:rPr>
          <w:rFonts w:ascii="Verdana" w:hAnsi="Verdana" w:cs="Verdana"/>
          <w:i/>
          <w:sz w:val="20"/>
          <w:szCs w:val="20"/>
          <w:lang w:val="es-ES"/>
        </w:rPr>
        <w:t>infra</w:t>
      </w:r>
      <w:r w:rsidR="00043EDC" w:rsidRPr="000C0CC3">
        <w:rPr>
          <w:rFonts w:ascii="Verdana" w:hAnsi="Verdana" w:cs="Verdana"/>
          <w:sz w:val="20"/>
          <w:szCs w:val="20"/>
          <w:lang w:val="es-ES"/>
        </w:rPr>
        <w:t xml:space="preserve"> Considerando </w:t>
      </w:r>
      <w:r w:rsidR="00EB752B" w:rsidRPr="000C0CC3">
        <w:rPr>
          <w:rFonts w:ascii="Verdana" w:hAnsi="Verdana" w:cs="Verdana"/>
          <w:sz w:val="20"/>
          <w:szCs w:val="20"/>
          <w:lang w:val="es-ES"/>
        </w:rPr>
        <w:fldChar w:fldCharType="begin"/>
      </w:r>
      <w:r w:rsidR="00EB752B" w:rsidRPr="000C0CC3">
        <w:rPr>
          <w:rFonts w:ascii="Verdana" w:hAnsi="Verdana" w:cs="Verdana"/>
          <w:sz w:val="20"/>
          <w:szCs w:val="20"/>
          <w:lang w:val="es-ES"/>
        </w:rPr>
        <w:instrText xml:space="preserve"> REF _Ref437858242 \r \h </w:instrText>
      </w:r>
      <w:r w:rsidR="000C0CC3">
        <w:rPr>
          <w:rFonts w:ascii="Verdana" w:hAnsi="Verdana" w:cs="Verdana"/>
          <w:sz w:val="20"/>
          <w:szCs w:val="20"/>
          <w:lang w:val="es-ES"/>
        </w:rPr>
        <w:instrText xml:space="preserve"> \* MERGEFORMAT </w:instrText>
      </w:r>
      <w:r w:rsidR="00EB752B" w:rsidRPr="000C0CC3">
        <w:rPr>
          <w:rFonts w:ascii="Verdana" w:hAnsi="Verdana" w:cs="Verdana"/>
          <w:sz w:val="20"/>
          <w:szCs w:val="20"/>
          <w:lang w:val="es-ES"/>
        </w:rPr>
      </w:r>
      <w:r w:rsidR="00EB752B" w:rsidRPr="000C0CC3">
        <w:rPr>
          <w:rFonts w:ascii="Verdana" w:hAnsi="Verdana" w:cs="Verdana"/>
          <w:sz w:val="20"/>
          <w:szCs w:val="20"/>
          <w:lang w:val="es-ES"/>
        </w:rPr>
        <w:fldChar w:fldCharType="separate"/>
      </w:r>
      <w:r w:rsidR="007E3C4B">
        <w:rPr>
          <w:rFonts w:ascii="Verdana" w:hAnsi="Verdana" w:cs="Verdana"/>
          <w:sz w:val="20"/>
          <w:szCs w:val="20"/>
          <w:lang w:val="es-ES"/>
        </w:rPr>
        <w:t>127</w:t>
      </w:r>
      <w:r w:rsidR="00EB752B" w:rsidRPr="000C0CC3">
        <w:rPr>
          <w:rFonts w:ascii="Verdana" w:hAnsi="Verdana" w:cs="Verdana"/>
          <w:sz w:val="20"/>
          <w:szCs w:val="20"/>
          <w:lang w:val="es-ES"/>
        </w:rPr>
        <w:fldChar w:fldCharType="end"/>
      </w:r>
      <w:r w:rsidR="00043EDC" w:rsidRPr="000C0CC3">
        <w:rPr>
          <w:rFonts w:ascii="Verdana" w:hAnsi="Verdana" w:cs="Verdana"/>
          <w:sz w:val="20"/>
          <w:szCs w:val="20"/>
          <w:lang w:val="es-ES"/>
        </w:rPr>
        <w:t>)</w:t>
      </w:r>
      <w:r w:rsidRPr="000C0CC3">
        <w:rPr>
          <w:rFonts w:ascii="Verdana" w:hAnsi="Verdana" w:cs="Verdana"/>
          <w:sz w:val="20"/>
          <w:szCs w:val="20"/>
          <w:lang w:val="es-ES"/>
        </w:rPr>
        <w:t>;</w:t>
      </w:r>
      <w:r w:rsidRPr="0032068E">
        <w:rPr>
          <w:rFonts w:ascii="Verdana" w:hAnsi="Verdana" w:cs="Verdana"/>
          <w:sz w:val="20"/>
          <w:szCs w:val="20"/>
          <w:lang w:val="es-ES"/>
        </w:rPr>
        <w:t xml:space="preserve"> </w:t>
      </w:r>
    </w:p>
    <w:p w14:paraId="0E8F2B6D" w14:textId="1B2D207F" w:rsidR="001E567F" w:rsidRPr="0032068E" w:rsidRDefault="00A54F9F" w:rsidP="005A04C1">
      <w:pPr>
        <w:spacing w:after="0" w:line="240" w:lineRule="auto"/>
        <w:ind w:left="720" w:right="1444"/>
        <w:contextualSpacing/>
        <w:jc w:val="both"/>
        <w:rPr>
          <w:rFonts w:ascii="Verdana" w:hAnsi="Verdana" w:cs="Verdana"/>
          <w:sz w:val="20"/>
          <w:szCs w:val="20"/>
          <w:lang w:val="es-ES"/>
        </w:rPr>
      </w:pPr>
      <w:r w:rsidRPr="0032068E">
        <w:rPr>
          <w:rFonts w:ascii="Verdana" w:hAnsi="Verdana" w:cs="Verdana"/>
          <w:sz w:val="20"/>
          <w:szCs w:val="20"/>
          <w:lang w:val="es-ES"/>
        </w:rPr>
        <w:t xml:space="preserve">c) la “[f]alta de apoyo de la Policía Nacional Civil para ejecutar las órdenes de aprehensión”, particularmente en los “hechos derivados del conflicto armado interno” </w:t>
      </w:r>
      <w:r w:rsidR="00043EDC" w:rsidRPr="000C0CC3">
        <w:rPr>
          <w:rFonts w:ascii="Verdana" w:hAnsi="Verdana" w:cs="Verdana"/>
          <w:sz w:val="20"/>
          <w:szCs w:val="20"/>
          <w:lang w:val="es-ES"/>
        </w:rPr>
        <w:t>(</w:t>
      </w:r>
      <w:r w:rsidR="00043EDC" w:rsidRPr="000C0CC3">
        <w:rPr>
          <w:rFonts w:ascii="Verdana" w:hAnsi="Verdana" w:cs="Verdana"/>
          <w:i/>
          <w:sz w:val="20"/>
          <w:szCs w:val="20"/>
          <w:lang w:val="es-ES"/>
        </w:rPr>
        <w:t>infra</w:t>
      </w:r>
      <w:r w:rsidR="00043EDC" w:rsidRPr="000C0CC3">
        <w:rPr>
          <w:rFonts w:ascii="Verdana" w:hAnsi="Verdana" w:cs="Verdana"/>
          <w:sz w:val="20"/>
          <w:szCs w:val="20"/>
          <w:lang w:val="es-ES"/>
        </w:rPr>
        <w:t xml:space="preserve"> Considerando </w:t>
      </w:r>
      <w:r w:rsidR="000C0CC3" w:rsidRPr="000C0CC3">
        <w:rPr>
          <w:rFonts w:ascii="Verdana" w:hAnsi="Verdana" w:cs="Verdana"/>
          <w:sz w:val="20"/>
          <w:szCs w:val="20"/>
          <w:lang w:val="es-ES"/>
        </w:rPr>
        <w:t>150</w:t>
      </w:r>
      <w:r w:rsidR="00043EDC" w:rsidRPr="000C0CC3">
        <w:rPr>
          <w:rFonts w:ascii="Verdana" w:hAnsi="Verdana" w:cs="Verdana"/>
          <w:sz w:val="20"/>
          <w:szCs w:val="20"/>
          <w:lang w:val="es-ES"/>
        </w:rPr>
        <w:t>)</w:t>
      </w:r>
      <w:r w:rsidRPr="000C0CC3">
        <w:rPr>
          <w:rFonts w:ascii="Verdana" w:hAnsi="Verdana" w:cs="Verdana"/>
          <w:sz w:val="20"/>
          <w:szCs w:val="20"/>
          <w:lang w:val="es-ES"/>
        </w:rPr>
        <w:t>;</w:t>
      </w:r>
      <w:r w:rsidRPr="0032068E">
        <w:rPr>
          <w:rFonts w:ascii="Verdana" w:hAnsi="Verdana" w:cs="Verdana"/>
          <w:sz w:val="20"/>
          <w:szCs w:val="20"/>
          <w:lang w:val="es-ES"/>
        </w:rPr>
        <w:t xml:space="preserve"> </w:t>
      </w:r>
    </w:p>
    <w:p w14:paraId="2D1CDCC6" w14:textId="3A422A3B" w:rsidR="001E567F" w:rsidRPr="00622268" w:rsidRDefault="00A54F9F" w:rsidP="005A04C1">
      <w:pPr>
        <w:spacing w:after="0" w:line="240" w:lineRule="auto"/>
        <w:ind w:left="720" w:right="1444"/>
        <w:contextualSpacing/>
        <w:jc w:val="both"/>
        <w:rPr>
          <w:rFonts w:ascii="Verdana" w:hAnsi="Verdana" w:cs="Verdana"/>
          <w:sz w:val="20"/>
          <w:szCs w:val="20"/>
          <w:lang w:val="es-ES"/>
        </w:rPr>
      </w:pPr>
      <w:r w:rsidRPr="0032068E">
        <w:rPr>
          <w:rFonts w:ascii="Verdana" w:hAnsi="Verdana" w:cs="Verdana"/>
          <w:sz w:val="20"/>
          <w:szCs w:val="20"/>
          <w:lang w:val="es-ES"/>
        </w:rPr>
        <w:t>d) el “[u]so abusivo y desproporcionado de recursos dilatorios”</w:t>
      </w:r>
      <w:r w:rsidR="00043EDC" w:rsidRPr="0032068E">
        <w:rPr>
          <w:rFonts w:ascii="Verdana" w:hAnsi="Verdana" w:cs="Verdana"/>
          <w:sz w:val="20"/>
          <w:szCs w:val="20"/>
          <w:lang w:val="es-ES"/>
        </w:rPr>
        <w:t xml:space="preserve"> </w:t>
      </w:r>
      <w:r w:rsidR="00043EDC" w:rsidRPr="00622268">
        <w:rPr>
          <w:rFonts w:ascii="Verdana" w:hAnsi="Verdana" w:cs="Verdana"/>
          <w:sz w:val="20"/>
          <w:szCs w:val="20"/>
          <w:lang w:val="es-ES"/>
        </w:rPr>
        <w:t>(</w:t>
      </w:r>
      <w:r w:rsidR="00043EDC" w:rsidRPr="00622268">
        <w:rPr>
          <w:rFonts w:ascii="Verdana" w:hAnsi="Verdana" w:cs="Verdana"/>
          <w:i/>
          <w:sz w:val="20"/>
          <w:szCs w:val="20"/>
          <w:lang w:val="es-ES"/>
        </w:rPr>
        <w:t>infra</w:t>
      </w:r>
      <w:r w:rsidR="00043EDC" w:rsidRPr="00622268">
        <w:rPr>
          <w:rFonts w:ascii="Verdana" w:hAnsi="Verdana" w:cs="Verdana"/>
          <w:sz w:val="20"/>
          <w:szCs w:val="20"/>
          <w:lang w:val="es-ES"/>
        </w:rPr>
        <w:t xml:space="preserve"> Considerando </w:t>
      </w:r>
      <w:r w:rsidR="00EB752B" w:rsidRPr="00622268">
        <w:rPr>
          <w:rFonts w:ascii="Verdana" w:hAnsi="Verdana" w:cs="Verdana"/>
          <w:sz w:val="20"/>
          <w:szCs w:val="20"/>
          <w:lang w:val="es-ES"/>
        </w:rPr>
        <w:fldChar w:fldCharType="begin"/>
      </w:r>
      <w:r w:rsidR="00EB752B" w:rsidRPr="00622268">
        <w:rPr>
          <w:rFonts w:ascii="Verdana" w:hAnsi="Verdana" w:cs="Verdana"/>
          <w:sz w:val="20"/>
          <w:szCs w:val="20"/>
          <w:lang w:val="es-ES"/>
        </w:rPr>
        <w:instrText xml:space="preserve"> REF _Ref437858589 \r \h </w:instrText>
      </w:r>
      <w:r w:rsidR="00622268">
        <w:rPr>
          <w:rFonts w:ascii="Verdana" w:hAnsi="Verdana" w:cs="Verdana"/>
          <w:sz w:val="20"/>
          <w:szCs w:val="20"/>
          <w:lang w:val="es-ES"/>
        </w:rPr>
        <w:instrText xml:space="preserve"> \* MERGEFORMAT </w:instrText>
      </w:r>
      <w:r w:rsidR="00EB752B" w:rsidRPr="00622268">
        <w:rPr>
          <w:rFonts w:ascii="Verdana" w:hAnsi="Verdana" w:cs="Verdana"/>
          <w:sz w:val="20"/>
          <w:szCs w:val="20"/>
          <w:lang w:val="es-ES"/>
        </w:rPr>
      </w:r>
      <w:r w:rsidR="00EB752B" w:rsidRPr="00622268">
        <w:rPr>
          <w:rFonts w:ascii="Verdana" w:hAnsi="Verdana" w:cs="Verdana"/>
          <w:sz w:val="20"/>
          <w:szCs w:val="20"/>
          <w:lang w:val="es-ES"/>
        </w:rPr>
        <w:fldChar w:fldCharType="separate"/>
      </w:r>
      <w:r w:rsidR="007E3C4B">
        <w:rPr>
          <w:rFonts w:ascii="Verdana" w:hAnsi="Verdana" w:cs="Verdana"/>
          <w:sz w:val="20"/>
          <w:szCs w:val="20"/>
          <w:lang w:val="es-ES"/>
        </w:rPr>
        <w:t>132</w:t>
      </w:r>
      <w:r w:rsidR="00EB752B" w:rsidRPr="00622268">
        <w:rPr>
          <w:rFonts w:ascii="Verdana" w:hAnsi="Verdana" w:cs="Verdana"/>
          <w:sz w:val="20"/>
          <w:szCs w:val="20"/>
          <w:lang w:val="es-ES"/>
        </w:rPr>
        <w:fldChar w:fldCharType="end"/>
      </w:r>
      <w:r w:rsidR="00043EDC" w:rsidRPr="00622268">
        <w:rPr>
          <w:rFonts w:ascii="Verdana" w:hAnsi="Verdana" w:cs="Verdana"/>
          <w:sz w:val="20"/>
          <w:szCs w:val="20"/>
          <w:lang w:val="es-ES"/>
        </w:rPr>
        <w:t>)</w:t>
      </w:r>
      <w:r w:rsidRPr="00622268">
        <w:rPr>
          <w:rFonts w:ascii="Verdana" w:hAnsi="Verdana" w:cs="Verdana"/>
          <w:sz w:val="20"/>
          <w:szCs w:val="20"/>
          <w:lang w:val="es-ES"/>
        </w:rPr>
        <w:t xml:space="preserve">, </w:t>
      </w:r>
      <w:r w:rsidR="00622268">
        <w:rPr>
          <w:rFonts w:ascii="Verdana" w:hAnsi="Verdana" w:cs="Verdana"/>
          <w:sz w:val="20"/>
          <w:szCs w:val="20"/>
          <w:lang w:val="es-ES"/>
        </w:rPr>
        <w:t>por parte de los defensores de los imputados</w:t>
      </w:r>
      <w:r w:rsidR="005E45C2" w:rsidRPr="00622268">
        <w:rPr>
          <w:rFonts w:ascii="Verdana" w:hAnsi="Verdana" w:cs="Verdana"/>
          <w:sz w:val="20"/>
          <w:szCs w:val="20"/>
          <w:lang w:val="es-ES"/>
        </w:rPr>
        <w:t>.</w:t>
      </w:r>
      <w:r w:rsidRPr="00622268">
        <w:rPr>
          <w:rFonts w:ascii="Verdana" w:hAnsi="Verdana" w:cs="Verdana"/>
          <w:sz w:val="20"/>
          <w:szCs w:val="20"/>
          <w:lang w:val="es-ES"/>
        </w:rPr>
        <w:t xml:space="preserve"> </w:t>
      </w:r>
      <w:r w:rsidR="00376BF9" w:rsidRPr="00622268">
        <w:rPr>
          <w:rFonts w:ascii="Verdana" w:hAnsi="Verdana" w:cs="Verdana"/>
          <w:sz w:val="20"/>
          <w:szCs w:val="20"/>
          <w:lang w:val="es-ES"/>
        </w:rPr>
        <w:t>Además, se alegó que</w:t>
      </w:r>
      <w:r w:rsidRPr="00622268">
        <w:rPr>
          <w:rFonts w:ascii="Verdana" w:hAnsi="Verdana" w:cs="Verdana"/>
          <w:sz w:val="20"/>
          <w:szCs w:val="20"/>
          <w:lang w:val="es-ES"/>
        </w:rPr>
        <w:t xml:space="preserve"> </w:t>
      </w:r>
      <w:r w:rsidR="00376BF9" w:rsidRPr="00622268">
        <w:rPr>
          <w:rFonts w:ascii="Verdana" w:hAnsi="Verdana" w:cs="Verdana"/>
          <w:sz w:val="20"/>
          <w:szCs w:val="20"/>
          <w:lang w:val="es-ES"/>
        </w:rPr>
        <w:t xml:space="preserve">en una investigación penal de hechos de violaciones a derechos humanos cometidas durante el conflicto armado interno se suspendió del ejercicio profesional a una jueza de una manera atentatoria contra la independencia judicial, “a partir de una denuncia de uno de los abogados defensores del juicio por genocidio en contra del pueblo maya </w:t>
      </w:r>
      <w:r w:rsidR="00A24B7E" w:rsidRPr="00622268">
        <w:rPr>
          <w:rFonts w:ascii="Verdana" w:hAnsi="Verdana" w:cs="Verdana"/>
          <w:sz w:val="20"/>
          <w:szCs w:val="20"/>
          <w:lang w:val="es-ES"/>
        </w:rPr>
        <w:t>I</w:t>
      </w:r>
      <w:r w:rsidR="00376BF9" w:rsidRPr="00622268">
        <w:rPr>
          <w:rFonts w:ascii="Verdana" w:hAnsi="Verdana" w:cs="Verdana"/>
          <w:sz w:val="20"/>
          <w:szCs w:val="20"/>
          <w:lang w:val="es-ES"/>
        </w:rPr>
        <w:t>xil” (</w:t>
      </w:r>
      <w:r w:rsidR="00376BF9" w:rsidRPr="00622268">
        <w:rPr>
          <w:rFonts w:ascii="Verdana" w:hAnsi="Verdana" w:cs="Verdana"/>
          <w:i/>
          <w:sz w:val="20"/>
          <w:szCs w:val="20"/>
          <w:lang w:val="es-ES"/>
        </w:rPr>
        <w:t>infra</w:t>
      </w:r>
      <w:r w:rsidR="00376BF9" w:rsidRPr="00622268">
        <w:rPr>
          <w:rFonts w:ascii="Verdana" w:hAnsi="Verdana" w:cs="Verdana"/>
          <w:sz w:val="20"/>
          <w:szCs w:val="20"/>
          <w:lang w:val="es-ES"/>
        </w:rPr>
        <w:t xml:space="preserve"> Considerando </w:t>
      </w:r>
      <w:r w:rsidR="00EB752B" w:rsidRPr="00622268">
        <w:rPr>
          <w:rFonts w:ascii="Verdana" w:hAnsi="Verdana" w:cs="Verdana"/>
          <w:sz w:val="20"/>
          <w:szCs w:val="20"/>
          <w:lang w:val="es-ES"/>
        </w:rPr>
        <w:fldChar w:fldCharType="begin"/>
      </w:r>
      <w:r w:rsidR="00EB752B" w:rsidRPr="00622268">
        <w:rPr>
          <w:rFonts w:ascii="Verdana" w:hAnsi="Verdana" w:cs="Verdana"/>
          <w:sz w:val="20"/>
          <w:szCs w:val="20"/>
          <w:lang w:val="es-ES"/>
        </w:rPr>
        <w:instrText xml:space="preserve"> REF _Ref437858719 \r \h </w:instrText>
      </w:r>
      <w:r w:rsidR="00622268">
        <w:rPr>
          <w:rFonts w:ascii="Verdana" w:hAnsi="Verdana" w:cs="Verdana"/>
          <w:sz w:val="20"/>
          <w:szCs w:val="20"/>
          <w:lang w:val="es-ES"/>
        </w:rPr>
        <w:instrText xml:space="preserve"> \* MERGEFORMAT </w:instrText>
      </w:r>
      <w:r w:rsidR="00EB752B" w:rsidRPr="00622268">
        <w:rPr>
          <w:rFonts w:ascii="Verdana" w:hAnsi="Verdana" w:cs="Verdana"/>
          <w:sz w:val="20"/>
          <w:szCs w:val="20"/>
          <w:lang w:val="es-ES"/>
        </w:rPr>
      </w:r>
      <w:r w:rsidR="00EB752B" w:rsidRPr="00622268">
        <w:rPr>
          <w:rFonts w:ascii="Verdana" w:hAnsi="Verdana" w:cs="Verdana"/>
          <w:sz w:val="20"/>
          <w:szCs w:val="20"/>
          <w:lang w:val="es-ES"/>
        </w:rPr>
        <w:fldChar w:fldCharType="separate"/>
      </w:r>
      <w:r w:rsidR="007E3C4B">
        <w:rPr>
          <w:rFonts w:ascii="Verdana" w:hAnsi="Verdana" w:cs="Verdana"/>
          <w:sz w:val="20"/>
          <w:szCs w:val="20"/>
          <w:lang w:val="es-ES"/>
        </w:rPr>
        <w:t>164</w:t>
      </w:r>
      <w:r w:rsidR="00EB752B" w:rsidRPr="00622268">
        <w:rPr>
          <w:rFonts w:ascii="Verdana" w:hAnsi="Verdana" w:cs="Verdana"/>
          <w:sz w:val="20"/>
          <w:szCs w:val="20"/>
          <w:lang w:val="es-ES"/>
        </w:rPr>
        <w:fldChar w:fldCharType="end"/>
      </w:r>
      <w:r w:rsidR="00376BF9" w:rsidRPr="00622268">
        <w:rPr>
          <w:rFonts w:ascii="Verdana" w:hAnsi="Verdana" w:cs="Verdana"/>
          <w:sz w:val="20"/>
          <w:szCs w:val="20"/>
          <w:lang w:val="es-ES"/>
        </w:rPr>
        <w:t>)</w:t>
      </w:r>
      <w:r w:rsidR="006F221D" w:rsidRPr="00622268">
        <w:rPr>
          <w:rFonts w:ascii="Verdana" w:hAnsi="Verdana" w:cs="Verdana"/>
          <w:sz w:val="20"/>
          <w:szCs w:val="20"/>
          <w:lang w:val="es-ES"/>
        </w:rPr>
        <w:t>, y</w:t>
      </w:r>
      <w:r w:rsidR="00376BF9" w:rsidRPr="00622268">
        <w:rPr>
          <w:rFonts w:ascii="Verdana" w:hAnsi="Verdana" w:cs="Verdana"/>
          <w:sz w:val="20"/>
          <w:szCs w:val="20"/>
          <w:lang w:val="es-ES"/>
        </w:rPr>
        <w:t xml:space="preserve"> </w:t>
      </w:r>
    </w:p>
    <w:p w14:paraId="17F0ABBD" w14:textId="66793965" w:rsidR="00440A7B" w:rsidRDefault="00A54F9F" w:rsidP="005A04C1">
      <w:pPr>
        <w:spacing w:after="0" w:line="240" w:lineRule="auto"/>
        <w:ind w:left="720" w:right="1444"/>
        <w:contextualSpacing/>
        <w:jc w:val="both"/>
        <w:rPr>
          <w:rFonts w:ascii="Verdana" w:hAnsi="Verdana" w:cs="Verdana"/>
          <w:b/>
          <w:sz w:val="20"/>
          <w:szCs w:val="20"/>
          <w:lang w:val="es-ES"/>
        </w:rPr>
      </w:pPr>
      <w:r w:rsidRPr="00622268">
        <w:rPr>
          <w:rFonts w:ascii="Verdana" w:hAnsi="Verdana" w:cs="Verdana"/>
          <w:sz w:val="20"/>
          <w:szCs w:val="20"/>
          <w:lang w:val="es-ES"/>
        </w:rPr>
        <w:t>e) las “[s]</w:t>
      </w:r>
      <w:proofErr w:type="gramStart"/>
      <w:r w:rsidRPr="00622268">
        <w:rPr>
          <w:rFonts w:ascii="Verdana" w:hAnsi="Verdana" w:cs="Verdana"/>
          <w:sz w:val="20"/>
          <w:szCs w:val="20"/>
          <w:lang w:val="es-ES"/>
        </w:rPr>
        <w:t>olicitud[</w:t>
      </w:r>
      <w:proofErr w:type="gramEnd"/>
      <w:r w:rsidRPr="00622268">
        <w:rPr>
          <w:rFonts w:ascii="Verdana" w:hAnsi="Verdana" w:cs="Verdana"/>
          <w:sz w:val="20"/>
          <w:szCs w:val="20"/>
          <w:lang w:val="es-ES"/>
        </w:rPr>
        <w:t xml:space="preserve">es] de amnistía” realizadas con base en la Ley de Reconciliación Nacional, ejercidas por varios de los imputados </w:t>
      </w:r>
      <w:r w:rsidR="00043EDC" w:rsidRPr="00622268">
        <w:rPr>
          <w:rFonts w:ascii="Verdana" w:hAnsi="Verdana" w:cs="Verdana"/>
          <w:sz w:val="20"/>
          <w:szCs w:val="20"/>
          <w:lang w:val="es-ES"/>
        </w:rPr>
        <w:t>(</w:t>
      </w:r>
      <w:r w:rsidR="00043EDC" w:rsidRPr="00622268">
        <w:rPr>
          <w:rFonts w:ascii="Verdana" w:hAnsi="Verdana" w:cs="Verdana"/>
          <w:i/>
          <w:sz w:val="20"/>
          <w:szCs w:val="20"/>
          <w:lang w:val="es-ES"/>
        </w:rPr>
        <w:t>infra</w:t>
      </w:r>
      <w:r w:rsidR="00043EDC" w:rsidRPr="00622268">
        <w:rPr>
          <w:rFonts w:ascii="Verdana" w:hAnsi="Verdana" w:cs="Verdana"/>
          <w:sz w:val="20"/>
          <w:szCs w:val="20"/>
          <w:lang w:val="es-ES"/>
        </w:rPr>
        <w:t xml:space="preserve"> Considerando </w:t>
      </w:r>
      <w:r w:rsidR="001F1A25">
        <w:rPr>
          <w:rFonts w:ascii="Verdana" w:hAnsi="Verdana" w:cs="Verdana"/>
          <w:sz w:val="20"/>
          <w:szCs w:val="20"/>
          <w:lang w:val="es-ES"/>
        </w:rPr>
        <w:t>138).</w:t>
      </w:r>
    </w:p>
    <w:p w14:paraId="35250CE1" w14:textId="77777777" w:rsidR="006D2F53" w:rsidRDefault="006D2F53" w:rsidP="005A04C1">
      <w:pPr>
        <w:spacing w:after="0" w:line="240" w:lineRule="auto"/>
        <w:ind w:left="720" w:right="1444"/>
        <w:contextualSpacing/>
        <w:jc w:val="both"/>
        <w:rPr>
          <w:rFonts w:ascii="Verdana" w:hAnsi="Verdana" w:cs="Verdana"/>
          <w:b/>
          <w:sz w:val="20"/>
          <w:szCs w:val="20"/>
          <w:lang w:val="es-ES"/>
        </w:rPr>
      </w:pPr>
    </w:p>
    <w:p w14:paraId="696BE170" w14:textId="77777777" w:rsidR="006D2F53" w:rsidRDefault="006D2F53" w:rsidP="005A04C1">
      <w:pPr>
        <w:spacing w:after="0" w:line="240" w:lineRule="auto"/>
        <w:ind w:left="720" w:right="1444"/>
        <w:contextualSpacing/>
        <w:jc w:val="both"/>
        <w:rPr>
          <w:rFonts w:ascii="Verdana" w:hAnsi="Verdana" w:cs="Verdana"/>
          <w:b/>
          <w:sz w:val="20"/>
          <w:szCs w:val="20"/>
          <w:lang w:val="es-ES"/>
        </w:rPr>
      </w:pPr>
    </w:p>
    <w:p w14:paraId="6AB46D63" w14:textId="77777777" w:rsidR="006D2F53" w:rsidRDefault="006D2F53" w:rsidP="005A04C1">
      <w:pPr>
        <w:spacing w:after="0" w:line="240" w:lineRule="auto"/>
        <w:ind w:left="720" w:right="1444"/>
        <w:contextualSpacing/>
        <w:jc w:val="both"/>
        <w:rPr>
          <w:rFonts w:ascii="Verdana" w:hAnsi="Verdana" w:cs="Verdana"/>
          <w:b/>
          <w:sz w:val="20"/>
          <w:szCs w:val="20"/>
          <w:lang w:val="es-ES"/>
        </w:rPr>
      </w:pPr>
    </w:p>
    <w:p w14:paraId="26D557CB" w14:textId="77777777" w:rsidR="006D2F53" w:rsidRDefault="006D2F53" w:rsidP="005A04C1">
      <w:pPr>
        <w:spacing w:after="0" w:line="240" w:lineRule="auto"/>
        <w:ind w:left="720" w:right="1444"/>
        <w:contextualSpacing/>
        <w:jc w:val="both"/>
        <w:rPr>
          <w:rFonts w:ascii="Verdana" w:hAnsi="Verdana" w:cs="Verdana"/>
          <w:b/>
          <w:sz w:val="20"/>
          <w:szCs w:val="20"/>
          <w:lang w:val="es-ES"/>
        </w:rPr>
      </w:pPr>
    </w:p>
    <w:p w14:paraId="6195BEA4" w14:textId="77777777" w:rsidR="006D2F53" w:rsidRPr="0032068E" w:rsidRDefault="006D2F53" w:rsidP="005A04C1">
      <w:pPr>
        <w:spacing w:after="0" w:line="240" w:lineRule="auto"/>
        <w:ind w:left="720" w:right="1444"/>
        <w:contextualSpacing/>
        <w:jc w:val="both"/>
        <w:rPr>
          <w:rFonts w:ascii="Verdana" w:hAnsi="Verdana" w:cs="Verdana"/>
          <w:b/>
          <w:sz w:val="20"/>
          <w:szCs w:val="20"/>
          <w:lang w:val="es-ES"/>
        </w:rPr>
      </w:pPr>
    </w:p>
    <w:p w14:paraId="2A02262E" w14:textId="77777777" w:rsidR="003E25C7" w:rsidRPr="0032068E" w:rsidRDefault="003E25C7" w:rsidP="007B52D4">
      <w:pPr>
        <w:spacing w:after="0" w:line="240" w:lineRule="auto"/>
        <w:ind w:right="1444"/>
        <w:contextualSpacing/>
        <w:jc w:val="both"/>
        <w:rPr>
          <w:rFonts w:ascii="Verdana" w:hAnsi="Verdana" w:cs="Verdana"/>
          <w:sz w:val="20"/>
          <w:szCs w:val="20"/>
          <w:lang w:val="es-ES"/>
        </w:rPr>
      </w:pPr>
    </w:p>
    <w:p w14:paraId="0F28D566" w14:textId="79BF803F" w:rsidR="003E25C7" w:rsidRPr="0032068E" w:rsidRDefault="002B5764" w:rsidP="00AD5701">
      <w:pPr>
        <w:pStyle w:val="Heading2"/>
      </w:pPr>
      <w:bookmarkStart w:id="33" w:name="_Toc435778523"/>
      <w:bookmarkStart w:id="34" w:name="_Toc439248781"/>
      <w:r w:rsidRPr="0032068E">
        <w:t>B)</w:t>
      </w:r>
      <w:r w:rsidRPr="0032068E">
        <w:tab/>
      </w:r>
      <w:r w:rsidR="008A2A30" w:rsidRPr="004D28B4">
        <w:t>Información</w:t>
      </w:r>
      <w:r w:rsidR="008A2A30" w:rsidRPr="0032068E">
        <w:t xml:space="preserve"> y observaciones de las partes y de la Comisión</w:t>
      </w:r>
      <w:bookmarkEnd w:id="33"/>
      <w:bookmarkEnd w:id="34"/>
    </w:p>
    <w:p w14:paraId="2C8F6759" w14:textId="77777777" w:rsidR="008A2A30" w:rsidRPr="0032068E" w:rsidRDefault="008A2A30" w:rsidP="00A54F9F">
      <w:pPr>
        <w:spacing w:after="0" w:line="240" w:lineRule="auto"/>
        <w:ind w:right="1444"/>
        <w:contextualSpacing/>
        <w:jc w:val="both"/>
        <w:rPr>
          <w:rFonts w:ascii="Verdana" w:hAnsi="Verdana" w:cs="Verdana"/>
          <w:sz w:val="20"/>
          <w:szCs w:val="20"/>
          <w:lang w:val="es-ES"/>
        </w:rPr>
      </w:pPr>
    </w:p>
    <w:p w14:paraId="147C8B24" w14:textId="18DAC3EC" w:rsidR="00A54F9F" w:rsidRPr="0032068E" w:rsidRDefault="00A54F9F" w:rsidP="00A54F9F">
      <w:pPr>
        <w:numPr>
          <w:ilvl w:val="0"/>
          <w:numId w:val="2"/>
        </w:numPr>
        <w:spacing w:after="0" w:line="240" w:lineRule="auto"/>
        <w:ind w:left="0" w:right="1444" w:firstLine="0"/>
        <w:contextualSpacing/>
        <w:jc w:val="both"/>
        <w:rPr>
          <w:rFonts w:ascii="Verdana" w:hAnsi="Verdana" w:cs="Verdana"/>
          <w:sz w:val="20"/>
          <w:szCs w:val="20"/>
          <w:lang w:val="es-ES"/>
        </w:rPr>
      </w:pPr>
      <w:bookmarkStart w:id="35" w:name="_Ref437854819"/>
      <w:r w:rsidRPr="0032068E">
        <w:rPr>
          <w:rFonts w:ascii="Verdana" w:hAnsi="Verdana" w:cs="Verdana"/>
          <w:sz w:val="20"/>
          <w:szCs w:val="20"/>
          <w:lang w:val="es-ES"/>
        </w:rPr>
        <w:t>E</w:t>
      </w:r>
      <w:r w:rsidR="00705F4D" w:rsidRPr="0032068E">
        <w:rPr>
          <w:rFonts w:ascii="Verdana" w:hAnsi="Verdana" w:cs="Verdana"/>
          <w:sz w:val="20"/>
          <w:szCs w:val="20"/>
          <w:lang w:val="es-ES"/>
        </w:rPr>
        <w:t xml:space="preserve">l </w:t>
      </w:r>
      <w:r w:rsidR="00705F4D" w:rsidRPr="0032068E">
        <w:rPr>
          <w:rFonts w:ascii="Verdana" w:hAnsi="Verdana" w:cs="Verdana"/>
          <w:i/>
          <w:sz w:val="20"/>
          <w:szCs w:val="20"/>
          <w:lang w:val="es-ES"/>
        </w:rPr>
        <w:t>Estado</w:t>
      </w:r>
      <w:r w:rsidR="007F43DB" w:rsidRPr="0032068E">
        <w:rPr>
          <w:rFonts w:ascii="Verdana" w:hAnsi="Verdana" w:cs="Verdana"/>
          <w:i/>
          <w:sz w:val="20"/>
          <w:szCs w:val="20"/>
          <w:lang w:val="es-ES"/>
        </w:rPr>
        <w:t>,</w:t>
      </w:r>
      <w:r w:rsidR="00705F4D" w:rsidRPr="0032068E">
        <w:rPr>
          <w:rFonts w:ascii="Verdana" w:hAnsi="Verdana" w:cs="Verdana"/>
          <w:sz w:val="20"/>
          <w:szCs w:val="20"/>
          <w:lang w:val="es-ES"/>
        </w:rPr>
        <w:t xml:space="preserve"> e</w:t>
      </w:r>
      <w:r w:rsidRPr="0032068E">
        <w:rPr>
          <w:rFonts w:ascii="Verdana" w:hAnsi="Verdana" w:cs="Verdana"/>
          <w:sz w:val="20"/>
          <w:szCs w:val="20"/>
          <w:lang w:val="es-ES"/>
        </w:rPr>
        <w:t>n sus</w:t>
      </w:r>
      <w:r w:rsidR="00283F76" w:rsidRPr="0032068E">
        <w:rPr>
          <w:rFonts w:ascii="Verdana" w:hAnsi="Verdana" w:cs="Verdana"/>
          <w:sz w:val="20"/>
          <w:szCs w:val="20"/>
          <w:lang w:val="es-ES"/>
        </w:rPr>
        <w:t xml:space="preserve"> más recientes</w:t>
      </w:r>
      <w:r w:rsidRPr="0032068E">
        <w:rPr>
          <w:rFonts w:ascii="Verdana" w:hAnsi="Verdana" w:cs="Verdana"/>
          <w:sz w:val="20"/>
          <w:szCs w:val="20"/>
          <w:lang w:val="es-ES"/>
        </w:rPr>
        <w:t xml:space="preserve"> informes de 201</w:t>
      </w:r>
      <w:r w:rsidRPr="00EA5802">
        <w:rPr>
          <w:rFonts w:ascii="Verdana" w:hAnsi="Verdana" w:cs="Verdana"/>
          <w:sz w:val="20"/>
          <w:szCs w:val="20"/>
          <w:lang w:val="es-ES"/>
        </w:rPr>
        <w:t>5 (</w:t>
      </w:r>
      <w:r w:rsidRPr="00EA5802">
        <w:rPr>
          <w:rFonts w:ascii="Verdana" w:hAnsi="Verdana" w:cs="Verdana"/>
          <w:i/>
          <w:sz w:val="20"/>
          <w:szCs w:val="20"/>
          <w:lang w:val="es-ES"/>
        </w:rPr>
        <w:t>supra</w:t>
      </w:r>
      <w:r w:rsidR="00F7044E" w:rsidRPr="00EA5802">
        <w:rPr>
          <w:rFonts w:ascii="Verdana" w:hAnsi="Verdana" w:cs="Verdana"/>
          <w:sz w:val="20"/>
          <w:szCs w:val="20"/>
          <w:lang w:val="es-ES"/>
        </w:rPr>
        <w:t xml:space="preserve"> Visto </w:t>
      </w:r>
      <w:r w:rsidR="004D28B4" w:rsidRPr="00EA5802">
        <w:rPr>
          <w:rFonts w:ascii="Verdana" w:hAnsi="Verdana" w:cs="Verdana"/>
          <w:sz w:val="20"/>
          <w:szCs w:val="20"/>
          <w:lang w:val="es-ES"/>
        </w:rPr>
        <w:fldChar w:fldCharType="begin"/>
      </w:r>
      <w:r w:rsidR="004D28B4" w:rsidRPr="00EA5802">
        <w:rPr>
          <w:rFonts w:ascii="Verdana" w:hAnsi="Verdana" w:cs="Verdana"/>
          <w:sz w:val="20"/>
          <w:szCs w:val="20"/>
          <w:lang w:val="es-ES"/>
        </w:rPr>
        <w:instrText xml:space="preserve"> REF _Ref437282274 \r \h </w:instrText>
      </w:r>
      <w:r w:rsidR="004A422E" w:rsidRPr="00EA5802">
        <w:rPr>
          <w:rFonts w:ascii="Verdana" w:hAnsi="Verdana" w:cs="Verdana"/>
          <w:sz w:val="20"/>
          <w:szCs w:val="20"/>
          <w:lang w:val="es-ES"/>
        </w:rPr>
        <w:instrText xml:space="preserve"> \* MERGEFORMAT </w:instrText>
      </w:r>
      <w:r w:rsidR="004D28B4" w:rsidRPr="00EA5802">
        <w:rPr>
          <w:rFonts w:ascii="Verdana" w:hAnsi="Verdana" w:cs="Verdana"/>
          <w:sz w:val="20"/>
          <w:szCs w:val="20"/>
          <w:lang w:val="es-ES"/>
        </w:rPr>
      </w:r>
      <w:r w:rsidR="004D28B4" w:rsidRPr="00EA5802">
        <w:rPr>
          <w:rFonts w:ascii="Verdana" w:hAnsi="Verdana" w:cs="Verdana"/>
          <w:sz w:val="20"/>
          <w:szCs w:val="20"/>
          <w:lang w:val="es-ES"/>
        </w:rPr>
        <w:fldChar w:fldCharType="separate"/>
      </w:r>
      <w:r w:rsidR="007E3C4B">
        <w:rPr>
          <w:rFonts w:ascii="Verdana" w:hAnsi="Verdana" w:cs="Verdana"/>
          <w:sz w:val="20"/>
          <w:szCs w:val="20"/>
          <w:lang w:val="es-ES"/>
        </w:rPr>
        <w:t>12</w:t>
      </w:r>
      <w:r w:rsidR="004D28B4" w:rsidRPr="00EA5802">
        <w:rPr>
          <w:rFonts w:ascii="Verdana" w:hAnsi="Verdana" w:cs="Verdana"/>
          <w:sz w:val="20"/>
          <w:szCs w:val="20"/>
          <w:lang w:val="es-ES"/>
        </w:rPr>
        <w:fldChar w:fldCharType="end"/>
      </w:r>
      <w:r w:rsidRPr="00EA5802">
        <w:rPr>
          <w:rFonts w:ascii="Verdana" w:hAnsi="Verdana" w:cs="Verdana"/>
          <w:sz w:val="20"/>
          <w:szCs w:val="20"/>
          <w:lang w:val="es-ES"/>
        </w:rPr>
        <w:t>)</w:t>
      </w:r>
      <w:r w:rsidR="006F221D" w:rsidRPr="00EA5802">
        <w:rPr>
          <w:rFonts w:ascii="Verdana" w:hAnsi="Verdana" w:cs="Verdana"/>
          <w:sz w:val="20"/>
          <w:szCs w:val="20"/>
          <w:lang w:val="es-ES"/>
        </w:rPr>
        <w:t>,</w:t>
      </w:r>
      <w:r w:rsidRPr="00EA5802">
        <w:rPr>
          <w:rFonts w:ascii="Verdana" w:hAnsi="Verdana" w:cs="Verdana"/>
          <w:sz w:val="20"/>
          <w:szCs w:val="20"/>
          <w:lang w:val="es-ES"/>
        </w:rPr>
        <w:t xml:space="preserve"> se refirió a las últimas actuaciones realizadas para dar cumplimiento a </w:t>
      </w:r>
      <w:r w:rsidR="0013423E" w:rsidRPr="00EA5802">
        <w:rPr>
          <w:rFonts w:ascii="Verdana" w:hAnsi="Verdana" w:cs="Verdana"/>
          <w:sz w:val="20"/>
          <w:szCs w:val="20"/>
          <w:lang w:val="es-ES"/>
        </w:rPr>
        <w:t xml:space="preserve">la obligación de investigar </w:t>
      </w:r>
      <w:r w:rsidRPr="00EA5802">
        <w:rPr>
          <w:rFonts w:ascii="Verdana" w:hAnsi="Verdana" w:cs="Verdana"/>
          <w:sz w:val="20"/>
          <w:szCs w:val="20"/>
          <w:lang w:val="es-ES"/>
        </w:rPr>
        <w:t xml:space="preserve">ordenada </w:t>
      </w:r>
      <w:r w:rsidRPr="00EA5802">
        <w:rPr>
          <w:rFonts w:ascii="Verdana" w:hAnsi="Verdana" w:cs="Verdana"/>
          <w:sz w:val="20"/>
          <w:szCs w:val="20"/>
          <w:lang w:val="es-ES"/>
        </w:rPr>
        <w:lastRenderedPageBreak/>
        <w:t>en las Sent</w:t>
      </w:r>
      <w:r w:rsidR="00FB125A">
        <w:rPr>
          <w:rFonts w:ascii="Verdana" w:hAnsi="Verdana" w:cs="Verdana"/>
          <w:sz w:val="20"/>
          <w:szCs w:val="20"/>
          <w:lang w:val="es-ES"/>
        </w:rPr>
        <w:t>encias de cada uno de los casos</w:t>
      </w:r>
      <w:r w:rsidRPr="0032068E">
        <w:rPr>
          <w:rStyle w:val="FootnoteReference"/>
          <w:rFonts w:ascii="Verdana" w:hAnsi="Verdana" w:cs="Verdana"/>
          <w:sz w:val="20"/>
          <w:szCs w:val="20"/>
          <w:lang w:val="es-ES"/>
        </w:rPr>
        <w:footnoteReference w:id="40"/>
      </w:r>
      <w:r w:rsidR="00156363" w:rsidRPr="0032068E">
        <w:rPr>
          <w:rFonts w:ascii="Verdana" w:hAnsi="Verdana" w:cs="Verdana"/>
          <w:sz w:val="20"/>
          <w:szCs w:val="20"/>
          <w:lang w:val="es-ES"/>
        </w:rPr>
        <w:t>. En su informe de octubre de 2015, solicitó a la Corte “valorar positivamente los esfuerzos y acciones que se realizan para dar cumplimiento a los compromisos derivados de las sentencias” de dichos casos</w:t>
      </w:r>
      <w:r w:rsidR="0070715F" w:rsidRPr="0032068E">
        <w:rPr>
          <w:rFonts w:ascii="Verdana" w:hAnsi="Verdana" w:cs="Verdana"/>
          <w:sz w:val="20"/>
          <w:szCs w:val="20"/>
          <w:lang w:val="es-ES"/>
        </w:rPr>
        <w:t>.</w:t>
      </w:r>
      <w:r w:rsidRPr="0032068E">
        <w:rPr>
          <w:rFonts w:ascii="Verdana" w:hAnsi="Verdana" w:cs="Verdana"/>
          <w:sz w:val="20"/>
          <w:szCs w:val="20"/>
          <w:lang w:val="es-ES"/>
        </w:rPr>
        <w:t xml:space="preserve"> </w:t>
      </w:r>
      <w:r w:rsidR="006F221D">
        <w:rPr>
          <w:rFonts w:ascii="Verdana" w:hAnsi="Verdana" w:cs="Verdana"/>
          <w:sz w:val="20"/>
          <w:szCs w:val="20"/>
          <w:lang w:val="es-ES"/>
        </w:rPr>
        <w:t>En ese informe</w:t>
      </w:r>
      <w:r w:rsidRPr="0032068E">
        <w:rPr>
          <w:rFonts w:ascii="Verdana" w:hAnsi="Verdana" w:cs="Verdana"/>
          <w:sz w:val="20"/>
          <w:szCs w:val="20"/>
          <w:lang w:val="es-ES"/>
        </w:rPr>
        <w:t xml:space="preserve">, además, no controvirtió las referencias que el Informe del Ministerio Público </w:t>
      </w:r>
      <w:r w:rsidR="006E184E" w:rsidRPr="0032068E">
        <w:rPr>
          <w:rFonts w:ascii="Verdana" w:hAnsi="Verdana" w:cs="Verdana"/>
          <w:sz w:val="20"/>
          <w:szCs w:val="20"/>
          <w:lang w:val="es-ES"/>
        </w:rPr>
        <w:t xml:space="preserve">de mayo de 2014 </w:t>
      </w:r>
      <w:r w:rsidRPr="0032068E">
        <w:rPr>
          <w:rFonts w:ascii="Verdana" w:hAnsi="Verdana" w:cs="Verdana"/>
          <w:sz w:val="20"/>
          <w:szCs w:val="20"/>
          <w:lang w:val="es-ES"/>
        </w:rPr>
        <w:t>realiz</w:t>
      </w:r>
      <w:r w:rsidR="006E184E" w:rsidRPr="0032068E">
        <w:rPr>
          <w:rFonts w:ascii="Verdana" w:hAnsi="Verdana" w:cs="Verdana"/>
          <w:sz w:val="20"/>
          <w:szCs w:val="20"/>
          <w:lang w:val="es-ES"/>
        </w:rPr>
        <w:t>ó</w:t>
      </w:r>
      <w:r w:rsidRPr="0032068E">
        <w:rPr>
          <w:rFonts w:ascii="Verdana" w:hAnsi="Verdana" w:cs="Verdana"/>
          <w:sz w:val="20"/>
          <w:szCs w:val="20"/>
          <w:lang w:val="es-ES"/>
        </w:rPr>
        <w:t xml:space="preserve"> con relación a los </w:t>
      </w:r>
      <w:r w:rsidR="006E184E" w:rsidRPr="0032068E">
        <w:rPr>
          <w:rFonts w:ascii="Verdana" w:hAnsi="Verdana" w:cs="Verdana"/>
          <w:sz w:val="20"/>
          <w:szCs w:val="20"/>
          <w:lang w:val="es-ES"/>
        </w:rPr>
        <w:t>“</w:t>
      </w:r>
      <w:r w:rsidRPr="0032068E">
        <w:rPr>
          <w:rFonts w:ascii="Verdana" w:hAnsi="Verdana" w:cs="Verdana"/>
          <w:sz w:val="20"/>
          <w:szCs w:val="20"/>
          <w:lang w:val="es-ES"/>
        </w:rPr>
        <w:t>obstáculos estructurales</w:t>
      </w:r>
      <w:r w:rsidR="006E184E" w:rsidRPr="0032068E">
        <w:rPr>
          <w:rFonts w:ascii="Verdana" w:hAnsi="Verdana" w:cs="Verdana"/>
          <w:sz w:val="20"/>
          <w:szCs w:val="20"/>
          <w:lang w:val="es-ES"/>
        </w:rPr>
        <w:t>”</w:t>
      </w:r>
      <w:r w:rsidRPr="0032068E">
        <w:rPr>
          <w:rFonts w:ascii="Verdana" w:hAnsi="Verdana" w:cs="Verdana"/>
          <w:sz w:val="20"/>
          <w:szCs w:val="20"/>
          <w:lang w:val="es-ES"/>
        </w:rPr>
        <w:t xml:space="preserve"> al cumplimiento de la</w:t>
      </w:r>
      <w:r w:rsidR="006E184E" w:rsidRPr="0032068E">
        <w:rPr>
          <w:rFonts w:ascii="Verdana" w:hAnsi="Verdana" w:cs="Verdana"/>
          <w:sz w:val="20"/>
          <w:szCs w:val="20"/>
          <w:lang w:val="es-ES"/>
        </w:rPr>
        <w:t>s</w:t>
      </w:r>
      <w:r w:rsidRPr="0032068E">
        <w:rPr>
          <w:rFonts w:ascii="Verdana" w:hAnsi="Verdana" w:cs="Verdana"/>
          <w:sz w:val="20"/>
          <w:szCs w:val="20"/>
          <w:lang w:val="es-ES"/>
        </w:rPr>
        <w:t xml:space="preserve"> Sentencia</w:t>
      </w:r>
      <w:r w:rsidR="006E184E" w:rsidRPr="0032068E">
        <w:rPr>
          <w:rFonts w:ascii="Verdana" w:hAnsi="Verdana" w:cs="Verdana"/>
          <w:sz w:val="20"/>
          <w:szCs w:val="20"/>
          <w:lang w:val="es-ES"/>
        </w:rPr>
        <w:t>s</w:t>
      </w:r>
      <w:r w:rsidRPr="0032068E">
        <w:rPr>
          <w:rFonts w:ascii="Verdana" w:hAnsi="Verdana" w:cs="Verdana"/>
          <w:sz w:val="20"/>
          <w:szCs w:val="20"/>
          <w:lang w:val="es-ES"/>
        </w:rPr>
        <w:t xml:space="preserve">, sino se limitó a referirse a los alegados avances en cada uno de los casos, de forma individual. </w:t>
      </w:r>
      <w:r w:rsidR="006F221D">
        <w:rPr>
          <w:rFonts w:ascii="Verdana" w:hAnsi="Verdana" w:cs="Verdana"/>
          <w:sz w:val="20"/>
          <w:szCs w:val="20"/>
          <w:lang w:val="es-ES"/>
        </w:rPr>
        <w:t>Sin embargo</w:t>
      </w:r>
      <w:r w:rsidR="00503F0D" w:rsidRPr="0032068E">
        <w:rPr>
          <w:rFonts w:ascii="Verdana" w:hAnsi="Verdana" w:cs="Verdana"/>
          <w:sz w:val="20"/>
          <w:szCs w:val="20"/>
          <w:lang w:val="es-ES"/>
        </w:rPr>
        <w:t>, e</w:t>
      </w:r>
      <w:r w:rsidR="003715F4" w:rsidRPr="0032068E">
        <w:rPr>
          <w:rFonts w:ascii="Verdana" w:hAnsi="Verdana" w:cs="Verdana"/>
          <w:sz w:val="20"/>
          <w:szCs w:val="20"/>
          <w:lang w:val="es-ES"/>
        </w:rPr>
        <w:t>n cuanto a los referidos “obstáculos estructurales”, e</w:t>
      </w:r>
      <w:r w:rsidRPr="0032068E">
        <w:rPr>
          <w:rFonts w:ascii="Verdana" w:hAnsi="Verdana" w:cs="Verdana"/>
          <w:sz w:val="20"/>
          <w:szCs w:val="20"/>
          <w:lang w:val="es-ES"/>
        </w:rPr>
        <w:t xml:space="preserve">n la audiencia celebrada  el </w:t>
      </w:r>
      <w:r w:rsidR="003715F4" w:rsidRPr="0032068E">
        <w:rPr>
          <w:rFonts w:ascii="Verdana" w:hAnsi="Verdana" w:cs="Verdana"/>
          <w:sz w:val="20"/>
          <w:szCs w:val="20"/>
          <w:lang w:val="es-ES"/>
        </w:rPr>
        <w:t xml:space="preserve">16 de mayo de </w:t>
      </w:r>
      <w:r w:rsidRPr="0032068E">
        <w:rPr>
          <w:rFonts w:ascii="Verdana" w:hAnsi="Verdana" w:cs="Verdana"/>
          <w:sz w:val="20"/>
          <w:szCs w:val="20"/>
          <w:lang w:val="es-ES"/>
        </w:rPr>
        <w:t xml:space="preserve">2014,  </w:t>
      </w:r>
      <w:r w:rsidR="003715F4" w:rsidRPr="0032068E">
        <w:rPr>
          <w:rFonts w:ascii="Verdana" w:hAnsi="Verdana" w:cs="Verdana"/>
          <w:sz w:val="20"/>
          <w:szCs w:val="20"/>
          <w:lang w:val="es-ES"/>
        </w:rPr>
        <w:t xml:space="preserve">el Estado </w:t>
      </w:r>
      <w:r w:rsidRPr="0032068E">
        <w:rPr>
          <w:rFonts w:ascii="Verdana" w:hAnsi="Verdana" w:cs="Verdana"/>
          <w:sz w:val="20"/>
          <w:szCs w:val="20"/>
          <w:lang w:val="es-ES"/>
        </w:rPr>
        <w:t xml:space="preserve">se refirió a la alegada negativa del Ministerio de Defensa y otros órganos del Estado a proporcionar información requerida por el Ministerio Público </w:t>
      </w:r>
      <w:r w:rsidRPr="00EA5802">
        <w:rPr>
          <w:rFonts w:ascii="Verdana" w:hAnsi="Verdana" w:cs="Verdana"/>
          <w:sz w:val="20"/>
          <w:szCs w:val="20"/>
          <w:lang w:val="es-ES"/>
        </w:rPr>
        <w:t>(</w:t>
      </w:r>
      <w:r w:rsidRPr="00EA5802">
        <w:rPr>
          <w:rFonts w:ascii="Verdana" w:hAnsi="Verdana" w:cs="Verdana"/>
          <w:i/>
          <w:sz w:val="20"/>
          <w:szCs w:val="20"/>
          <w:lang w:val="es-ES"/>
        </w:rPr>
        <w:t xml:space="preserve">infra </w:t>
      </w:r>
      <w:r w:rsidRPr="00EA5802">
        <w:rPr>
          <w:rFonts w:ascii="Verdana" w:hAnsi="Verdana" w:cs="Verdana"/>
          <w:sz w:val="20"/>
          <w:szCs w:val="20"/>
          <w:lang w:val="es-ES"/>
        </w:rPr>
        <w:t xml:space="preserve">Considerando </w:t>
      </w:r>
      <w:r w:rsidR="00D23A7A" w:rsidRPr="00EA5802">
        <w:rPr>
          <w:rFonts w:ascii="Verdana" w:hAnsi="Verdana" w:cs="Verdana"/>
          <w:sz w:val="20"/>
          <w:szCs w:val="20"/>
          <w:lang w:val="es-ES"/>
        </w:rPr>
        <w:fldChar w:fldCharType="begin"/>
      </w:r>
      <w:r w:rsidR="00D23A7A" w:rsidRPr="00EA5802">
        <w:rPr>
          <w:rFonts w:ascii="Verdana" w:hAnsi="Verdana" w:cs="Verdana"/>
          <w:sz w:val="20"/>
          <w:szCs w:val="20"/>
          <w:lang w:val="es-ES"/>
        </w:rPr>
        <w:instrText xml:space="preserve"> REF _Ref437868066 \r \h </w:instrText>
      </w:r>
      <w:r w:rsidR="00EA5802">
        <w:rPr>
          <w:rFonts w:ascii="Verdana" w:hAnsi="Verdana" w:cs="Verdana"/>
          <w:sz w:val="20"/>
          <w:szCs w:val="20"/>
          <w:lang w:val="es-ES"/>
        </w:rPr>
        <w:instrText xml:space="preserve"> \* MERGEFORMAT </w:instrText>
      </w:r>
      <w:r w:rsidR="00D23A7A" w:rsidRPr="00EA5802">
        <w:rPr>
          <w:rFonts w:ascii="Verdana" w:hAnsi="Verdana" w:cs="Verdana"/>
          <w:sz w:val="20"/>
          <w:szCs w:val="20"/>
          <w:lang w:val="es-ES"/>
        </w:rPr>
      </w:r>
      <w:r w:rsidR="00D23A7A" w:rsidRPr="00EA5802">
        <w:rPr>
          <w:rFonts w:ascii="Verdana" w:hAnsi="Verdana" w:cs="Verdana"/>
          <w:sz w:val="20"/>
          <w:szCs w:val="20"/>
          <w:lang w:val="es-ES"/>
        </w:rPr>
        <w:fldChar w:fldCharType="separate"/>
      </w:r>
      <w:r w:rsidR="007E3C4B">
        <w:rPr>
          <w:rFonts w:ascii="Verdana" w:hAnsi="Verdana" w:cs="Verdana"/>
          <w:sz w:val="20"/>
          <w:szCs w:val="20"/>
          <w:lang w:val="es-ES"/>
        </w:rPr>
        <w:t>128</w:t>
      </w:r>
      <w:r w:rsidR="00D23A7A" w:rsidRPr="00EA5802">
        <w:rPr>
          <w:rFonts w:ascii="Verdana" w:hAnsi="Verdana" w:cs="Verdana"/>
          <w:sz w:val="20"/>
          <w:szCs w:val="20"/>
          <w:lang w:val="es-ES"/>
        </w:rPr>
        <w:fldChar w:fldCharType="end"/>
      </w:r>
      <w:r w:rsidRPr="00EA5802">
        <w:rPr>
          <w:rFonts w:ascii="Verdana" w:hAnsi="Verdana" w:cs="Verdana"/>
          <w:sz w:val="20"/>
          <w:szCs w:val="20"/>
          <w:lang w:val="es-ES"/>
        </w:rPr>
        <w:t>) y al supuesto uso abusivo de recursos judiciales como obstáculo a la investigación (</w:t>
      </w:r>
      <w:r w:rsidRPr="00EA5802">
        <w:rPr>
          <w:rFonts w:ascii="Verdana" w:hAnsi="Verdana" w:cs="Verdana"/>
          <w:i/>
          <w:sz w:val="20"/>
          <w:szCs w:val="20"/>
          <w:lang w:val="es-ES"/>
        </w:rPr>
        <w:t>infra</w:t>
      </w:r>
      <w:r w:rsidRPr="00EA5802">
        <w:rPr>
          <w:rFonts w:ascii="Verdana" w:hAnsi="Verdana" w:cs="Verdana"/>
          <w:sz w:val="20"/>
          <w:szCs w:val="20"/>
          <w:lang w:val="es-ES"/>
        </w:rPr>
        <w:t xml:space="preserve"> Considerando </w:t>
      </w:r>
      <w:r w:rsidR="00D23A7A" w:rsidRPr="00EA5802">
        <w:rPr>
          <w:rFonts w:ascii="Verdana" w:hAnsi="Verdana" w:cs="Verdana"/>
          <w:sz w:val="20"/>
          <w:szCs w:val="20"/>
          <w:lang w:val="es-ES"/>
        </w:rPr>
        <w:fldChar w:fldCharType="begin"/>
      </w:r>
      <w:r w:rsidR="00D23A7A" w:rsidRPr="00EA5802">
        <w:rPr>
          <w:rFonts w:ascii="Verdana" w:hAnsi="Verdana" w:cs="Verdana"/>
          <w:sz w:val="20"/>
          <w:szCs w:val="20"/>
          <w:lang w:val="es-ES"/>
        </w:rPr>
        <w:instrText xml:space="preserve"> REF _Ref437868100 \r \h </w:instrText>
      </w:r>
      <w:r w:rsidR="00EA5802">
        <w:rPr>
          <w:rFonts w:ascii="Verdana" w:hAnsi="Verdana" w:cs="Verdana"/>
          <w:sz w:val="20"/>
          <w:szCs w:val="20"/>
          <w:lang w:val="es-ES"/>
        </w:rPr>
        <w:instrText xml:space="preserve"> \* MERGEFORMAT </w:instrText>
      </w:r>
      <w:r w:rsidR="00D23A7A" w:rsidRPr="00EA5802">
        <w:rPr>
          <w:rFonts w:ascii="Verdana" w:hAnsi="Verdana" w:cs="Verdana"/>
          <w:sz w:val="20"/>
          <w:szCs w:val="20"/>
          <w:lang w:val="es-ES"/>
        </w:rPr>
      </w:r>
      <w:r w:rsidR="00D23A7A" w:rsidRPr="00EA5802">
        <w:rPr>
          <w:rFonts w:ascii="Verdana" w:hAnsi="Verdana" w:cs="Verdana"/>
          <w:sz w:val="20"/>
          <w:szCs w:val="20"/>
          <w:lang w:val="es-ES"/>
        </w:rPr>
        <w:fldChar w:fldCharType="separate"/>
      </w:r>
      <w:r w:rsidR="007E3C4B">
        <w:rPr>
          <w:rFonts w:ascii="Verdana" w:hAnsi="Verdana" w:cs="Verdana"/>
          <w:sz w:val="20"/>
          <w:szCs w:val="20"/>
          <w:lang w:val="es-ES"/>
        </w:rPr>
        <w:t>133</w:t>
      </w:r>
      <w:r w:rsidR="00D23A7A" w:rsidRPr="00EA5802">
        <w:rPr>
          <w:rFonts w:ascii="Verdana" w:hAnsi="Verdana" w:cs="Verdana"/>
          <w:sz w:val="20"/>
          <w:szCs w:val="20"/>
          <w:lang w:val="es-ES"/>
        </w:rPr>
        <w:fldChar w:fldCharType="end"/>
      </w:r>
      <w:r w:rsidRPr="00EA5802">
        <w:rPr>
          <w:rFonts w:ascii="Verdana" w:hAnsi="Verdana" w:cs="Verdana"/>
          <w:sz w:val="20"/>
          <w:szCs w:val="20"/>
          <w:lang w:val="es-ES"/>
        </w:rPr>
        <w:t>).</w:t>
      </w:r>
      <w:bookmarkEnd w:id="35"/>
      <w:r w:rsidR="003715F4" w:rsidRPr="0032068E">
        <w:rPr>
          <w:rFonts w:ascii="Verdana" w:hAnsi="Verdana" w:cs="Verdana"/>
          <w:sz w:val="20"/>
          <w:szCs w:val="20"/>
          <w:lang w:val="es-ES"/>
        </w:rPr>
        <w:t xml:space="preserve"> </w:t>
      </w:r>
    </w:p>
    <w:p w14:paraId="08F29456" w14:textId="77777777" w:rsidR="00A54F9F" w:rsidRPr="0032068E" w:rsidRDefault="00A54F9F" w:rsidP="00A54F9F">
      <w:pPr>
        <w:spacing w:after="0" w:line="240" w:lineRule="auto"/>
        <w:ind w:right="1444"/>
        <w:contextualSpacing/>
        <w:jc w:val="both"/>
        <w:rPr>
          <w:rFonts w:ascii="Verdana" w:hAnsi="Verdana" w:cs="Verdana"/>
          <w:sz w:val="20"/>
          <w:szCs w:val="20"/>
          <w:lang w:val="es-ES"/>
        </w:rPr>
      </w:pPr>
    </w:p>
    <w:p w14:paraId="5D3159D1" w14:textId="1F023730" w:rsidR="00A54F9F" w:rsidRPr="0032068E" w:rsidRDefault="00803458" w:rsidP="00A54F9F">
      <w:pPr>
        <w:numPr>
          <w:ilvl w:val="0"/>
          <w:numId w:val="2"/>
        </w:numPr>
        <w:spacing w:after="0" w:line="240" w:lineRule="auto"/>
        <w:ind w:left="0" w:right="1444" w:firstLine="0"/>
        <w:contextualSpacing/>
        <w:jc w:val="both"/>
        <w:rPr>
          <w:rFonts w:ascii="Verdana" w:hAnsi="Verdana" w:cs="Verdana"/>
          <w:sz w:val="20"/>
          <w:szCs w:val="20"/>
          <w:lang w:val="es-ES"/>
        </w:rPr>
      </w:pPr>
      <w:r w:rsidRPr="0032068E">
        <w:rPr>
          <w:rFonts w:ascii="Verdana" w:hAnsi="Verdana" w:cs="Verdana"/>
          <w:sz w:val="20"/>
          <w:szCs w:val="20"/>
          <w:lang w:val="es-ES"/>
        </w:rPr>
        <w:t>Tanto l</w:t>
      </w:r>
      <w:r w:rsidR="00A54F9F" w:rsidRPr="0032068E">
        <w:rPr>
          <w:rFonts w:ascii="Verdana" w:hAnsi="Verdana" w:cs="Verdana"/>
          <w:sz w:val="20"/>
          <w:szCs w:val="20"/>
          <w:lang w:val="es-ES"/>
        </w:rPr>
        <w:t xml:space="preserve">os </w:t>
      </w:r>
      <w:r w:rsidR="00A54F9F" w:rsidRPr="0032068E">
        <w:rPr>
          <w:rFonts w:ascii="Verdana" w:hAnsi="Verdana" w:cs="Verdana"/>
          <w:i/>
          <w:sz w:val="20"/>
          <w:szCs w:val="20"/>
          <w:lang w:val="es-ES"/>
        </w:rPr>
        <w:t>representantes</w:t>
      </w:r>
      <w:r w:rsidR="00A54F9F" w:rsidRPr="0032068E">
        <w:rPr>
          <w:rFonts w:ascii="Verdana" w:hAnsi="Verdana" w:cs="Verdana"/>
          <w:sz w:val="20"/>
          <w:szCs w:val="20"/>
          <w:lang w:val="es-ES"/>
        </w:rPr>
        <w:t xml:space="preserve"> de los casos </w:t>
      </w:r>
      <w:r w:rsidR="00A54F9F" w:rsidRPr="0032068E">
        <w:rPr>
          <w:rFonts w:ascii="Verdana" w:hAnsi="Verdana" w:cs="Verdana"/>
          <w:i/>
          <w:sz w:val="20"/>
          <w:szCs w:val="20"/>
          <w:lang w:val="es-ES"/>
        </w:rPr>
        <w:t>Maritza Urrutia</w:t>
      </w:r>
      <w:r w:rsidR="00A54F9F" w:rsidRPr="0032068E">
        <w:rPr>
          <w:rFonts w:ascii="Verdana" w:hAnsi="Verdana" w:cs="Verdana"/>
          <w:sz w:val="20"/>
          <w:szCs w:val="20"/>
          <w:lang w:val="es-ES"/>
        </w:rPr>
        <w:t>,</w:t>
      </w:r>
      <w:r w:rsidR="00EA5802">
        <w:rPr>
          <w:rFonts w:ascii="Verdana" w:hAnsi="Verdana" w:cs="Verdana"/>
          <w:i/>
          <w:sz w:val="20"/>
          <w:szCs w:val="20"/>
          <w:lang w:val="es-ES"/>
        </w:rPr>
        <w:t xml:space="preserve"> Masacre Plan de Sánchez</w:t>
      </w:r>
      <w:r w:rsidR="00A54F9F" w:rsidRPr="0032068E">
        <w:rPr>
          <w:rFonts w:ascii="Verdana" w:hAnsi="Verdana" w:cs="Verdana"/>
          <w:sz w:val="20"/>
          <w:szCs w:val="20"/>
          <w:lang w:val="es-ES"/>
        </w:rPr>
        <w:t xml:space="preserve"> y </w:t>
      </w:r>
      <w:r w:rsidR="00A54F9F" w:rsidRPr="0032068E">
        <w:rPr>
          <w:rFonts w:ascii="Verdana" w:hAnsi="Verdana" w:cs="Verdana"/>
          <w:i/>
          <w:sz w:val="20"/>
          <w:szCs w:val="20"/>
          <w:lang w:val="es-ES"/>
        </w:rPr>
        <w:t>Tiu Tojín,</w:t>
      </w:r>
      <w:r w:rsidR="00A54F9F" w:rsidRPr="0032068E">
        <w:rPr>
          <w:rFonts w:ascii="Verdana" w:hAnsi="Verdana" w:cs="Verdana"/>
          <w:sz w:val="20"/>
          <w:szCs w:val="20"/>
          <w:lang w:val="es-ES"/>
        </w:rPr>
        <w:t xml:space="preserve"> </w:t>
      </w:r>
      <w:r w:rsidRPr="0032068E">
        <w:rPr>
          <w:rFonts w:ascii="Verdana" w:hAnsi="Verdana" w:cs="Verdana"/>
          <w:sz w:val="20"/>
          <w:szCs w:val="20"/>
          <w:lang w:val="es-ES"/>
        </w:rPr>
        <w:t xml:space="preserve">en sus observaciones conjuntas, </w:t>
      </w:r>
      <w:r w:rsidR="00A54F9F" w:rsidRPr="0032068E">
        <w:rPr>
          <w:rFonts w:ascii="Verdana" w:hAnsi="Verdana" w:cs="Verdana"/>
          <w:sz w:val="20"/>
          <w:szCs w:val="20"/>
          <w:lang w:val="es-ES"/>
        </w:rPr>
        <w:t xml:space="preserve">los de los casos </w:t>
      </w:r>
      <w:r w:rsidR="00A54F9F" w:rsidRPr="0032068E">
        <w:rPr>
          <w:rFonts w:ascii="Verdana" w:hAnsi="Verdana" w:cs="Verdana"/>
          <w:i/>
          <w:sz w:val="20"/>
          <w:szCs w:val="20"/>
          <w:lang w:val="es-ES"/>
        </w:rPr>
        <w:t>Bámaca Velásquez, Masacre de</w:t>
      </w:r>
      <w:r w:rsidR="00EA5802">
        <w:rPr>
          <w:rFonts w:ascii="Verdana" w:hAnsi="Verdana" w:cs="Verdana"/>
          <w:i/>
          <w:sz w:val="20"/>
          <w:szCs w:val="20"/>
          <w:lang w:val="es-ES"/>
        </w:rPr>
        <w:t xml:space="preserve"> las Dos Erres, Molina Theissen</w:t>
      </w:r>
      <w:r w:rsidR="00A54F9F" w:rsidRPr="0032068E">
        <w:rPr>
          <w:rFonts w:ascii="Verdana" w:hAnsi="Verdana" w:cs="Verdana"/>
          <w:i/>
          <w:sz w:val="20"/>
          <w:szCs w:val="20"/>
          <w:lang w:val="es-ES"/>
        </w:rPr>
        <w:t xml:space="preserve"> </w:t>
      </w:r>
      <w:r w:rsidR="00A54F9F" w:rsidRPr="0032068E">
        <w:rPr>
          <w:rFonts w:ascii="Verdana" w:hAnsi="Verdana" w:cs="Verdana"/>
          <w:sz w:val="20"/>
          <w:szCs w:val="20"/>
          <w:lang w:val="es-ES"/>
        </w:rPr>
        <w:t xml:space="preserve">y </w:t>
      </w:r>
      <w:r w:rsidR="00A54F9F" w:rsidRPr="0032068E">
        <w:rPr>
          <w:rFonts w:ascii="Verdana" w:hAnsi="Verdana" w:cs="Verdana"/>
          <w:i/>
          <w:sz w:val="20"/>
          <w:szCs w:val="20"/>
          <w:lang w:val="es-ES"/>
        </w:rPr>
        <w:t xml:space="preserve">Villagrán Morales, </w:t>
      </w:r>
      <w:r w:rsidRPr="0032068E">
        <w:rPr>
          <w:rFonts w:ascii="Verdana" w:hAnsi="Verdana" w:cs="Verdana"/>
          <w:sz w:val="20"/>
          <w:szCs w:val="20"/>
          <w:lang w:val="es-ES"/>
        </w:rPr>
        <w:t>en sus observaciones conjuntas</w:t>
      </w:r>
      <w:r w:rsidRPr="0032068E">
        <w:rPr>
          <w:rFonts w:ascii="Verdana" w:hAnsi="Verdana" w:cs="Verdana"/>
          <w:i/>
          <w:sz w:val="20"/>
          <w:szCs w:val="20"/>
          <w:lang w:val="es-ES"/>
        </w:rPr>
        <w:t xml:space="preserve">, </w:t>
      </w:r>
      <w:r w:rsidR="00A54F9F" w:rsidRPr="0032068E">
        <w:rPr>
          <w:rFonts w:ascii="Verdana" w:hAnsi="Verdana" w:cs="Verdana"/>
          <w:sz w:val="20"/>
          <w:szCs w:val="20"/>
          <w:lang w:val="es-ES"/>
        </w:rPr>
        <w:t xml:space="preserve">y </w:t>
      </w:r>
      <w:r w:rsidRPr="0032068E">
        <w:rPr>
          <w:rFonts w:ascii="Verdana" w:hAnsi="Verdana" w:cs="Verdana"/>
          <w:sz w:val="20"/>
          <w:szCs w:val="20"/>
          <w:lang w:val="es-ES"/>
        </w:rPr>
        <w:t xml:space="preserve">los </w:t>
      </w:r>
      <w:r w:rsidR="00A54F9F" w:rsidRPr="0032068E">
        <w:rPr>
          <w:rFonts w:ascii="Verdana" w:hAnsi="Verdana" w:cs="Verdana"/>
          <w:sz w:val="20"/>
          <w:szCs w:val="20"/>
          <w:lang w:val="es-ES"/>
        </w:rPr>
        <w:t xml:space="preserve"> del caso </w:t>
      </w:r>
      <w:r w:rsidR="00A54F9F" w:rsidRPr="0032068E">
        <w:rPr>
          <w:rFonts w:ascii="Verdana" w:hAnsi="Verdana" w:cs="Verdana"/>
          <w:i/>
          <w:sz w:val="20"/>
          <w:szCs w:val="20"/>
          <w:lang w:val="es-ES"/>
        </w:rPr>
        <w:t>Chitay Nech</w:t>
      </w:r>
      <w:r w:rsidR="00EA5802">
        <w:rPr>
          <w:rFonts w:ascii="Verdana" w:hAnsi="Verdana" w:cs="Verdana"/>
          <w:i/>
          <w:sz w:val="20"/>
          <w:szCs w:val="20"/>
          <w:lang w:val="es-ES"/>
        </w:rPr>
        <w:t xml:space="preserve"> y otros</w:t>
      </w:r>
      <w:r w:rsidR="00A54F9F" w:rsidRPr="0032068E">
        <w:rPr>
          <w:rFonts w:ascii="Verdana" w:hAnsi="Verdana" w:cs="Verdana"/>
          <w:sz w:val="20"/>
          <w:szCs w:val="20"/>
          <w:lang w:val="es-ES"/>
        </w:rPr>
        <w:t xml:space="preserve">, </w:t>
      </w:r>
      <w:r w:rsidR="00F03031" w:rsidRPr="0032068E">
        <w:rPr>
          <w:rFonts w:ascii="Verdana" w:hAnsi="Verdana" w:cs="Verdana"/>
          <w:sz w:val="20"/>
          <w:szCs w:val="20"/>
          <w:lang w:val="es-ES"/>
        </w:rPr>
        <w:t>en sus respectivas observaciones al Informe del Ministerio Público</w:t>
      </w:r>
      <w:r w:rsidR="009041CF">
        <w:rPr>
          <w:rFonts w:ascii="Verdana" w:hAnsi="Verdana" w:cs="Verdana"/>
          <w:sz w:val="20"/>
          <w:szCs w:val="20"/>
          <w:lang w:val="es-ES"/>
        </w:rPr>
        <w:t xml:space="preserve"> </w:t>
      </w:r>
      <w:r w:rsidR="009041CF" w:rsidRPr="009041CF">
        <w:rPr>
          <w:rFonts w:ascii="Verdana" w:hAnsi="Verdana" w:cs="Verdana"/>
          <w:sz w:val="20"/>
          <w:szCs w:val="20"/>
          <w:lang w:val="es-ES"/>
        </w:rPr>
        <w:t>de mayo de 2014</w:t>
      </w:r>
      <w:r w:rsidR="008C3903" w:rsidRPr="0032068E">
        <w:rPr>
          <w:rFonts w:ascii="Verdana" w:hAnsi="Verdana" w:cs="Verdana"/>
          <w:sz w:val="20"/>
          <w:szCs w:val="20"/>
          <w:lang w:val="es-ES"/>
        </w:rPr>
        <w:t>,</w:t>
      </w:r>
      <w:r w:rsidR="00F03031" w:rsidRPr="0032068E">
        <w:rPr>
          <w:rFonts w:ascii="Verdana" w:hAnsi="Verdana" w:cs="Verdana"/>
          <w:sz w:val="20"/>
          <w:szCs w:val="20"/>
          <w:lang w:val="es-ES"/>
        </w:rPr>
        <w:t xml:space="preserve"> </w:t>
      </w:r>
      <w:r w:rsidR="00A54F9F" w:rsidRPr="0032068E">
        <w:rPr>
          <w:rFonts w:ascii="Verdana" w:hAnsi="Verdana" w:cs="Verdana"/>
          <w:sz w:val="20"/>
          <w:szCs w:val="20"/>
          <w:lang w:val="es-ES"/>
        </w:rPr>
        <w:t>coinciden en referirse, en general, a la falta de avance y resultado</w:t>
      </w:r>
      <w:r w:rsidR="00D23A7A">
        <w:rPr>
          <w:rFonts w:ascii="Verdana" w:hAnsi="Verdana" w:cs="Verdana"/>
          <w:sz w:val="20"/>
          <w:szCs w:val="20"/>
          <w:lang w:val="es-ES"/>
        </w:rPr>
        <w:t>s</w:t>
      </w:r>
      <w:r w:rsidR="00A54F9F" w:rsidRPr="0032068E">
        <w:rPr>
          <w:rFonts w:ascii="Verdana" w:hAnsi="Verdana" w:cs="Verdana"/>
          <w:sz w:val="20"/>
          <w:szCs w:val="20"/>
          <w:lang w:val="es-ES"/>
        </w:rPr>
        <w:t xml:space="preserve"> en la</w:t>
      </w:r>
      <w:r w:rsidR="008C3903" w:rsidRPr="0032068E">
        <w:rPr>
          <w:rFonts w:ascii="Verdana" w:hAnsi="Verdana" w:cs="Verdana"/>
          <w:sz w:val="20"/>
          <w:szCs w:val="20"/>
          <w:lang w:val="es-ES"/>
        </w:rPr>
        <w:t>s</w:t>
      </w:r>
      <w:r w:rsidR="00A54F9F" w:rsidRPr="0032068E">
        <w:rPr>
          <w:rFonts w:ascii="Verdana" w:hAnsi="Verdana" w:cs="Verdana"/>
          <w:sz w:val="20"/>
          <w:szCs w:val="20"/>
          <w:lang w:val="es-ES"/>
        </w:rPr>
        <w:t xml:space="preserve"> investigaci</w:t>
      </w:r>
      <w:r w:rsidR="008C3903" w:rsidRPr="0032068E">
        <w:rPr>
          <w:rFonts w:ascii="Verdana" w:hAnsi="Verdana" w:cs="Verdana"/>
          <w:sz w:val="20"/>
          <w:szCs w:val="20"/>
          <w:lang w:val="es-ES"/>
        </w:rPr>
        <w:t>ones penales</w:t>
      </w:r>
      <w:r w:rsidR="00A54F9F" w:rsidRPr="0032068E">
        <w:rPr>
          <w:rFonts w:ascii="Verdana" w:hAnsi="Verdana" w:cs="Verdana"/>
          <w:sz w:val="20"/>
          <w:szCs w:val="20"/>
          <w:lang w:val="es-ES"/>
        </w:rPr>
        <w:t xml:space="preserve">, </w:t>
      </w:r>
      <w:r w:rsidR="00314E95" w:rsidRPr="0032068E">
        <w:rPr>
          <w:rFonts w:ascii="Verdana" w:hAnsi="Verdana" w:cs="Verdana"/>
          <w:sz w:val="20"/>
          <w:szCs w:val="20"/>
          <w:lang w:val="es-ES"/>
        </w:rPr>
        <w:t>y afirmaron que la información es la misma que se ha comunicado a la Corte</w:t>
      </w:r>
      <w:r w:rsidR="00A54F9F" w:rsidRPr="0032068E">
        <w:rPr>
          <w:rFonts w:ascii="Verdana" w:hAnsi="Verdana" w:cs="Verdana"/>
          <w:sz w:val="20"/>
          <w:szCs w:val="20"/>
          <w:lang w:val="es-ES"/>
        </w:rPr>
        <w:t xml:space="preserve"> </w:t>
      </w:r>
      <w:r w:rsidR="00376BF9" w:rsidRPr="0032068E">
        <w:rPr>
          <w:rFonts w:ascii="Verdana" w:hAnsi="Verdana" w:cs="Verdana"/>
          <w:sz w:val="20"/>
          <w:szCs w:val="20"/>
          <w:lang w:val="es-ES"/>
        </w:rPr>
        <w:t>en los años 2009, 2010 y 2011</w:t>
      </w:r>
      <w:r w:rsidR="00D23A7A">
        <w:rPr>
          <w:rFonts w:ascii="Verdana" w:hAnsi="Verdana" w:cs="Verdana"/>
          <w:sz w:val="20"/>
          <w:szCs w:val="20"/>
          <w:lang w:val="es-ES"/>
        </w:rPr>
        <w:t xml:space="preserve">. </w:t>
      </w:r>
      <w:r w:rsidR="00A54F9F" w:rsidRPr="0032068E">
        <w:rPr>
          <w:rFonts w:ascii="Verdana" w:hAnsi="Verdana"/>
          <w:sz w:val="20"/>
          <w:szCs w:val="20"/>
          <w:lang w:val="es-ES"/>
        </w:rPr>
        <w:t>En particular, los representantes del caso</w:t>
      </w:r>
      <w:r w:rsidR="00A54F9F" w:rsidRPr="0032068E">
        <w:rPr>
          <w:rFonts w:ascii="Verdana" w:hAnsi="Verdana"/>
          <w:i/>
          <w:sz w:val="20"/>
          <w:szCs w:val="20"/>
          <w:lang w:val="es-ES"/>
        </w:rPr>
        <w:t xml:space="preserve"> Maritza Urrutia, Masacre Plan de Sánchez y Tiu Tojín </w:t>
      </w:r>
      <w:r w:rsidR="00EA5802">
        <w:rPr>
          <w:rFonts w:ascii="Verdana" w:hAnsi="Verdana"/>
          <w:sz w:val="20"/>
          <w:szCs w:val="20"/>
          <w:lang w:val="es-ES"/>
        </w:rPr>
        <w:t>afirmaron</w:t>
      </w:r>
      <w:r w:rsidR="00A54F9F" w:rsidRPr="0032068E">
        <w:rPr>
          <w:rFonts w:ascii="Verdana" w:hAnsi="Verdana"/>
          <w:sz w:val="20"/>
          <w:szCs w:val="20"/>
          <w:lang w:val="es-ES"/>
        </w:rPr>
        <w:t xml:space="preserve"> que</w:t>
      </w:r>
      <w:r w:rsidR="00EA5802">
        <w:rPr>
          <w:rFonts w:ascii="Verdana" w:hAnsi="Verdana"/>
          <w:sz w:val="20"/>
          <w:szCs w:val="20"/>
          <w:lang w:val="es-ES"/>
        </w:rPr>
        <w:t>,</w:t>
      </w:r>
      <w:r w:rsidR="00A54F9F" w:rsidRPr="0032068E">
        <w:rPr>
          <w:rFonts w:ascii="Verdana" w:hAnsi="Verdana"/>
          <w:sz w:val="20"/>
          <w:szCs w:val="20"/>
          <w:lang w:val="es-ES"/>
        </w:rPr>
        <w:t xml:space="preserve"> “en su mayoría, las diligencias de investigación […] no han sido realizadas ni enfocadas a identificar a los agentes del Estado responsables de los hechos perpetrados en contra de la víctima”</w:t>
      </w:r>
      <w:r w:rsidR="00A54F9F" w:rsidRPr="00691EDC">
        <w:rPr>
          <w:rFonts w:ascii="Verdana" w:hAnsi="Verdana"/>
          <w:sz w:val="20"/>
          <w:szCs w:val="20"/>
          <w:lang w:val="es-ES"/>
        </w:rPr>
        <w:t>,</w:t>
      </w:r>
      <w:r w:rsidR="00A54F9F" w:rsidRPr="0032068E">
        <w:rPr>
          <w:rFonts w:ascii="Verdana" w:hAnsi="Verdana"/>
          <w:b/>
          <w:sz w:val="20"/>
          <w:szCs w:val="20"/>
          <w:lang w:val="es-ES"/>
        </w:rPr>
        <w:t xml:space="preserve"> </w:t>
      </w:r>
      <w:r w:rsidR="00A54F9F" w:rsidRPr="0032068E">
        <w:rPr>
          <w:rFonts w:ascii="Verdana" w:hAnsi="Verdana"/>
          <w:sz w:val="20"/>
          <w:szCs w:val="20"/>
          <w:lang w:val="es-ES"/>
        </w:rPr>
        <w:t xml:space="preserve">y manifestaron que “resulta totalmente lamentable, preocupante e inaceptable que las mismas instituciones del Estado obligadas a colaborar en la investigación la obstaculicen al negarse a [entregar la información]”. Los representantes en los casos </w:t>
      </w:r>
      <w:r w:rsidR="00A54F9F" w:rsidRPr="0032068E">
        <w:rPr>
          <w:rFonts w:ascii="Verdana" w:hAnsi="Verdana"/>
          <w:i/>
          <w:sz w:val="20"/>
          <w:szCs w:val="20"/>
          <w:lang w:val="es-ES"/>
        </w:rPr>
        <w:t>Bámaca Velásquez</w:t>
      </w:r>
      <w:r w:rsidR="00A54F9F" w:rsidRPr="0032068E">
        <w:rPr>
          <w:rFonts w:ascii="Verdana" w:hAnsi="Verdana"/>
          <w:sz w:val="20"/>
          <w:szCs w:val="20"/>
          <w:lang w:val="es-ES"/>
        </w:rPr>
        <w:t xml:space="preserve">, </w:t>
      </w:r>
      <w:r w:rsidR="00A54F9F" w:rsidRPr="0032068E">
        <w:rPr>
          <w:rFonts w:ascii="Verdana" w:hAnsi="Verdana"/>
          <w:i/>
          <w:sz w:val="20"/>
          <w:szCs w:val="20"/>
          <w:lang w:val="es-ES"/>
        </w:rPr>
        <w:t>Masacre de las Dos Erres</w:t>
      </w:r>
      <w:r w:rsidR="00A54F9F" w:rsidRPr="0032068E">
        <w:rPr>
          <w:rFonts w:ascii="Verdana" w:hAnsi="Verdana"/>
          <w:sz w:val="20"/>
          <w:szCs w:val="20"/>
          <w:lang w:val="es-ES"/>
        </w:rPr>
        <w:t xml:space="preserve">, </w:t>
      </w:r>
      <w:r w:rsidR="00A54F9F" w:rsidRPr="0032068E">
        <w:rPr>
          <w:rFonts w:ascii="Verdana" w:hAnsi="Verdana"/>
          <w:i/>
          <w:sz w:val="20"/>
          <w:szCs w:val="20"/>
          <w:lang w:val="es-ES"/>
        </w:rPr>
        <w:t>Molina Theissen</w:t>
      </w:r>
      <w:r w:rsidR="00A54F9F" w:rsidRPr="0032068E">
        <w:rPr>
          <w:rFonts w:ascii="Verdana" w:hAnsi="Verdana"/>
          <w:sz w:val="20"/>
          <w:szCs w:val="20"/>
          <w:lang w:val="es-ES"/>
        </w:rPr>
        <w:t xml:space="preserve"> y </w:t>
      </w:r>
      <w:r w:rsidR="00A54F9F" w:rsidRPr="0032068E">
        <w:rPr>
          <w:rFonts w:ascii="Verdana" w:hAnsi="Verdana"/>
          <w:i/>
          <w:sz w:val="20"/>
          <w:szCs w:val="20"/>
          <w:lang w:val="es-ES"/>
        </w:rPr>
        <w:t>Niños de la Calle</w:t>
      </w:r>
      <w:r w:rsidR="00A54F9F" w:rsidRPr="0032068E">
        <w:rPr>
          <w:rFonts w:ascii="Verdana" w:hAnsi="Verdana"/>
          <w:sz w:val="20"/>
          <w:szCs w:val="20"/>
          <w:lang w:val="es-ES"/>
        </w:rPr>
        <w:t xml:space="preserve"> concluyeron que “se mantienen una serie de obstáculos estructurales que limitan las posibilidades de que Guatemala cumpla verdaderamente con su obligación de investigar las graves violaciones de derechos humanos cometidos en los casos que nos ocupan”. </w:t>
      </w:r>
    </w:p>
    <w:p w14:paraId="494F9811" w14:textId="77777777" w:rsidR="00A54F9F" w:rsidRPr="0032068E" w:rsidRDefault="00A54F9F" w:rsidP="00A54F9F">
      <w:pPr>
        <w:spacing w:after="0" w:line="240" w:lineRule="auto"/>
        <w:ind w:right="1444"/>
        <w:contextualSpacing/>
        <w:jc w:val="both"/>
        <w:rPr>
          <w:rFonts w:ascii="Verdana" w:hAnsi="Verdana" w:cs="Verdana"/>
          <w:sz w:val="20"/>
          <w:szCs w:val="20"/>
          <w:lang w:val="es-ES"/>
        </w:rPr>
      </w:pPr>
    </w:p>
    <w:p w14:paraId="7517FEC2" w14:textId="61545E57" w:rsidR="00A54F9F" w:rsidRPr="004A4EF4" w:rsidRDefault="00F03031" w:rsidP="00A54F9F">
      <w:pPr>
        <w:numPr>
          <w:ilvl w:val="0"/>
          <w:numId w:val="2"/>
        </w:numPr>
        <w:spacing w:after="0" w:line="240" w:lineRule="auto"/>
        <w:ind w:left="0" w:right="1444" w:firstLine="0"/>
        <w:contextualSpacing/>
        <w:jc w:val="both"/>
        <w:rPr>
          <w:rFonts w:ascii="Verdana" w:hAnsi="Verdana" w:cs="Verdana"/>
          <w:sz w:val="20"/>
          <w:szCs w:val="20"/>
          <w:lang w:val="es-ES"/>
        </w:rPr>
      </w:pPr>
      <w:bookmarkStart w:id="36" w:name="_Ref437964602"/>
      <w:r w:rsidRPr="004A4EF4">
        <w:rPr>
          <w:rFonts w:ascii="Verdana" w:hAnsi="Verdana" w:cs="Verdana"/>
          <w:sz w:val="20"/>
          <w:szCs w:val="20"/>
          <w:lang w:val="es-ES"/>
        </w:rPr>
        <w:t>L</w:t>
      </w:r>
      <w:r w:rsidR="00A54F9F" w:rsidRPr="004A4EF4">
        <w:rPr>
          <w:rFonts w:ascii="Verdana" w:hAnsi="Verdana" w:cs="Verdana"/>
          <w:sz w:val="20"/>
          <w:szCs w:val="20"/>
          <w:lang w:val="es-ES"/>
        </w:rPr>
        <w:t xml:space="preserve">os representantes de los casos </w:t>
      </w:r>
      <w:r w:rsidR="00A54F9F" w:rsidRPr="004A4EF4">
        <w:rPr>
          <w:rFonts w:ascii="Verdana" w:hAnsi="Verdana" w:cs="Verdana"/>
          <w:i/>
          <w:sz w:val="20"/>
          <w:szCs w:val="20"/>
          <w:lang w:val="es-ES"/>
        </w:rPr>
        <w:t>Maritza Urrutia</w:t>
      </w:r>
      <w:r w:rsidR="00A54F9F" w:rsidRPr="004A4EF4">
        <w:rPr>
          <w:rFonts w:ascii="Verdana" w:hAnsi="Verdana" w:cs="Verdana"/>
          <w:sz w:val="20"/>
          <w:szCs w:val="20"/>
          <w:lang w:val="es-ES"/>
        </w:rPr>
        <w:t>,</w:t>
      </w:r>
      <w:r w:rsidR="00EA5802">
        <w:rPr>
          <w:rFonts w:ascii="Verdana" w:hAnsi="Verdana" w:cs="Verdana"/>
          <w:i/>
          <w:sz w:val="20"/>
          <w:szCs w:val="20"/>
          <w:lang w:val="es-ES"/>
        </w:rPr>
        <w:t xml:space="preserve"> Masacre Plan de Sánchez</w:t>
      </w:r>
      <w:r w:rsidR="00A54F9F" w:rsidRPr="004A4EF4">
        <w:rPr>
          <w:rFonts w:ascii="Verdana" w:hAnsi="Verdana" w:cs="Verdana"/>
          <w:sz w:val="20"/>
          <w:szCs w:val="20"/>
          <w:lang w:val="es-ES"/>
        </w:rPr>
        <w:t xml:space="preserve"> y </w:t>
      </w:r>
      <w:r w:rsidR="00A54F9F" w:rsidRPr="004A4EF4">
        <w:rPr>
          <w:rFonts w:ascii="Verdana" w:hAnsi="Verdana" w:cs="Verdana"/>
          <w:i/>
          <w:sz w:val="20"/>
          <w:szCs w:val="20"/>
          <w:lang w:val="es-ES"/>
        </w:rPr>
        <w:t>Tiu Tojín,</w:t>
      </w:r>
      <w:r w:rsidR="00A54F9F" w:rsidRPr="004A4EF4">
        <w:rPr>
          <w:rFonts w:ascii="Verdana" w:hAnsi="Verdana" w:cs="Verdana"/>
          <w:sz w:val="20"/>
          <w:szCs w:val="20"/>
          <w:lang w:val="es-ES"/>
        </w:rPr>
        <w:t xml:space="preserve"> por un</w:t>
      </w:r>
      <w:r w:rsidR="0078527B">
        <w:rPr>
          <w:rFonts w:ascii="Verdana" w:hAnsi="Verdana" w:cs="Verdana"/>
          <w:sz w:val="20"/>
          <w:szCs w:val="20"/>
          <w:lang w:val="es-ES"/>
        </w:rPr>
        <w:t>a</w:t>
      </w:r>
      <w:r w:rsidR="00A54F9F" w:rsidRPr="004A4EF4">
        <w:rPr>
          <w:rFonts w:ascii="Verdana" w:hAnsi="Verdana" w:cs="Verdana"/>
          <w:sz w:val="20"/>
          <w:szCs w:val="20"/>
          <w:lang w:val="es-ES"/>
        </w:rPr>
        <w:t xml:space="preserve"> parte, los de los casos </w:t>
      </w:r>
      <w:r w:rsidR="00A54F9F" w:rsidRPr="004A4EF4">
        <w:rPr>
          <w:rFonts w:ascii="Verdana" w:hAnsi="Verdana" w:cs="Verdana"/>
          <w:i/>
          <w:sz w:val="20"/>
          <w:szCs w:val="20"/>
          <w:lang w:val="es-ES"/>
        </w:rPr>
        <w:t>Bámaca Velásquez, Masacre de</w:t>
      </w:r>
      <w:r w:rsidR="00EA5802">
        <w:rPr>
          <w:rFonts w:ascii="Verdana" w:hAnsi="Verdana" w:cs="Verdana"/>
          <w:i/>
          <w:sz w:val="20"/>
          <w:szCs w:val="20"/>
          <w:lang w:val="es-ES"/>
        </w:rPr>
        <w:t xml:space="preserve"> las Dos Erres, Molina Theissen</w:t>
      </w:r>
      <w:r w:rsidR="00A54F9F" w:rsidRPr="004A4EF4">
        <w:rPr>
          <w:rFonts w:ascii="Verdana" w:hAnsi="Verdana" w:cs="Verdana"/>
          <w:i/>
          <w:sz w:val="20"/>
          <w:szCs w:val="20"/>
          <w:lang w:val="es-ES"/>
        </w:rPr>
        <w:t xml:space="preserve"> </w:t>
      </w:r>
      <w:r w:rsidR="00A54F9F" w:rsidRPr="004A4EF4">
        <w:rPr>
          <w:rFonts w:ascii="Verdana" w:hAnsi="Verdana" w:cs="Verdana"/>
          <w:sz w:val="20"/>
          <w:szCs w:val="20"/>
          <w:lang w:val="es-ES"/>
        </w:rPr>
        <w:t xml:space="preserve">y </w:t>
      </w:r>
      <w:r w:rsidR="00A54F9F" w:rsidRPr="004A4EF4">
        <w:rPr>
          <w:rFonts w:ascii="Verdana" w:hAnsi="Verdana" w:cs="Verdana"/>
          <w:i/>
          <w:sz w:val="20"/>
          <w:szCs w:val="20"/>
          <w:lang w:val="es-ES"/>
        </w:rPr>
        <w:t xml:space="preserve">Villagrán Morales, </w:t>
      </w:r>
      <w:r w:rsidR="00A54F9F" w:rsidRPr="004A4EF4">
        <w:rPr>
          <w:rFonts w:ascii="Verdana" w:hAnsi="Verdana" w:cs="Verdana"/>
          <w:sz w:val="20"/>
          <w:szCs w:val="20"/>
          <w:lang w:val="es-ES"/>
        </w:rPr>
        <w:t xml:space="preserve">por otra parte, y el del caso </w:t>
      </w:r>
      <w:r w:rsidR="00A54F9F" w:rsidRPr="004A4EF4">
        <w:rPr>
          <w:rFonts w:ascii="Verdana" w:hAnsi="Verdana" w:cs="Verdana"/>
          <w:i/>
          <w:sz w:val="20"/>
          <w:szCs w:val="20"/>
          <w:lang w:val="es-ES"/>
        </w:rPr>
        <w:t>Chitay Nech</w:t>
      </w:r>
      <w:r w:rsidR="00A54F9F" w:rsidRPr="004A4EF4">
        <w:rPr>
          <w:rFonts w:ascii="Verdana" w:hAnsi="Verdana" w:cs="Verdana"/>
          <w:sz w:val="20"/>
          <w:szCs w:val="20"/>
          <w:lang w:val="es-ES"/>
        </w:rPr>
        <w:t>,</w:t>
      </w:r>
      <w:r w:rsidR="00A54F9F" w:rsidRPr="004A4EF4">
        <w:rPr>
          <w:rFonts w:ascii="Verdana" w:hAnsi="Verdana"/>
          <w:sz w:val="20"/>
          <w:szCs w:val="20"/>
          <w:lang w:val="es-ES"/>
        </w:rPr>
        <w:t xml:space="preserve"> presentaron escritos de observaciones a</w:t>
      </w:r>
      <w:r w:rsidR="00340848" w:rsidRPr="004A4EF4">
        <w:rPr>
          <w:rFonts w:ascii="Verdana" w:hAnsi="Verdana"/>
          <w:sz w:val="20"/>
          <w:szCs w:val="20"/>
          <w:lang w:val="es-ES"/>
        </w:rPr>
        <w:t xml:space="preserve"> </w:t>
      </w:r>
      <w:r w:rsidR="00A54F9F" w:rsidRPr="004A4EF4">
        <w:rPr>
          <w:rFonts w:ascii="Verdana" w:hAnsi="Verdana"/>
          <w:sz w:val="20"/>
          <w:szCs w:val="20"/>
          <w:lang w:val="es-ES"/>
        </w:rPr>
        <w:t>l</w:t>
      </w:r>
      <w:r w:rsidR="00340848" w:rsidRPr="004A4EF4">
        <w:rPr>
          <w:rFonts w:ascii="Verdana" w:hAnsi="Verdana"/>
          <w:sz w:val="20"/>
          <w:szCs w:val="20"/>
          <w:lang w:val="es-ES"/>
        </w:rPr>
        <w:t>os</w:t>
      </w:r>
      <w:r w:rsidR="00A54F9F" w:rsidRPr="004A4EF4">
        <w:rPr>
          <w:rFonts w:ascii="Verdana" w:hAnsi="Verdana"/>
          <w:sz w:val="20"/>
          <w:szCs w:val="20"/>
          <w:lang w:val="es-ES"/>
        </w:rPr>
        <w:t xml:space="preserve"> informe</w:t>
      </w:r>
      <w:r w:rsidR="0078527B">
        <w:rPr>
          <w:rFonts w:ascii="Verdana" w:hAnsi="Verdana"/>
          <w:sz w:val="20"/>
          <w:szCs w:val="20"/>
          <w:lang w:val="es-ES"/>
        </w:rPr>
        <w:t>s</w:t>
      </w:r>
      <w:r w:rsidR="00A54F9F" w:rsidRPr="004A4EF4">
        <w:rPr>
          <w:rFonts w:ascii="Verdana" w:hAnsi="Verdana"/>
          <w:sz w:val="20"/>
          <w:szCs w:val="20"/>
          <w:lang w:val="es-ES"/>
        </w:rPr>
        <w:t xml:space="preserve"> del Estado de 2015.</w:t>
      </w:r>
      <w:r w:rsidR="00A54F9F" w:rsidRPr="004A4EF4">
        <w:rPr>
          <w:rFonts w:ascii="Verdana" w:hAnsi="Verdana"/>
          <w:b/>
          <w:sz w:val="20"/>
          <w:szCs w:val="20"/>
          <w:lang w:val="es-ES"/>
        </w:rPr>
        <w:t xml:space="preserve"> </w:t>
      </w:r>
      <w:r w:rsidR="00A54F9F" w:rsidRPr="004A4EF4">
        <w:rPr>
          <w:rFonts w:ascii="Verdana" w:hAnsi="Verdana"/>
          <w:sz w:val="20"/>
          <w:szCs w:val="20"/>
          <w:lang w:val="es-ES"/>
        </w:rPr>
        <w:t xml:space="preserve">En dichas observaciones, los representantes de los casos </w:t>
      </w:r>
      <w:r w:rsidR="00A54F9F" w:rsidRPr="004A4EF4">
        <w:rPr>
          <w:rFonts w:ascii="Verdana" w:hAnsi="Verdana"/>
          <w:i/>
          <w:sz w:val="20"/>
          <w:szCs w:val="20"/>
          <w:lang w:val="es-ES"/>
        </w:rPr>
        <w:t>Bámaca Velásquez, Masacre de las Dos Erres, Molina Theissen, Villagrán Morales y Mack Chang</w:t>
      </w:r>
      <w:r w:rsidR="00A54F9F" w:rsidRPr="004A4EF4">
        <w:rPr>
          <w:rFonts w:ascii="Verdana" w:hAnsi="Verdana"/>
          <w:sz w:val="20"/>
          <w:szCs w:val="20"/>
          <w:lang w:val="es-ES"/>
        </w:rPr>
        <w:t xml:space="preserve"> </w:t>
      </w:r>
      <w:r w:rsidR="006F221D">
        <w:rPr>
          <w:rFonts w:ascii="Verdana" w:hAnsi="Verdana"/>
          <w:sz w:val="20"/>
          <w:szCs w:val="20"/>
          <w:lang w:val="es-ES"/>
        </w:rPr>
        <w:t>indicaron</w:t>
      </w:r>
      <w:r w:rsidR="00A54F9F" w:rsidRPr="004A4EF4">
        <w:rPr>
          <w:rFonts w:ascii="Verdana" w:hAnsi="Verdana"/>
          <w:sz w:val="20"/>
          <w:szCs w:val="20"/>
          <w:lang w:val="es-ES"/>
        </w:rPr>
        <w:t xml:space="preserve"> que “el común denominador respecto de todos los casos expuestos es la falta de avances sustantivos en la investigación y la ausencia de voluntad del Estado de Guatemala por cumplir con su obligación de investigar e informar al respecto” y que “la persistencia de los obstáculos estructurales que han sido evidenciados en diversas ocasiones […] limitan las posibilidades de que Guatemala cumpla verdaderamente con su obligación de investigar las graves violaciones de derechos humanos cometidas”.</w:t>
      </w:r>
      <w:r w:rsidR="00340848" w:rsidRPr="004A4EF4">
        <w:rPr>
          <w:rFonts w:ascii="Verdana" w:hAnsi="Verdana"/>
          <w:sz w:val="20"/>
          <w:szCs w:val="20"/>
          <w:lang w:val="es-ES"/>
        </w:rPr>
        <w:t xml:space="preserve"> Estos últimos representantes, en su escrito de observaciones de noviembre de 2015</w:t>
      </w:r>
      <w:r w:rsidR="006F221D">
        <w:rPr>
          <w:rFonts w:ascii="Verdana" w:hAnsi="Verdana"/>
          <w:sz w:val="20"/>
          <w:szCs w:val="20"/>
          <w:lang w:val="es-ES"/>
        </w:rPr>
        <w:t>,</w:t>
      </w:r>
      <w:r w:rsidR="00340848" w:rsidRPr="004A4EF4">
        <w:rPr>
          <w:rFonts w:ascii="Verdana" w:hAnsi="Verdana"/>
          <w:sz w:val="20"/>
          <w:szCs w:val="20"/>
          <w:lang w:val="es-ES"/>
        </w:rPr>
        <w:t xml:space="preserve"> solicitaron que se declare “que el Estado ha incumplido con su obligación de identificar, juzgar y, en su caso, sancionar a los responsables de [dichos] casos”.</w:t>
      </w:r>
      <w:bookmarkEnd w:id="36"/>
      <w:r w:rsidR="00770AD1">
        <w:rPr>
          <w:rFonts w:ascii="Verdana" w:hAnsi="Verdana"/>
          <w:sz w:val="20"/>
          <w:szCs w:val="20"/>
          <w:lang w:val="es-ES"/>
        </w:rPr>
        <w:t xml:space="preserve"> Ni los representantes del caso </w:t>
      </w:r>
      <w:r w:rsidR="00770AD1">
        <w:rPr>
          <w:rFonts w:ascii="Verdana" w:hAnsi="Verdana"/>
          <w:i/>
          <w:sz w:val="20"/>
          <w:szCs w:val="20"/>
          <w:lang w:val="es-ES"/>
        </w:rPr>
        <w:t xml:space="preserve">Panel Blanca </w:t>
      </w:r>
      <w:r w:rsidR="00770AD1">
        <w:rPr>
          <w:rFonts w:ascii="Verdana" w:hAnsi="Verdana"/>
          <w:sz w:val="20"/>
          <w:szCs w:val="20"/>
          <w:lang w:val="es-ES"/>
        </w:rPr>
        <w:t xml:space="preserve"> ni del caso </w:t>
      </w:r>
      <w:r w:rsidR="00770AD1">
        <w:rPr>
          <w:rFonts w:ascii="Verdana" w:hAnsi="Verdana"/>
          <w:i/>
          <w:sz w:val="20"/>
          <w:szCs w:val="20"/>
          <w:lang w:val="es-ES"/>
        </w:rPr>
        <w:t>Blake</w:t>
      </w:r>
      <w:r w:rsidR="00770AD1">
        <w:rPr>
          <w:rFonts w:ascii="Verdana" w:hAnsi="Verdana"/>
          <w:sz w:val="20"/>
          <w:szCs w:val="20"/>
          <w:lang w:val="es-ES"/>
        </w:rPr>
        <w:t xml:space="preserve"> presentaron observaciones a los informes estatales.</w:t>
      </w:r>
    </w:p>
    <w:p w14:paraId="290E4DBD" w14:textId="77777777" w:rsidR="004A4EF4" w:rsidRPr="004A4EF4" w:rsidRDefault="004A4EF4" w:rsidP="004A4EF4">
      <w:pPr>
        <w:spacing w:after="0" w:line="240" w:lineRule="auto"/>
        <w:ind w:right="1444"/>
        <w:contextualSpacing/>
        <w:jc w:val="both"/>
        <w:rPr>
          <w:rFonts w:ascii="Verdana" w:hAnsi="Verdana" w:cs="Verdana"/>
          <w:sz w:val="20"/>
          <w:szCs w:val="20"/>
          <w:lang w:val="es-ES"/>
        </w:rPr>
      </w:pPr>
    </w:p>
    <w:p w14:paraId="34954E7D" w14:textId="36C3261C" w:rsidR="00A54F9F" w:rsidRPr="0032068E" w:rsidRDefault="00176A1D" w:rsidP="00A54F9F">
      <w:pPr>
        <w:numPr>
          <w:ilvl w:val="0"/>
          <w:numId w:val="2"/>
        </w:numPr>
        <w:spacing w:after="0" w:line="240" w:lineRule="auto"/>
        <w:ind w:left="0" w:right="1444" w:firstLine="0"/>
        <w:contextualSpacing/>
        <w:jc w:val="both"/>
        <w:rPr>
          <w:rFonts w:ascii="Verdana" w:hAnsi="Verdana" w:cs="Verdana"/>
          <w:sz w:val="20"/>
          <w:szCs w:val="20"/>
          <w:lang w:val="es-ES"/>
        </w:rPr>
      </w:pPr>
      <w:r w:rsidRPr="0032068E">
        <w:rPr>
          <w:rFonts w:ascii="Verdana" w:hAnsi="Verdana" w:cs="Verdana"/>
          <w:sz w:val="20"/>
          <w:szCs w:val="20"/>
          <w:lang w:val="es-ES"/>
        </w:rPr>
        <w:t>E</w:t>
      </w:r>
      <w:r w:rsidR="00A54F9F" w:rsidRPr="0032068E">
        <w:rPr>
          <w:rFonts w:ascii="Verdana" w:hAnsi="Verdana" w:cs="Verdana"/>
          <w:sz w:val="20"/>
          <w:szCs w:val="20"/>
          <w:lang w:val="es-ES"/>
        </w:rPr>
        <w:t xml:space="preserve">n la audiencia de 2014, la </w:t>
      </w:r>
      <w:r w:rsidR="00A54F9F" w:rsidRPr="0032068E">
        <w:rPr>
          <w:rFonts w:ascii="Verdana" w:hAnsi="Verdana" w:cs="Verdana"/>
          <w:i/>
          <w:sz w:val="20"/>
          <w:szCs w:val="20"/>
          <w:lang w:val="es-ES"/>
        </w:rPr>
        <w:t>Comisión</w:t>
      </w:r>
      <w:r w:rsidR="00A54F9F" w:rsidRPr="0032068E">
        <w:rPr>
          <w:rFonts w:ascii="Verdana" w:hAnsi="Verdana" w:cs="Verdana"/>
          <w:sz w:val="20"/>
          <w:szCs w:val="20"/>
          <w:lang w:val="es-ES"/>
        </w:rPr>
        <w:t xml:space="preserve"> manifestó su preocupación principalmente por varios obstáculos estructurales, </w:t>
      </w:r>
      <w:r w:rsidR="00A54F9F" w:rsidRPr="0032068E">
        <w:rPr>
          <w:rFonts w:ascii="Verdana" w:hAnsi="Verdana" w:cs="Verdana"/>
          <w:i/>
          <w:sz w:val="20"/>
          <w:szCs w:val="20"/>
          <w:lang w:val="es-ES"/>
        </w:rPr>
        <w:t>inter alia</w:t>
      </w:r>
      <w:r w:rsidR="00A54F9F" w:rsidRPr="0032068E">
        <w:rPr>
          <w:rFonts w:ascii="Verdana" w:hAnsi="Verdana" w:cs="Verdana"/>
          <w:sz w:val="20"/>
          <w:szCs w:val="20"/>
          <w:lang w:val="es-ES"/>
        </w:rPr>
        <w:t xml:space="preserve">: a) “la falta de intervención efectiva de la policía nacional, civil o entidades correspondientes para ejecutar las órdenes de captura”; b) “la </w:t>
      </w:r>
      <w:r w:rsidR="00A54F9F" w:rsidRPr="0032068E">
        <w:rPr>
          <w:rFonts w:ascii="Verdana" w:hAnsi="Verdana" w:cs="Verdana"/>
          <w:sz w:val="20"/>
          <w:szCs w:val="20"/>
          <w:lang w:val="es-ES"/>
        </w:rPr>
        <w:lastRenderedPageBreak/>
        <w:t xml:space="preserve">existencia de obstáculos por parte del Ministerio de la Defensa para la presentación de la información que la ha sido requerida por la Fiscalía”; c) </w:t>
      </w:r>
      <w:r w:rsidR="00A54F9F" w:rsidRPr="0032068E">
        <w:rPr>
          <w:rFonts w:ascii="Verdana" w:hAnsi="Verdana" w:cs="Verdana"/>
          <w:sz w:val="20"/>
          <w:szCs w:val="20"/>
          <w:lang w:val="es-CR"/>
        </w:rPr>
        <w:t xml:space="preserve">“la posible aplicación de figuras como la caducidad, la prescripción o el sobreseimiento con base en el transcurso de los períodos de inactividad, negligencia y la falta de prueba atribuibles al propio Estado”; </w:t>
      </w:r>
      <w:r w:rsidR="00A73CC1" w:rsidRPr="0032068E">
        <w:rPr>
          <w:rFonts w:ascii="Verdana" w:hAnsi="Verdana" w:cs="Verdana"/>
          <w:sz w:val="20"/>
          <w:szCs w:val="20"/>
          <w:lang w:val="es-CR"/>
        </w:rPr>
        <w:t xml:space="preserve">y </w:t>
      </w:r>
      <w:r w:rsidR="00A54F9F" w:rsidRPr="0032068E">
        <w:rPr>
          <w:rFonts w:ascii="Verdana" w:hAnsi="Verdana" w:cs="Verdana"/>
          <w:sz w:val="20"/>
          <w:szCs w:val="20"/>
          <w:lang w:val="es-CR"/>
        </w:rPr>
        <w:t>d) la situación de independencia de los operadores de justicia. Solicit</w:t>
      </w:r>
      <w:r w:rsidR="00094464" w:rsidRPr="0032068E">
        <w:rPr>
          <w:rFonts w:ascii="Verdana" w:hAnsi="Verdana" w:cs="Verdana"/>
          <w:sz w:val="20"/>
          <w:szCs w:val="20"/>
          <w:lang w:val="es-CR"/>
        </w:rPr>
        <w:t>ó</w:t>
      </w:r>
      <w:r w:rsidR="00A54F9F" w:rsidRPr="0032068E">
        <w:rPr>
          <w:rFonts w:ascii="Verdana" w:hAnsi="Verdana" w:cs="Verdana"/>
          <w:sz w:val="20"/>
          <w:szCs w:val="20"/>
          <w:lang w:val="es-CR"/>
        </w:rPr>
        <w:t xml:space="preserve"> a la Corte que se pronuncie, </w:t>
      </w:r>
      <w:r w:rsidR="00A54F9F" w:rsidRPr="0032068E">
        <w:rPr>
          <w:rFonts w:ascii="Verdana" w:hAnsi="Verdana" w:cs="Verdana"/>
          <w:i/>
          <w:sz w:val="20"/>
          <w:szCs w:val="20"/>
          <w:lang w:val="es-CR"/>
        </w:rPr>
        <w:t>inter alia</w:t>
      </w:r>
      <w:r w:rsidR="00A54F9F" w:rsidRPr="0032068E">
        <w:rPr>
          <w:rFonts w:ascii="Verdana" w:hAnsi="Verdana" w:cs="Verdana"/>
          <w:sz w:val="20"/>
          <w:szCs w:val="20"/>
          <w:lang w:val="es-CR"/>
        </w:rPr>
        <w:t>,</w:t>
      </w:r>
      <w:r w:rsidR="006F221D">
        <w:rPr>
          <w:rFonts w:ascii="Verdana" w:hAnsi="Verdana" w:cs="Verdana"/>
          <w:sz w:val="20"/>
          <w:szCs w:val="20"/>
          <w:lang w:val="es-CR"/>
        </w:rPr>
        <w:t xml:space="preserve"> sobre:</w:t>
      </w:r>
      <w:r w:rsidR="00A54F9F" w:rsidRPr="0032068E">
        <w:rPr>
          <w:rFonts w:ascii="Verdana" w:hAnsi="Verdana" w:cs="Verdana"/>
          <w:sz w:val="20"/>
          <w:szCs w:val="20"/>
          <w:lang w:val="es-CR"/>
        </w:rPr>
        <w:t xml:space="preserve"> a) “el deber innegociable del Estado  de investigar y sancionar graves violaciones y el consecuente deber de eliminar el efecto disuasivo que tiene la ley de reconciliación nacional en las investigaciones y la demora en los procesos incursos”; b) “el deber del Estado de garantizar la independencia del poder judicial y el deber de las jueces y juezas de realizar un control de convencionalidad para que toda disposición de amnistía no se aplique a graves violaciones a los derechos humanos”; c) “el deber de colaboración que tiene</w:t>
      </w:r>
      <w:r w:rsidR="00465B3C">
        <w:rPr>
          <w:rFonts w:ascii="Verdana" w:hAnsi="Verdana" w:cs="Verdana"/>
          <w:sz w:val="20"/>
          <w:szCs w:val="20"/>
          <w:lang w:val="es-CR"/>
        </w:rPr>
        <w:t>n</w:t>
      </w:r>
      <w:r w:rsidR="00A54F9F" w:rsidRPr="0032068E">
        <w:rPr>
          <w:rFonts w:ascii="Verdana" w:hAnsi="Verdana" w:cs="Verdana"/>
          <w:sz w:val="20"/>
          <w:szCs w:val="20"/>
          <w:lang w:val="es-CR"/>
        </w:rPr>
        <w:t xml:space="preserve"> en el Estado todas las entidades estatales con especial énfasis en el Ministerio de Defensa y la policía nacional”; </w:t>
      </w:r>
      <w:r w:rsidR="00A1035E" w:rsidRPr="0032068E">
        <w:rPr>
          <w:rFonts w:ascii="Verdana" w:hAnsi="Verdana" w:cs="Verdana"/>
          <w:sz w:val="20"/>
          <w:szCs w:val="20"/>
          <w:lang w:val="es-CR"/>
        </w:rPr>
        <w:t xml:space="preserve">y </w:t>
      </w:r>
      <w:r w:rsidR="00A54F9F" w:rsidRPr="0032068E">
        <w:rPr>
          <w:rFonts w:ascii="Verdana" w:hAnsi="Verdana" w:cs="Verdana"/>
          <w:sz w:val="20"/>
          <w:szCs w:val="20"/>
          <w:lang w:val="es-CR"/>
        </w:rPr>
        <w:t xml:space="preserve">d) “la importancia que la unidad de casos especiales de conflictos armados tenga recursos suficientes para su funcionamiento adecuado”. </w:t>
      </w:r>
    </w:p>
    <w:p w14:paraId="5EF0EE8B" w14:textId="77777777" w:rsidR="00A54F9F" w:rsidRPr="0032068E" w:rsidRDefault="00A54F9F" w:rsidP="00A54F9F">
      <w:pPr>
        <w:spacing w:after="0" w:line="240" w:lineRule="auto"/>
        <w:ind w:right="1444"/>
        <w:contextualSpacing/>
        <w:jc w:val="both"/>
        <w:rPr>
          <w:rFonts w:ascii="Verdana" w:hAnsi="Verdana" w:cs="Verdana"/>
          <w:sz w:val="20"/>
          <w:szCs w:val="20"/>
          <w:lang w:val="es-ES"/>
        </w:rPr>
      </w:pPr>
    </w:p>
    <w:p w14:paraId="5BFC423B" w14:textId="25C65EF4" w:rsidR="00A54F9F" w:rsidRPr="0032068E" w:rsidRDefault="00A54F9F" w:rsidP="00A54F9F">
      <w:pPr>
        <w:pStyle w:val="ListParagraph"/>
        <w:numPr>
          <w:ilvl w:val="0"/>
          <w:numId w:val="2"/>
        </w:numPr>
        <w:spacing w:after="0" w:line="240" w:lineRule="auto"/>
        <w:ind w:left="0" w:right="1444" w:firstLine="0"/>
        <w:jc w:val="both"/>
        <w:rPr>
          <w:rFonts w:ascii="Verdana" w:hAnsi="Verdana" w:cs="Verdana"/>
          <w:sz w:val="20"/>
          <w:lang w:val="es-ES"/>
        </w:rPr>
      </w:pPr>
      <w:r w:rsidRPr="0032068E">
        <w:rPr>
          <w:rFonts w:ascii="Verdana" w:hAnsi="Verdana" w:cs="Verdana"/>
          <w:sz w:val="20"/>
          <w:szCs w:val="20"/>
          <w:lang w:val="es-ES"/>
        </w:rPr>
        <w:t>Por otra parte, en su escrito de</w:t>
      </w:r>
      <w:r w:rsidR="00E07F91" w:rsidRPr="0032068E">
        <w:rPr>
          <w:rFonts w:ascii="Verdana" w:hAnsi="Verdana" w:cs="Verdana"/>
          <w:sz w:val="20"/>
          <w:szCs w:val="20"/>
          <w:lang w:val="es-ES"/>
        </w:rPr>
        <w:t xml:space="preserve"> agosto de</w:t>
      </w:r>
      <w:r w:rsidRPr="0032068E">
        <w:rPr>
          <w:rFonts w:ascii="Verdana" w:hAnsi="Verdana" w:cs="Verdana"/>
          <w:sz w:val="20"/>
          <w:szCs w:val="20"/>
          <w:lang w:val="es-ES"/>
        </w:rPr>
        <w:t xml:space="preserve"> 2015 en el cual presentó sus observaciones al </w:t>
      </w:r>
      <w:r w:rsidR="00A1035E" w:rsidRPr="0032068E">
        <w:rPr>
          <w:rFonts w:ascii="Verdana" w:hAnsi="Verdana" w:cs="Verdana"/>
          <w:sz w:val="20"/>
          <w:szCs w:val="20"/>
          <w:lang w:val="es-ES"/>
        </w:rPr>
        <w:t>i</w:t>
      </w:r>
      <w:r w:rsidRPr="0032068E">
        <w:rPr>
          <w:rFonts w:ascii="Verdana" w:hAnsi="Verdana" w:cs="Verdana"/>
          <w:sz w:val="20"/>
          <w:szCs w:val="20"/>
          <w:lang w:val="es-ES"/>
        </w:rPr>
        <w:t xml:space="preserve">nforme </w:t>
      </w:r>
      <w:r w:rsidR="00EA5802">
        <w:rPr>
          <w:rFonts w:ascii="Verdana" w:hAnsi="Verdana" w:cs="Verdana"/>
          <w:sz w:val="20"/>
          <w:szCs w:val="20"/>
          <w:lang w:val="es-ES"/>
        </w:rPr>
        <w:t xml:space="preserve">de Guatemala </w:t>
      </w:r>
      <w:r w:rsidRPr="0032068E">
        <w:rPr>
          <w:rFonts w:ascii="Verdana" w:hAnsi="Verdana" w:cs="Verdana"/>
          <w:sz w:val="20"/>
          <w:szCs w:val="20"/>
          <w:lang w:val="es-ES"/>
        </w:rPr>
        <w:t xml:space="preserve">correspondiente a los casos </w:t>
      </w:r>
      <w:r w:rsidRPr="0032068E">
        <w:rPr>
          <w:rFonts w:ascii="Verdana" w:hAnsi="Verdana" w:cs="Verdana"/>
          <w:i/>
          <w:sz w:val="20"/>
          <w:szCs w:val="20"/>
          <w:lang w:val="es-ES"/>
        </w:rPr>
        <w:t xml:space="preserve">Blake, Niños de la Calle, Bámaca Velásquez, Maritza Urrutia, Masacre Plan de Sánchez, Molina Theissen, Carpio Nicolle, Tiu Tojin, Masacre de las Dos Erres, Chitay Nech </w:t>
      </w:r>
      <w:r w:rsidRPr="0032068E">
        <w:rPr>
          <w:rFonts w:ascii="Verdana" w:hAnsi="Verdana" w:cs="Verdana"/>
          <w:sz w:val="20"/>
          <w:szCs w:val="20"/>
          <w:lang w:val="es-ES"/>
        </w:rPr>
        <w:t xml:space="preserve">y </w:t>
      </w:r>
      <w:r w:rsidRPr="0032068E">
        <w:rPr>
          <w:rFonts w:ascii="Verdana" w:hAnsi="Verdana" w:cs="Verdana"/>
          <w:i/>
          <w:sz w:val="20"/>
          <w:szCs w:val="20"/>
          <w:lang w:val="es-ES"/>
        </w:rPr>
        <w:t>Mack Chang,</w:t>
      </w:r>
      <w:r w:rsidRPr="0032068E">
        <w:rPr>
          <w:rFonts w:ascii="Verdana" w:hAnsi="Verdana" w:cs="Verdana"/>
          <w:sz w:val="20"/>
          <w:szCs w:val="20"/>
          <w:lang w:val="es-ES"/>
        </w:rPr>
        <w:t xml:space="preserve"> la Comisión señaló que “en la totalidad de los casos el Estado no presentó información que se traduzca en avances</w:t>
      </w:r>
      <w:r w:rsidR="006F221D">
        <w:rPr>
          <w:rFonts w:ascii="Verdana" w:hAnsi="Verdana" w:cs="Verdana"/>
          <w:sz w:val="20"/>
          <w:szCs w:val="20"/>
          <w:lang w:val="es-ES"/>
        </w:rPr>
        <w:t>”</w:t>
      </w:r>
      <w:r w:rsidRPr="0032068E">
        <w:rPr>
          <w:rFonts w:ascii="Verdana" w:hAnsi="Verdana" w:cs="Verdana"/>
          <w:sz w:val="20"/>
          <w:szCs w:val="20"/>
          <w:lang w:val="es-ES"/>
        </w:rPr>
        <w:t>, y que la información proporcionada “sólo incluye algunas diligencias aisladas durante los últimos años, en muchos casos, sin indicarse su contenido, pertinencia, o bien, los resultados</w:t>
      </w:r>
      <w:r w:rsidR="003964E3" w:rsidRPr="0032068E">
        <w:rPr>
          <w:rFonts w:ascii="Verdana" w:hAnsi="Verdana" w:cs="Verdana"/>
          <w:sz w:val="20"/>
          <w:szCs w:val="20"/>
          <w:lang w:val="es-ES"/>
        </w:rPr>
        <w:t>”</w:t>
      </w:r>
      <w:r w:rsidRPr="0032068E">
        <w:rPr>
          <w:rFonts w:ascii="Verdana" w:hAnsi="Verdana" w:cs="Verdana"/>
          <w:sz w:val="20"/>
          <w:szCs w:val="20"/>
          <w:lang w:val="es-ES"/>
        </w:rPr>
        <w:t xml:space="preserve">. Además, </w:t>
      </w:r>
      <w:r w:rsidR="003964E3" w:rsidRPr="0032068E">
        <w:rPr>
          <w:rFonts w:ascii="Verdana" w:hAnsi="Verdana" w:cs="Verdana"/>
          <w:sz w:val="20"/>
          <w:szCs w:val="20"/>
          <w:lang w:val="es-ES"/>
        </w:rPr>
        <w:t>sostuvo que “</w:t>
      </w:r>
      <w:r w:rsidRPr="0032068E">
        <w:rPr>
          <w:rFonts w:ascii="Verdana" w:hAnsi="Verdana" w:cs="Verdana"/>
          <w:sz w:val="20"/>
          <w:szCs w:val="20"/>
          <w:lang w:val="es-ES"/>
        </w:rPr>
        <w:t xml:space="preserve">en muchos casos el Estado no proporcionó las fechas en que tales diligencias efectivamente habrían sido practicadas”. </w:t>
      </w:r>
      <w:r w:rsidR="00FD591B" w:rsidRPr="0032068E">
        <w:rPr>
          <w:rFonts w:ascii="Verdana" w:hAnsi="Verdana" w:cs="Verdana"/>
          <w:sz w:val="20"/>
          <w:szCs w:val="20"/>
          <w:lang w:val="es-ES"/>
        </w:rPr>
        <w:t>L</w:t>
      </w:r>
      <w:r w:rsidRPr="0032068E">
        <w:rPr>
          <w:rFonts w:ascii="Verdana" w:hAnsi="Verdana" w:cs="Verdana"/>
          <w:sz w:val="20"/>
          <w:szCs w:val="20"/>
          <w:lang w:val="es-ES"/>
        </w:rPr>
        <w:t xml:space="preserve">a Comisión </w:t>
      </w:r>
      <w:r w:rsidR="00FD591B" w:rsidRPr="0032068E">
        <w:rPr>
          <w:rFonts w:ascii="Verdana" w:hAnsi="Verdana" w:cs="Verdana"/>
          <w:sz w:val="20"/>
          <w:szCs w:val="20"/>
          <w:lang w:val="es-ES"/>
        </w:rPr>
        <w:t xml:space="preserve">añadió </w:t>
      </w:r>
      <w:r w:rsidRPr="0032068E">
        <w:rPr>
          <w:rFonts w:ascii="Verdana" w:hAnsi="Verdana" w:cs="Verdana"/>
          <w:sz w:val="20"/>
          <w:szCs w:val="20"/>
          <w:lang w:val="es-ES"/>
        </w:rPr>
        <w:t xml:space="preserve">que “en ninguno de los casos el Estado informó sobre las acciones encaminadas a superar los problemas enunciados por la Fiscal General de la Nación en su informe de 5 de mayo de 2014” y solicitó que el Estado informe sobre “la situación de los procesos y la totalidad de las personas vinculadas a éstos, una explicación sobre las líneas de investigación existentes, pertinencia y resultados obtenidos en las diligencias que son ordenadas” y que precise “la manera en que se garantiza la participación de los familiares y representantes en cada uno de estos procesos”. </w:t>
      </w:r>
    </w:p>
    <w:p w14:paraId="7785B54F" w14:textId="77777777" w:rsidR="00A54F9F" w:rsidRPr="0032068E" w:rsidRDefault="00A54F9F" w:rsidP="00A54F9F">
      <w:pPr>
        <w:pStyle w:val="ListParagraph"/>
        <w:rPr>
          <w:rFonts w:ascii="Verdana" w:hAnsi="Verdana" w:cs="Verdana"/>
          <w:sz w:val="20"/>
          <w:szCs w:val="20"/>
          <w:lang w:val="es-ES"/>
        </w:rPr>
      </w:pPr>
    </w:p>
    <w:p w14:paraId="5F899CC5" w14:textId="7DBA5CC8" w:rsidR="00A54F9F" w:rsidRPr="0032068E" w:rsidRDefault="00A54F9F" w:rsidP="00A54F9F">
      <w:pPr>
        <w:pStyle w:val="ListParagraph"/>
        <w:numPr>
          <w:ilvl w:val="0"/>
          <w:numId w:val="2"/>
        </w:numPr>
        <w:spacing w:after="0" w:line="240" w:lineRule="auto"/>
        <w:ind w:left="0" w:right="1444" w:firstLine="0"/>
        <w:jc w:val="both"/>
        <w:rPr>
          <w:rFonts w:ascii="Verdana" w:hAnsi="Verdana" w:cs="Verdana"/>
          <w:sz w:val="20"/>
          <w:lang w:val="es-ES"/>
        </w:rPr>
      </w:pPr>
      <w:bookmarkStart w:id="37" w:name="_Ref437963094"/>
      <w:bookmarkStart w:id="38" w:name="_Ref437011727"/>
      <w:r w:rsidRPr="0032068E">
        <w:rPr>
          <w:rFonts w:ascii="Verdana" w:hAnsi="Verdana" w:cs="Verdana"/>
          <w:sz w:val="20"/>
          <w:szCs w:val="20"/>
          <w:lang w:val="es-ES"/>
        </w:rPr>
        <w:t xml:space="preserve">Igualmente, en su escrito de observaciones al </w:t>
      </w:r>
      <w:r w:rsidR="00BB674B" w:rsidRPr="0032068E">
        <w:rPr>
          <w:rFonts w:ascii="Verdana" w:hAnsi="Verdana" w:cs="Verdana"/>
          <w:sz w:val="20"/>
          <w:szCs w:val="20"/>
          <w:lang w:val="es-ES"/>
        </w:rPr>
        <w:t>i</w:t>
      </w:r>
      <w:r w:rsidRPr="0032068E">
        <w:rPr>
          <w:rFonts w:ascii="Verdana" w:hAnsi="Verdana" w:cs="Verdana"/>
          <w:sz w:val="20"/>
          <w:szCs w:val="20"/>
          <w:lang w:val="es-ES"/>
        </w:rPr>
        <w:t xml:space="preserve">nforme presentado por el Estado en el caso </w:t>
      </w:r>
      <w:r w:rsidR="00F638B0">
        <w:rPr>
          <w:rFonts w:ascii="Verdana" w:hAnsi="Verdana" w:cs="Verdana"/>
          <w:i/>
          <w:sz w:val="20"/>
          <w:szCs w:val="20"/>
          <w:lang w:val="es-ES"/>
        </w:rPr>
        <w:t xml:space="preserve">Panel Blanca </w:t>
      </w:r>
      <w:r w:rsidR="00F638B0">
        <w:rPr>
          <w:rFonts w:ascii="Verdana" w:hAnsi="Verdana" w:cs="Verdana"/>
          <w:sz w:val="20"/>
          <w:szCs w:val="20"/>
          <w:lang w:val="es-ES"/>
        </w:rPr>
        <w:t>en abril de 2015</w:t>
      </w:r>
      <w:r w:rsidRPr="0032068E">
        <w:rPr>
          <w:rFonts w:ascii="Verdana" w:hAnsi="Verdana" w:cs="Verdana"/>
          <w:i/>
          <w:sz w:val="20"/>
          <w:szCs w:val="20"/>
          <w:lang w:val="es-ES"/>
        </w:rPr>
        <w:t>,</w:t>
      </w:r>
      <w:r w:rsidRPr="0032068E">
        <w:rPr>
          <w:rFonts w:ascii="Verdana" w:hAnsi="Verdana" w:cs="Verdana"/>
          <w:sz w:val="20"/>
          <w:szCs w:val="20"/>
          <w:lang w:val="es-ES"/>
        </w:rPr>
        <w:t xml:space="preserve"> la Comisión manifestó su preocupación porque </w:t>
      </w:r>
      <w:r w:rsidRPr="0032068E">
        <w:rPr>
          <w:rFonts w:ascii="Verdana" w:eastAsia="Calibri" w:hAnsi="Verdana" w:cs="Times New Roman"/>
          <w:sz w:val="20"/>
          <w:szCs w:val="20"/>
          <w:lang w:val="es-ES"/>
        </w:rPr>
        <w:t>“tras más de veintiséis años de ocurridos los hechos y más de quince años de emitirse la sentencia de reparaciones y costas, no se evidencia ningún tipo de avance en las investigaciones” y señaló que “[e]n vista de la situación de total impunidad, […] queda a la espera de información actualizada y detallada por parte del Estado sobre el estado de las investigaciones abiertas y un cronograma de las diligencias por realizar [</w:t>
      </w:r>
      <w:r w:rsidR="00366427" w:rsidRPr="0032068E">
        <w:rPr>
          <w:rFonts w:ascii="Verdana" w:eastAsia="Calibri" w:hAnsi="Verdana" w:cs="Times New Roman"/>
          <w:sz w:val="20"/>
          <w:szCs w:val="20"/>
          <w:lang w:val="es-ES"/>
        </w:rPr>
        <w:t>…</w:t>
      </w:r>
      <w:r w:rsidRPr="0032068E">
        <w:rPr>
          <w:rFonts w:ascii="Verdana" w:eastAsia="Calibri" w:hAnsi="Verdana" w:cs="Times New Roman"/>
          <w:sz w:val="20"/>
          <w:szCs w:val="20"/>
          <w:lang w:val="es-ES"/>
        </w:rPr>
        <w:t>] así como las medidas para permitir el acceso y capacidad de actuar de las víctimas y familiares en el proceso”.</w:t>
      </w:r>
      <w:bookmarkEnd w:id="37"/>
      <w:r w:rsidRPr="0032068E">
        <w:rPr>
          <w:rFonts w:ascii="Verdana" w:eastAsia="Calibri" w:hAnsi="Verdana" w:cs="Times New Roman"/>
          <w:sz w:val="20"/>
          <w:szCs w:val="20"/>
          <w:lang w:val="es-ES"/>
        </w:rPr>
        <w:t xml:space="preserve"> </w:t>
      </w:r>
      <w:bookmarkEnd w:id="38"/>
    </w:p>
    <w:p w14:paraId="3D50222F" w14:textId="77777777" w:rsidR="00876BED" w:rsidRDefault="00876BED" w:rsidP="00876BED">
      <w:pPr>
        <w:pStyle w:val="ListParagraph"/>
        <w:spacing w:after="0" w:line="240" w:lineRule="auto"/>
        <w:ind w:left="0" w:right="1444"/>
        <w:jc w:val="both"/>
        <w:rPr>
          <w:rFonts w:ascii="Verdana" w:hAnsi="Verdana" w:cs="Verdana"/>
          <w:sz w:val="20"/>
          <w:lang w:val="es-ES"/>
        </w:rPr>
      </w:pPr>
    </w:p>
    <w:p w14:paraId="48BF86C0" w14:textId="77777777" w:rsidR="006D2F53" w:rsidRDefault="006D2F53" w:rsidP="00876BED">
      <w:pPr>
        <w:pStyle w:val="ListParagraph"/>
        <w:spacing w:after="0" w:line="240" w:lineRule="auto"/>
        <w:ind w:left="0" w:right="1444"/>
        <w:jc w:val="both"/>
        <w:rPr>
          <w:rFonts w:ascii="Verdana" w:hAnsi="Verdana" w:cs="Verdana"/>
          <w:sz w:val="20"/>
          <w:lang w:val="es-ES"/>
        </w:rPr>
      </w:pPr>
    </w:p>
    <w:p w14:paraId="76A1402D" w14:textId="77777777" w:rsidR="006D2F53" w:rsidRDefault="006D2F53" w:rsidP="00876BED">
      <w:pPr>
        <w:pStyle w:val="ListParagraph"/>
        <w:spacing w:after="0" w:line="240" w:lineRule="auto"/>
        <w:ind w:left="0" w:right="1444"/>
        <w:jc w:val="both"/>
        <w:rPr>
          <w:rFonts w:ascii="Verdana" w:hAnsi="Verdana" w:cs="Verdana"/>
          <w:sz w:val="20"/>
          <w:lang w:val="es-ES"/>
        </w:rPr>
      </w:pPr>
    </w:p>
    <w:p w14:paraId="2327E2AE" w14:textId="77777777" w:rsidR="006D2F53" w:rsidRDefault="006D2F53" w:rsidP="00876BED">
      <w:pPr>
        <w:pStyle w:val="ListParagraph"/>
        <w:spacing w:after="0" w:line="240" w:lineRule="auto"/>
        <w:ind w:left="0" w:right="1444"/>
        <w:jc w:val="both"/>
        <w:rPr>
          <w:rFonts w:ascii="Verdana" w:hAnsi="Verdana" w:cs="Verdana"/>
          <w:sz w:val="20"/>
          <w:lang w:val="es-ES"/>
        </w:rPr>
      </w:pPr>
    </w:p>
    <w:p w14:paraId="4C2FE914" w14:textId="77777777" w:rsidR="006D2F53" w:rsidRDefault="006D2F53" w:rsidP="00876BED">
      <w:pPr>
        <w:pStyle w:val="ListParagraph"/>
        <w:spacing w:after="0" w:line="240" w:lineRule="auto"/>
        <w:ind w:left="0" w:right="1444"/>
        <w:jc w:val="both"/>
        <w:rPr>
          <w:rFonts w:ascii="Verdana" w:hAnsi="Verdana" w:cs="Verdana"/>
          <w:sz w:val="20"/>
          <w:lang w:val="es-ES"/>
        </w:rPr>
      </w:pPr>
    </w:p>
    <w:p w14:paraId="650D831F" w14:textId="77777777" w:rsidR="006D2F53" w:rsidRPr="0032068E" w:rsidRDefault="006D2F53" w:rsidP="00876BED">
      <w:pPr>
        <w:pStyle w:val="ListParagraph"/>
        <w:spacing w:after="0" w:line="240" w:lineRule="auto"/>
        <w:ind w:left="0" w:right="1444"/>
        <w:jc w:val="both"/>
        <w:rPr>
          <w:rFonts w:ascii="Verdana" w:hAnsi="Verdana" w:cs="Verdana"/>
          <w:sz w:val="20"/>
          <w:lang w:val="es-ES"/>
        </w:rPr>
      </w:pPr>
    </w:p>
    <w:p w14:paraId="463C3F23" w14:textId="51890A8E" w:rsidR="00F15D25" w:rsidRPr="0032068E" w:rsidRDefault="00674F46" w:rsidP="00AD5701">
      <w:pPr>
        <w:pStyle w:val="Heading2"/>
      </w:pPr>
      <w:bookmarkStart w:id="39" w:name="_Toc435778524"/>
      <w:bookmarkStart w:id="40" w:name="_Toc439248782"/>
      <w:r w:rsidRPr="0032068E">
        <w:t>C</w:t>
      </w:r>
      <w:r w:rsidR="00887647">
        <w:t>)</w:t>
      </w:r>
      <w:r w:rsidRPr="0032068E">
        <w:tab/>
      </w:r>
      <w:r w:rsidR="00BF3C9C" w:rsidRPr="0032068E">
        <w:t>Consideraciones de la Corte</w:t>
      </w:r>
      <w:bookmarkEnd w:id="39"/>
      <w:bookmarkEnd w:id="40"/>
    </w:p>
    <w:p w14:paraId="104F084B" w14:textId="77777777" w:rsidR="00C3267F" w:rsidRPr="0032068E" w:rsidRDefault="00C3267F" w:rsidP="00BF3C9C">
      <w:pPr>
        <w:spacing w:after="0" w:line="240" w:lineRule="auto"/>
        <w:ind w:left="360" w:right="1444"/>
        <w:contextualSpacing/>
        <w:jc w:val="both"/>
        <w:rPr>
          <w:rFonts w:ascii="Verdana" w:hAnsi="Verdana" w:cs="Verdana"/>
          <w:sz w:val="20"/>
          <w:lang w:val="es-ES"/>
        </w:rPr>
      </w:pPr>
    </w:p>
    <w:p w14:paraId="42FDF246" w14:textId="5FDED4E8" w:rsidR="00C3267F" w:rsidRPr="0032068E" w:rsidRDefault="00EA5802" w:rsidP="00C3267F">
      <w:pPr>
        <w:pStyle w:val="ListParagraph"/>
        <w:numPr>
          <w:ilvl w:val="0"/>
          <w:numId w:val="2"/>
        </w:numPr>
        <w:spacing w:after="0" w:line="240" w:lineRule="auto"/>
        <w:ind w:left="0" w:right="1444" w:firstLine="0"/>
        <w:jc w:val="both"/>
        <w:rPr>
          <w:rFonts w:ascii="Verdana" w:hAnsi="Verdana" w:cs="Verdana"/>
          <w:sz w:val="20"/>
          <w:lang w:val="es-ES"/>
        </w:rPr>
      </w:pPr>
      <w:bookmarkStart w:id="41" w:name="_Ref437846258"/>
      <w:r>
        <w:rPr>
          <w:rFonts w:ascii="Verdana" w:hAnsi="Verdana" w:cs="Verdana"/>
          <w:sz w:val="20"/>
          <w:lang w:val="es-ES"/>
        </w:rPr>
        <w:t>En las respectivas Sentencias, l</w:t>
      </w:r>
      <w:r w:rsidR="00C3267F" w:rsidRPr="0032068E">
        <w:rPr>
          <w:rFonts w:ascii="Verdana" w:hAnsi="Verdana" w:cs="Verdana"/>
          <w:sz w:val="20"/>
          <w:lang w:val="es-ES"/>
        </w:rPr>
        <w:t xml:space="preserve">a Corte </w:t>
      </w:r>
      <w:r>
        <w:rPr>
          <w:rFonts w:ascii="Verdana" w:hAnsi="Verdana" w:cs="Verdana"/>
          <w:sz w:val="20"/>
          <w:lang w:val="es-ES"/>
        </w:rPr>
        <w:t xml:space="preserve">constató que en estos </w:t>
      </w:r>
      <w:r w:rsidR="004306FF">
        <w:rPr>
          <w:rFonts w:ascii="Verdana" w:hAnsi="Verdana" w:cs="Verdana"/>
          <w:sz w:val="20"/>
          <w:lang w:val="es-ES"/>
        </w:rPr>
        <w:t>casos se configuró</w:t>
      </w:r>
      <w:r w:rsidR="00C3267F" w:rsidRPr="0032068E">
        <w:rPr>
          <w:rFonts w:ascii="Verdana" w:hAnsi="Verdana" w:cs="Verdana"/>
          <w:sz w:val="20"/>
          <w:lang w:val="es-ES"/>
        </w:rPr>
        <w:t xml:space="preserve"> la violación a las garantías judiciales y a la protección judicial</w:t>
      </w:r>
      <w:r w:rsidR="004306FF">
        <w:rPr>
          <w:rFonts w:ascii="Verdana" w:hAnsi="Verdana" w:cs="Verdana"/>
          <w:sz w:val="20"/>
          <w:lang w:val="es-ES"/>
        </w:rPr>
        <w:t xml:space="preserve">, </w:t>
      </w:r>
      <w:r>
        <w:rPr>
          <w:rFonts w:ascii="Verdana" w:hAnsi="Verdana" w:cs="Verdana"/>
          <w:sz w:val="20"/>
          <w:lang w:val="es-ES"/>
        </w:rPr>
        <w:t>entre otras causas</w:t>
      </w:r>
      <w:r w:rsidR="00C3267F" w:rsidRPr="0032068E">
        <w:rPr>
          <w:rFonts w:ascii="Verdana" w:hAnsi="Verdana" w:cs="Verdana"/>
          <w:sz w:val="20"/>
          <w:lang w:val="es-ES"/>
        </w:rPr>
        <w:t xml:space="preserve">, por la falta de debida diligencia en la realización de la investigación, las obstaculizaciones a la investigación, y demoras injustificadas en la </w:t>
      </w:r>
      <w:r>
        <w:rPr>
          <w:rFonts w:ascii="Verdana" w:hAnsi="Verdana" w:cs="Verdana"/>
          <w:sz w:val="20"/>
          <w:lang w:val="es-ES"/>
        </w:rPr>
        <w:t>realización de actos procesales</w:t>
      </w:r>
      <w:r w:rsidR="00C3267F" w:rsidRPr="0032068E">
        <w:rPr>
          <w:rFonts w:ascii="Verdana" w:hAnsi="Verdana" w:cs="Verdana"/>
          <w:sz w:val="20"/>
          <w:lang w:val="es-ES"/>
        </w:rPr>
        <w:t>.</w:t>
      </w:r>
      <w:bookmarkEnd w:id="41"/>
      <w:r w:rsidR="00C3267F" w:rsidRPr="0032068E">
        <w:rPr>
          <w:rFonts w:ascii="Verdana" w:hAnsi="Verdana" w:cs="Verdana"/>
          <w:sz w:val="20"/>
          <w:lang w:val="es-ES"/>
        </w:rPr>
        <w:t xml:space="preserve"> </w:t>
      </w:r>
    </w:p>
    <w:p w14:paraId="234436C8" w14:textId="77777777" w:rsidR="00C3267F" w:rsidRPr="0032068E" w:rsidRDefault="00C3267F" w:rsidP="00C3267F">
      <w:pPr>
        <w:spacing w:after="0" w:line="240" w:lineRule="auto"/>
        <w:ind w:right="1444"/>
        <w:jc w:val="both"/>
        <w:rPr>
          <w:rFonts w:ascii="Verdana" w:hAnsi="Verdana" w:cs="Verdana"/>
          <w:sz w:val="20"/>
          <w:lang w:val="es-ES"/>
        </w:rPr>
      </w:pPr>
    </w:p>
    <w:p w14:paraId="5F2CAE14" w14:textId="5491280C" w:rsidR="00F5671B" w:rsidRPr="0032068E" w:rsidRDefault="00F5671B" w:rsidP="00BE545C">
      <w:pPr>
        <w:pStyle w:val="ListParagraph"/>
        <w:numPr>
          <w:ilvl w:val="0"/>
          <w:numId w:val="2"/>
        </w:numPr>
        <w:spacing w:after="0" w:line="240" w:lineRule="auto"/>
        <w:ind w:left="0" w:right="1444" w:firstLine="0"/>
        <w:jc w:val="both"/>
        <w:rPr>
          <w:rFonts w:ascii="Verdana" w:hAnsi="Verdana"/>
          <w:sz w:val="20"/>
          <w:szCs w:val="20"/>
          <w:lang w:val="es-ES"/>
        </w:rPr>
      </w:pPr>
      <w:bookmarkStart w:id="42" w:name="_Ref437846304"/>
      <w:r w:rsidRPr="0032068E">
        <w:rPr>
          <w:rFonts w:ascii="Verdana" w:hAnsi="Verdana"/>
          <w:sz w:val="20"/>
          <w:szCs w:val="20"/>
          <w:lang w:val="es-ES"/>
        </w:rPr>
        <w:lastRenderedPageBreak/>
        <w:t xml:space="preserve">Al respecto, en las Sentencias de los </w:t>
      </w:r>
      <w:r w:rsidRPr="0032068E">
        <w:rPr>
          <w:rFonts w:ascii="Verdana" w:hAnsi="Verdana"/>
          <w:i/>
          <w:iCs/>
          <w:sz w:val="20"/>
          <w:szCs w:val="20"/>
          <w:lang w:val="es-ES"/>
        </w:rPr>
        <w:t>12 Casos</w:t>
      </w:r>
      <w:r w:rsidRPr="0032068E">
        <w:rPr>
          <w:rFonts w:ascii="Verdana" w:hAnsi="Verdana"/>
          <w:sz w:val="20"/>
          <w:szCs w:val="20"/>
          <w:lang w:val="es-ES"/>
        </w:rPr>
        <w:t>, la Corte desarrolló algunos criterios, que se desprenden de la obligación de investigar graves violaciones a derechos humanos como las que ocurrieron en dichos casos. Entre otras cuestiones, la Corte determinó que:</w:t>
      </w:r>
      <w:bookmarkEnd w:id="42"/>
    </w:p>
    <w:p w14:paraId="501F104E" w14:textId="77777777" w:rsidR="00F5671B" w:rsidRPr="0032068E" w:rsidRDefault="00F5671B" w:rsidP="00F5671B">
      <w:pPr>
        <w:spacing w:after="0" w:line="240" w:lineRule="auto"/>
        <w:ind w:right="1444"/>
        <w:contextualSpacing/>
        <w:jc w:val="both"/>
        <w:rPr>
          <w:rFonts w:ascii="Verdana" w:hAnsi="Verdana"/>
          <w:sz w:val="20"/>
          <w:szCs w:val="20"/>
          <w:lang w:val="es-ES"/>
        </w:rPr>
      </w:pPr>
    </w:p>
    <w:p w14:paraId="51670B8D" w14:textId="67873D54" w:rsidR="00831C52" w:rsidRPr="00E61BE1" w:rsidRDefault="00943D23" w:rsidP="00E61BE1">
      <w:pPr>
        <w:pStyle w:val="ListParagraph"/>
        <w:numPr>
          <w:ilvl w:val="0"/>
          <w:numId w:val="45"/>
        </w:numPr>
        <w:spacing w:after="0" w:line="240" w:lineRule="auto"/>
        <w:ind w:right="1444"/>
        <w:jc w:val="both"/>
        <w:rPr>
          <w:rFonts w:ascii="Verdana" w:hAnsi="Verdana"/>
          <w:sz w:val="20"/>
          <w:szCs w:val="20"/>
          <w:lang w:val="es-ES"/>
        </w:rPr>
      </w:pPr>
      <w:r>
        <w:rPr>
          <w:rFonts w:ascii="Verdana" w:hAnsi="Verdana"/>
          <w:sz w:val="20"/>
          <w:szCs w:val="20"/>
          <w:lang w:val="es-ES"/>
        </w:rPr>
        <w:t>e</w:t>
      </w:r>
      <w:r w:rsidR="00E61BE1" w:rsidRPr="001C696F">
        <w:rPr>
          <w:rFonts w:ascii="Verdana" w:hAnsi="Verdana"/>
          <w:sz w:val="20"/>
          <w:szCs w:val="20"/>
          <w:lang w:val="es-ES"/>
        </w:rPr>
        <w:t xml:space="preserve">l Estado </w:t>
      </w:r>
      <w:r w:rsidR="00E61BE1">
        <w:rPr>
          <w:rFonts w:ascii="Verdana" w:hAnsi="Verdana"/>
          <w:sz w:val="20"/>
          <w:szCs w:val="20"/>
          <w:lang w:val="es-ES"/>
        </w:rPr>
        <w:t>“</w:t>
      </w:r>
      <w:r w:rsidR="00E61BE1" w:rsidRPr="001C696F">
        <w:rPr>
          <w:rFonts w:ascii="Verdana" w:hAnsi="Verdana"/>
          <w:sz w:val="20"/>
          <w:szCs w:val="20"/>
          <w:lang w:val="es-ES"/>
        </w:rPr>
        <w:t>debe remover todos los obstáculos y mecanismos de hecho y derecho que mantienen</w:t>
      </w:r>
      <w:r w:rsidR="00E61BE1">
        <w:rPr>
          <w:rFonts w:ascii="Verdana" w:hAnsi="Verdana"/>
          <w:sz w:val="20"/>
          <w:szCs w:val="20"/>
          <w:lang w:val="es-ES"/>
        </w:rPr>
        <w:t xml:space="preserve"> […]</w:t>
      </w:r>
      <w:r w:rsidR="00E61BE1" w:rsidRPr="001C696F">
        <w:rPr>
          <w:rFonts w:ascii="Verdana" w:hAnsi="Verdana"/>
          <w:sz w:val="20"/>
          <w:szCs w:val="20"/>
          <w:lang w:val="es-ES"/>
        </w:rPr>
        <w:t xml:space="preserve"> la impunidad</w:t>
      </w:r>
      <w:r w:rsidR="00E61BE1">
        <w:rPr>
          <w:rFonts w:ascii="Verdana" w:hAnsi="Verdana"/>
          <w:sz w:val="20"/>
          <w:szCs w:val="20"/>
          <w:lang w:val="es-ES"/>
        </w:rPr>
        <w:t>”</w:t>
      </w:r>
      <w:r w:rsidR="00E61BE1" w:rsidRPr="001C696F">
        <w:rPr>
          <w:rFonts w:ascii="Verdana" w:hAnsi="Verdana"/>
          <w:sz w:val="20"/>
          <w:szCs w:val="20"/>
          <w:lang w:val="es-ES"/>
        </w:rPr>
        <w:t xml:space="preserve"> en los casos (Casos </w:t>
      </w:r>
      <w:r w:rsidR="00E61BE1" w:rsidRPr="001C696F">
        <w:rPr>
          <w:rFonts w:ascii="Verdana" w:hAnsi="Verdana"/>
          <w:i/>
          <w:sz w:val="20"/>
          <w:szCs w:val="20"/>
          <w:lang w:val="es-ES"/>
        </w:rPr>
        <w:t>Blake</w:t>
      </w:r>
      <w:r w:rsidR="00901323">
        <w:rPr>
          <w:rFonts w:ascii="Verdana" w:hAnsi="Verdana"/>
          <w:sz w:val="20"/>
          <w:szCs w:val="20"/>
          <w:lang w:val="es-ES"/>
        </w:rPr>
        <w:t>,</w:t>
      </w:r>
      <w:r w:rsidR="00E61BE1" w:rsidRPr="001C696F">
        <w:rPr>
          <w:rFonts w:ascii="Verdana" w:hAnsi="Verdana"/>
          <w:sz w:val="20"/>
          <w:szCs w:val="20"/>
          <w:lang w:val="es-ES"/>
        </w:rPr>
        <w:t xml:space="preserve"> </w:t>
      </w:r>
      <w:r w:rsidR="00E61BE1" w:rsidRPr="001C696F">
        <w:rPr>
          <w:rFonts w:ascii="Verdana" w:hAnsi="Verdana"/>
          <w:i/>
          <w:sz w:val="20"/>
          <w:szCs w:val="20"/>
          <w:lang w:val="es-ES"/>
        </w:rPr>
        <w:t>Bámaca Velásquez</w:t>
      </w:r>
      <w:r w:rsidR="00901323">
        <w:rPr>
          <w:rFonts w:ascii="Verdana" w:hAnsi="Verdana"/>
          <w:iCs/>
          <w:sz w:val="20"/>
          <w:szCs w:val="20"/>
          <w:lang w:val="es-ES"/>
        </w:rPr>
        <w:t>,</w:t>
      </w:r>
      <w:r w:rsidR="00E61BE1" w:rsidRPr="001C696F">
        <w:rPr>
          <w:rFonts w:ascii="Verdana" w:hAnsi="Verdana"/>
          <w:iCs/>
          <w:sz w:val="20"/>
          <w:szCs w:val="20"/>
          <w:lang w:val="es-ES"/>
        </w:rPr>
        <w:t xml:space="preserve"> </w:t>
      </w:r>
      <w:r w:rsidR="00E61BE1" w:rsidRPr="001C696F">
        <w:rPr>
          <w:rFonts w:ascii="Verdana" w:hAnsi="Verdana"/>
          <w:i/>
          <w:iCs/>
          <w:sz w:val="20"/>
          <w:szCs w:val="20"/>
          <w:lang w:val="es-ES"/>
        </w:rPr>
        <w:t>Panel Blanca</w:t>
      </w:r>
      <w:r w:rsidR="00E61BE1" w:rsidRPr="001C696F">
        <w:rPr>
          <w:rFonts w:ascii="Verdana" w:hAnsi="Verdana"/>
          <w:iCs/>
          <w:sz w:val="20"/>
          <w:szCs w:val="20"/>
          <w:lang w:val="es-ES"/>
        </w:rPr>
        <w:t>;</w:t>
      </w:r>
      <w:r w:rsidR="00E61BE1" w:rsidRPr="001C696F">
        <w:rPr>
          <w:rFonts w:ascii="Verdana" w:hAnsi="Verdana"/>
          <w:b/>
          <w:iCs/>
          <w:sz w:val="20"/>
          <w:szCs w:val="20"/>
          <w:lang w:val="es-ES"/>
        </w:rPr>
        <w:t xml:space="preserve"> </w:t>
      </w:r>
      <w:r w:rsidR="00E61BE1" w:rsidRPr="001C696F">
        <w:rPr>
          <w:rFonts w:ascii="Verdana" w:hAnsi="Verdana"/>
          <w:i/>
          <w:iCs/>
          <w:sz w:val="20"/>
          <w:szCs w:val="20"/>
          <w:lang w:val="es-ES"/>
        </w:rPr>
        <w:t>Molina Theissen</w:t>
      </w:r>
      <w:r w:rsidR="00E61BE1" w:rsidRPr="001C696F">
        <w:rPr>
          <w:rFonts w:ascii="Verdana" w:hAnsi="Verdana"/>
          <w:iCs/>
          <w:sz w:val="20"/>
          <w:szCs w:val="20"/>
          <w:lang w:val="es-ES"/>
        </w:rPr>
        <w:t>,</w:t>
      </w:r>
      <w:r w:rsidR="00E61BE1" w:rsidRPr="001C696F">
        <w:rPr>
          <w:rFonts w:ascii="Verdana" w:hAnsi="Verdana"/>
          <w:b/>
          <w:iCs/>
          <w:sz w:val="20"/>
          <w:szCs w:val="20"/>
          <w:lang w:val="es-ES"/>
        </w:rPr>
        <w:t xml:space="preserve"> </w:t>
      </w:r>
      <w:r w:rsidR="00E61BE1" w:rsidRPr="001C696F">
        <w:rPr>
          <w:rFonts w:ascii="Verdana" w:hAnsi="Verdana"/>
          <w:i/>
          <w:iCs/>
          <w:sz w:val="20"/>
          <w:szCs w:val="20"/>
          <w:lang w:val="es-ES"/>
        </w:rPr>
        <w:t>Mack Chang</w:t>
      </w:r>
      <w:r w:rsidR="00E61BE1" w:rsidRPr="001C696F">
        <w:rPr>
          <w:rFonts w:ascii="Verdana" w:hAnsi="Verdana"/>
          <w:iCs/>
          <w:sz w:val="20"/>
          <w:szCs w:val="20"/>
          <w:lang w:val="es-ES"/>
        </w:rPr>
        <w:t xml:space="preserve">, </w:t>
      </w:r>
      <w:r w:rsidR="00E61BE1" w:rsidRPr="001C696F">
        <w:rPr>
          <w:rFonts w:ascii="Verdana" w:hAnsi="Verdana"/>
          <w:i/>
          <w:iCs/>
          <w:sz w:val="20"/>
          <w:szCs w:val="20"/>
          <w:lang w:val="es-ES"/>
        </w:rPr>
        <w:t>Maritza Urrutia, Carpio Nicolle</w:t>
      </w:r>
      <w:r w:rsidR="00E61BE1" w:rsidRPr="001C696F">
        <w:rPr>
          <w:rFonts w:ascii="Verdana" w:hAnsi="Verdana"/>
          <w:iCs/>
          <w:sz w:val="20"/>
          <w:szCs w:val="20"/>
          <w:lang w:val="es-ES"/>
        </w:rPr>
        <w:t xml:space="preserve">, </w:t>
      </w:r>
      <w:r w:rsidR="00E61BE1" w:rsidRPr="001C696F">
        <w:rPr>
          <w:rFonts w:ascii="Verdana" w:hAnsi="Verdana"/>
          <w:i/>
          <w:iCs/>
          <w:sz w:val="20"/>
          <w:szCs w:val="20"/>
          <w:lang w:val="es-ES"/>
        </w:rPr>
        <w:t>Tiu Tojín</w:t>
      </w:r>
      <w:r w:rsidR="00E61BE1" w:rsidRPr="001C696F">
        <w:rPr>
          <w:rFonts w:ascii="Verdana" w:hAnsi="Verdana"/>
          <w:iCs/>
          <w:sz w:val="20"/>
          <w:szCs w:val="20"/>
          <w:lang w:val="es-ES"/>
        </w:rPr>
        <w:t xml:space="preserve">, </w:t>
      </w:r>
      <w:r w:rsidR="00E61BE1" w:rsidRPr="001C696F">
        <w:rPr>
          <w:rFonts w:ascii="Verdana" w:hAnsi="Verdana"/>
          <w:i/>
          <w:iCs/>
          <w:sz w:val="20"/>
          <w:szCs w:val="20"/>
          <w:lang w:val="es-ES"/>
        </w:rPr>
        <w:t>Masacre de las Dos Erres</w:t>
      </w:r>
      <w:r w:rsidR="00E61BE1" w:rsidRPr="001C696F">
        <w:rPr>
          <w:rFonts w:ascii="Verdana" w:hAnsi="Verdana"/>
          <w:sz w:val="20"/>
          <w:szCs w:val="20"/>
          <w:lang w:val="es-ES"/>
        </w:rPr>
        <w:t>,</w:t>
      </w:r>
      <w:r w:rsidR="00E61BE1" w:rsidRPr="001C696F">
        <w:rPr>
          <w:rFonts w:ascii="Verdana" w:hAnsi="Verdana"/>
          <w:i/>
          <w:sz w:val="20"/>
          <w:szCs w:val="20"/>
          <w:lang w:val="es-ES"/>
        </w:rPr>
        <w:t xml:space="preserve"> Chitay Nech</w:t>
      </w:r>
      <w:r w:rsidR="00E61BE1" w:rsidRPr="001C696F">
        <w:rPr>
          <w:rFonts w:ascii="Verdana" w:hAnsi="Verdana" w:cs="Arial"/>
          <w:sz w:val="20"/>
          <w:szCs w:val="20"/>
          <w:lang w:val="es-ES" w:eastAsia="ko-KR"/>
        </w:rPr>
        <w:t xml:space="preserve"> y </w:t>
      </w:r>
      <w:r w:rsidR="00E61BE1" w:rsidRPr="001C696F">
        <w:rPr>
          <w:rFonts w:ascii="Verdana" w:hAnsi="Verdana" w:cs="Arial"/>
          <w:i/>
          <w:sz w:val="20"/>
          <w:szCs w:val="20"/>
          <w:lang w:val="es-ES" w:eastAsia="ko-KR"/>
        </w:rPr>
        <w:t>Niños de la Calle</w:t>
      </w:r>
      <w:r w:rsidR="00E61BE1" w:rsidRPr="001C696F">
        <w:rPr>
          <w:rFonts w:ascii="Verdana" w:hAnsi="Verdana"/>
          <w:sz w:val="20"/>
          <w:szCs w:val="20"/>
          <w:lang w:val="es-ES"/>
        </w:rPr>
        <w:t>);</w:t>
      </w:r>
    </w:p>
    <w:p w14:paraId="169BA260" w14:textId="5EAF1301" w:rsidR="00F5671B" w:rsidRPr="00901323" w:rsidRDefault="00943D23" w:rsidP="00F5671B">
      <w:pPr>
        <w:pStyle w:val="ListParagraph"/>
        <w:numPr>
          <w:ilvl w:val="0"/>
          <w:numId w:val="45"/>
        </w:numPr>
        <w:spacing w:after="0" w:line="240" w:lineRule="auto"/>
        <w:ind w:right="1444"/>
        <w:jc w:val="both"/>
        <w:rPr>
          <w:rFonts w:ascii="Verdana" w:hAnsi="Verdana"/>
          <w:sz w:val="20"/>
          <w:szCs w:val="20"/>
          <w:lang w:val="es-CR"/>
        </w:rPr>
      </w:pPr>
      <w:r>
        <w:rPr>
          <w:rFonts w:ascii="Verdana" w:hAnsi="Verdana"/>
          <w:sz w:val="20"/>
          <w:szCs w:val="20"/>
          <w:lang w:val="es-ES"/>
        </w:rPr>
        <w:t>e</w:t>
      </w:r>
      <w:r w:rsidR="00F5671B" w:rsidRPr="0004124B">
        <w:rPr>
          <w:rFonts w:ascii="Verdana" w:hAnsi="Verdana"/>
          <w:sz w:val="20"/>
          <w:szCs w:val="20"/>
          <w:lang w:val="es-ES"/>
        </w:rPr>
        <w:t xml:space="preserve">l Estado </w:t>
      </w:r>
      <w:r w:rsidR="000A3646" w:rsidRPr="0004124B">
        <w:rPr>
          <w:rFonts w:ascii="Verdana" w:hAnsi="Verdana"/>
          <w:sz w:val="20"/>
          <w:szCs w:val="20"/>
          <w:lang w:val="es-ES"/>
        </w:rPr>
        <w:t>“</w:t>
      </w:r>
      <w:r w:rsidR="00F5671B" w:rsidRPr="0004124B">
        <w:rPr>
          <w:rFonts w:ascii="Verdana" w:hAnsi="Verdana"/>
          <w:sz w:val="20"/>
          <w:szCs w:val="20"/>
          <w:lang w:val="es-ES"/>
        </w:rPr>
        <w:t>deberá abstenerse de recurrir a figuras como la amnistía, la prescripción y el establecimiento de excluyentes de responsabilidad, así como a medidas que pretendan impedir la persecución penal o suprimir efectos de la sentencia condenatoria</w:t>
      </w:r>
      <w:r w:rsidR="000A3646" w:rsidRPr="0004124B">
        <w:rPr>
          <w:rFonts w:ascii="Verdana" w:hAnsi="Verdana"/>
          <w:sz w:val="20"/>
          <w:szCs w:val="20"/>
          <w:lang w:val="es-ES"/>
        </w:rPr>
        <w:t>”</w:t>
      </w:r>
      <w:r w:rsidR="00F5671B" w:rsidRPr="0004124B">
        <w:rPr>
          <w:rFonts w:ascii="Verdana" w:hAnsi="Verdana"/>
          <w:sz w:val="20"/>
          <w:szCs w:val="20"/>
          <w:lang w:val="es-ES"/>
        </w:rPr>
        <w:t xml:space="preserve">, en casos de </w:t>
      </w:r>
      <w:r w:rsidR="00C60686" w:rsidRPr="0004124B">
        <w:rPr>
          <w:rFonts w:ascii="Verdana" w:hAnsi="Verdana"/>
          <w:sz w:val="20"/>
          <w:szCs w:val="20"/>
          <w:lang w:val="es-ES"/>
        </w:rPr>
        <w:t>“</w:t>
      </w:r>
      <w:r w:rsidR="00F5671B" w:rsidRPr="0004124B">
        <w:rPr>
          <w:rFonts w:ascii="Verdana" w:hAnsi="Verdana"/>
          <w:sz w:val="20"/>
          <w:szCs w:val="20"/>
          <w:lang w:val="es-ES"/>
        </w:rPr>
        <w:t>las violaciones graves de los derechos humanos tales como la tortura, ejecuciones sumarias, extralegales o arbitrarias y las desapariciones forzadas</w:t>
      </w:r>
      <w:r w:rsidR="00C60686" w:rsidRPr="0004124B">
        <w:rPr>
          <w:rFonts w:ascii="Verdana" w:hAnsi="Verdana"/>
          <w:sz w:val="20"/>
          <w:szCs w:val="20"/>
          <w:lang w:val="es-ES"/>
        </w:rPr>
        <w:t>”</w:t>
      </w:r>
      <w:r w:rsidR="00F5671B" w:rsidRPr="0004124B">
        <w:rPr>
          <w:rFonts w:ascii="Verdana" w:hAnsi="Verdana"/>
          <w:sz w:val="20"/>
          <w:szCs w:val="20"/>
          <w:lang w:val="es-ES"/>
        </w:rPr>
        <w:t xml:space="preserve">. Además, el Estado no podrá </w:t>
      </w:r>
      <w:r w:rsidR="00C60686" w:rsidRPr="0004124B">
        <w:rPr>
          <w:rFonts w:ascii="Verdana" w:hAnsi="Verdana"/>
          <w:sz w:val="20"/>
          <w:szCs w:val="20"/>
          <w:lang w:val="es-ES"/>
        </w:rPr>
        <w:t>“</w:t>
      </w:r>
      <w:r w:rsidR="00F5671B" w:rsidRPr="0004124B">
        <w:rPr>
          <w:rFonts w:ascii="Verdana" w:hAnsi="Verdana"/>
          <w:sz w:val="20"/>
          <w:szCs w:val="20"/>
          <w:lang w:val="es-ES"/>
        </w:rPr>
        <w:t>invocar como eximente de su obligación de investigar y sancionar, las sentencias emanadas en procesos que no cumplieron los estándares de la Convención Americana</w:t>
      </w:r>
      <w:r w:rsidR="00C60686" w:rsidRPr="0004124B">
        <w:rPr>
          <w:rFonts w:ascii="Verdana" w:hAnsi="Verdana"/>
          <w:sz w:val="20"/>
          <w:szCs w:val="20"/>
          <w:lang w:val="es-ES"/>
        </w:rPr>
        <w:t>”</w:t>
      </w:r>
      <w:r w:rsidR="002147DD" w:rsidRPr="0004124B">
        <w:rPr>
          <w:rStyle w:val="FootnoteReference"/>
          <w:rFonts w:ascii="Verdana" w:hAnsi="Verdana"/>
          <w:sz w:val="20"/>
          <w:szCs w:val="20"/>
          <w:lang w:val="es-ES"/>
        </w:rPr>
        <w:footnoteReference w:id="41"/>
      </w:r>
      <w:r w:rsidR="00F5671B" w:rsidRPr="0004124B">
        <w:rPr>
          <w:rFonts w:ascii="Verdana" w:hAnsi="Verdana"/>
          <w:sz w:val="20"/>
          <w:szCs w:val="20"/>
          <w:lang w:val="es-ES"/>
        </w:rPr>
        <w:t xml:space="preserve"> (Casos </w:t>
      </w:r>
      <w:r w:rsidR="00F5671B" w:rsidRPr="0004124B">
        <w:rPr>
          <w:rFonts w:ascii="Verdana" w:hAnsi="Verdana"/>
          <w:i/>
          <w:iCs/>
          <w:sz w:val="20"/>
          <w:szCs w:val="20"/>
          <w:lang w:val="es-ES"/>
        </w:rPr>
        <w:t>Masacre Plan de Sánchez, Mack Chang</w:t>
      </w:r>
      <w:r w:rsidR="00F5671B" w:rsidRPr="0004124B">
        <w:rPr>
          <w:rFonts w:ascii="Verdana" w:hAnsi="Verdana"/>
          <w:sz w:val="20"/>
          <w:szCs w:val="20"/>
          <w:lang w:val="es-ES"/>
        </w:rPr>
        <w:t>,</w:t>
      </w:r>
      <w:r w:rsidR="00F5671B" w:rsidRPr="0004124B">
        <w:rPr>
          <w:rFonts w:ascii="Verdana" w:hAnsi="Verdana"/>
          <w:i/>
          <w:iCs/>
          <w:sz w:val="20"/>
          <w:szCs w:val="20"/>
          <w:lang w:val="es-ES"/>
        </w:rPr>
        <w:t xml:space="preserve"> </w:t>
      </w:r>
      <w:r w:rsidR="00F5671B" w:rsidRPr="00901323">
        <w:rPr>
          <w:rFonts w:ascii="Verdana" w:hAnsi="Verdana"/>
          <w:i/>
          <w:iCs/>
          <w:sz w:val="20"/>
          <w:szCs w:val="20"/>
          <w:lang w:val="es-ES"/>
        </w:rPr>
        <w:t xml:space="preserve">Molina </w:t>
      </w:r>
      <w:r w:rsidR="00AA6E2C" w:rsidRPr="00901323">
        <w:rPr>
          <w:rFonts w:ascii="Verdana" w:hAnsi="Verdana"/>
          <w:i/>
          <w:iCs/>
          <w:sz w:val="20"/>
          <w:szCs w:val="20"/>
          <w:lang w:val="es-ES"/>
        </w:rPr>
        <w:t>Theissen</w:t>
      </w:r>
      <w:r w:rsidR="00F5671B" w:rsidRPr="00901323">
        <w:rPr>
          <w:rFonts w:ascii="Verdana" w:hAnsi="Verdana"/>
          <w:i/>
          <w:iCs/>
          <w:sz w:val="20"/>
          <w:szCs w:val="20"/>
          <w:lang w:val="es-ES"/>
        </w:rPr>
        <w:t>, Carpio Nicolle</w:t>
      </w:r>
      <w:r w:rsidR="00F5671B" w:rsidRPr="00901323">
        <w:rPr>
          <w:rFonts w:ascii="Verdana" w:hAnsi="Verdana"/>
          <w:iCs/>
          <w:sz w:val="20"/>
          <w:szCs w:val="20"/>
          <w:lang w:val="es-ES"/>
        </w:rPr>
        <w:t>,</w:t>
      </w:r>
      <w:r w:rsidR="00F5671B" w:rsidRPr="00901323">
        <w:rPr>
          <w:rFonts w:ascii="Verdana" w:hAnsi="Verdana"/>
          <w:i/>
          <w:iCs/>
          <w:sz w:val="20"/>
          <w:szCs w:val="20"/>
          <w:lang w:val="es-ES"/>
        </w:rPr>
        <w:t xml:space="preserve"> Masacre de las Dos Erres</w:t>
      </w:r>
      <w:r w:rsidR="00F5671B" w:rsidRPr="00901323">
        <w:rPr>
          <w:rFonts w:ascii="Verdana" w:hAnsi="Verdana"/>
          <w:sz w:val="20"/>
          <w:szCs w:val="20"/>
          <w:lang w:val="es-ES"/>
        </w:rPr>
        <w:t xml:space="preserve">, y </w:t>
      </w:r>
      <w:r w:rsidR="00F5671B" w:rsidRPr="00901323">
        <w:rPr>
          <w:rFonts w:ascii="Verdana" w:hAnsi="Verdana"/>
          <w:i/>
          <w:sz w:val="20"/>
          <w:szCs w:val="20"/>
          <w:lang w:val="es-ES"/>
        </w:rPr>
        <w:t>Chitay Nech</w:t>
      </w:r>
      <w:r w:rsidR="00F5671B" w:rsidRPr="00901323">
        <w:rPr>
          <w:rFonts w:ascii="Verdana" w:hAnsi="Verdana"/>
          <w:sz w:val="20"/>
          <w:szCs w:val="20"/>
          <w:lang w:val="es-ES"/>
        </w:rPr>
        <w:t>) (</w:t>
      </w:r>
      <w:r w:rsidR="00F5671B" w:rsidRPr="00901323">
        <w:rPr>
          <w:rFonts w:ascii="Verdana" w:hAnsi="Verdana"/>
          <w:i/>
          <w:iCs/>
          <w:sz w:val="20"/>
          <w:szCs w:val="20"/>
          <w:lang w:val="es-ES"/>
        </w:rPr>
        <w:t>infra</w:t>
      </w:r>
      <w:r w:rsidR="00F5671B" w:rsidRPr="00901323">
        <w:rPr>
          <w:rFonts w:ascii="Verdana" w:hAnsi="Verdana"/>
          <w:sz w:val="20"/>
          <w:szCs w:val="20"/>
          <w:lang w:val="es-ES"/>
        </w:rPr>
        <w:t xml:space="preserve"> Considerando</w:t>
      </w:r>
      <w:r w:rsidR="004306FF" w:rsidRPr="00901323">
        <w:rPr>
          <w:rFonts w:ascii="Verdana" w:hAnsi="Verdana"/>
          <w:sz w:val="20"/>
          <w:szCs w:val="20"/>
          <w:lang w:val="es-ES"/>
        </w:rPr>
        <w:t>s</w:t>
      </w:r>
      <w:r w:rsidR="00901323" w:rsidRPr="00901323">
        <w:rPr>
          <w:rFonts w:ascii="Verdana" w:hAnsi="Verdana"/>
          <w:sz w:val="20"/>
          <w:szCs w:val="20"/>
          <w:lang w:val="es-ES"/>
        </w:rPr>
        <w:t xml:space="preserve"> 139 y 145</w:t>
      </w:r>
      <w:r w:rsidR="00F5671B" w:rsidRPr="00901323">
        <w:rPr>
          <w:rFonts w:ascii="Verdana" w:hAnsi="Verdana"/>
          <w:sz w:val="20"/>
          <w:szCs w:val="20"/>
          <w:lang w:val="es-CR"/>
        </w:rPr>
        <w:t>);</w:t>
      </w:r>
    </w:p>
    <w:p w14:paraId="4974745A" w14:textId="552D9367" w:rsidR="00F5671B" w:rsidRPr="00901323" w:rsidRDefault="00943D23" w:rsidP="00F5671B">
      <w:pPr>
        <w:pStyle w:val="ListParagraph"/>
        <w:numPr>
          <w:ilvl w:val="0"/>
          <w:numId w:val="45"/>
        </w:numPr>
        <w:spacing w:after="0" w:line="240" w:lineRule="auto"/>
        <w:ind w:right="1444"/>
        <w:jc w:val="both"/>
        <w:rPr>
          <w:rFonts w:ascii="Verdana" w:hAnsi="Verdana"/>
          <w:sz w:val="20"/>
          <w:szCs w:val="20"/>
          <w:lang w:val="es-ES"/>
        </w:rPr>
      </w:pPr>
      <w:r w:rsidRPr="00901323">
        <w:rPr>
          <w:rFonts w:ascii="Verdana" w:hAnsi="Verdana"/>
          <w:sz w:val="20"/>
          <w:szCs w:val="20"/>
          <w:lang w:val="es-ES"/>
        </w:rPr>
        <w:t>e</w:t>
      </w:r>
      <w:r w:rsidR="00F5671B" w:rsidRPr="00901323">
        <w:rPr>
          <w:rFonts w:ascii="Verdana" w:hAnsi="Verdana"/>
          <w:sz w:val="20"/>
          <w:szCs w:val="20"/>
          <w:lang w:val="es-ES"/>
        </w:rPr>
        <w:t>l Estado debe adoptar “medidas concretas dirigidas a fortalecer su capacidad investigativa”, exigiendo que se dote a las autoridades investigativas de suficientes recursos humanos, económicos, logísticos y científicos para que puedan realizar el procesamiento adecuado de toda prueba, científica y de otra índole, con la finalidad de esclarecer los hechos delictivos</w:t>
      </w:r>
      <w:r w:rsidR="002147DD" w:rsidRPr="00901323">
        <w:rPr>
          <w:rStyle w:val="FootnoteReference"/>
          <w:rFonts w:ascii="Verdana" w:hAnsi="Verdana"/>
          <w:sz w:val="20"/>
          <w:szCs w:val="20"/>
          <w:lang w:val="es-ES"/>
        </w:rPr>
        <w:footnoteReference w:id="42"/>
      </w:r>
      <w:r w:rsidR="00F5671B" w:rsidRPr="00901323">
        <w:rPr>
          <w:rFonts w:ascii="Verdana" w:hAnsi="Verdana"/>
          <w:sz w:val="20"/>
          <w:szCs w:val="20"/>
          <w:lang w:val="es-ES"/>
        </w:rPr>
        <w:t xml:space="preserve"> (Casos </w:t>
      </w:r>
      <w:r w:rsidR="00F5671B" w:rsidRPr="00901323">
        <w:rPr>
          <w:rFonts w:ascii="Verdana" w:hAnsi="Verdana"/>
          <w:i/>
          <w:iCs/>
          <w:sz w:val="20"/>
          <w:szCs w:val="20"/>
          <w:lang w:val="es-ES"/>
        </w:rPr>
        <w:t>Carpio Nicolle</w:t>
      </w:r>
      <w:r w:rsidR="00F5671B" w:rsidRPr="00901323">
        <w:rPr>
          <w:rFonts w:ascii="Verdana" w:hAnsi="Verdana"/>
          <w:iCs/>
          <w:sz w:val="20"/>
          <w:szCs w:val="20"/>
          <w:lang w:val="es-ES"/>
        </w:rPr>
        <w:t xml:space="preserve">, </w:t>
      </w:r>
      <w:r w:rsidR="00F5671B" w:rsidRPr="00901323">
        <w:rPr>
          <w:rFonts w:ascii="Verdana" w:hAnsi="Verdana"/>
          <w:i/>
          <w:iCs/>
          <w:sz w:val="20"/>
          <w:szCs w:val="20"/>
          <w:lang w:val="es-ES"/>
        </w:rPr>
        <w:t xml:space="preserve">Masacre de las Dos Erres, </w:t>
      </w:r>
      <w:r w:rsidR="00F5671B" w:rsidRPr="00901323">
        <w:rPr>
          <w:rFonts w:ascii="Verdana" w:hAnsi="Verdana"/>
          <w:iCs/>
          <w:sz w:val="20"/>
          <w:szCs w:val="20"/>
          <w:lang w:val="es-ES"/>
        </w:rPr>
        <w:t>y</w:t>
      </w:r>
      <w:r w:rsidR="00F5671B" w:rsidRPr="00901323">
        <w:rPr>
          <w:rFonts w:ascii="Verdana" w:hAnsi="Verdana"/>
          <w:i/>
          <w:iCs/>
          <w:sz w:val="20"/>
          <w:szCs w:val="20"/>
          <w:lang w:val="es-ES"/>
        </w:rPr>
        <w:t xml:space="preserve"> </w:t>
      </w:r>
      <w:r w:rsidR="00F5671B" w:rsidRPr="00901323">
        <w:rPr>
          <w:rFonts w:ascii="Verdana" w:hAnsi="Verdana"/>
          <w:i/>
          <w:sz w:val="20"/>
          <w:szCs w:val="20"/>
          <w:lang w:val="es-ES"/>
        </w:rPr>
        <w:t>Chitay Nech</w:t>
      </w:r>
      <w:r w:rsidR="00F5671B" w:rsidRPr="00901323">
        <w:rPr>
          <w:rFonts w:ascii="Verdana" w:hAnsi="Verdana"/>
          <w:sz w:val="20"/>
          <w:szCs w:val="20"/>
          <w:lang w:val="es-ES"/>
        </w:rPr>
        <w:t>) (</w:t>
      </w:r>
      <w:r w:rsidR="00F5671B" w:rsidRPr="00901323">
        <w:rPr>
          <w:rFonts w:ascii="Verdana" w:hAnsi="Verdana"/>
          <w:i/>
          <w:iCs/>
          <w:sz w:val="20"/>
          <w:szCs w:val="20"/>
          <w:lang w:val="es-ES"/>
        </w:rPr>
        <w:t>infra</w:t>
      </w:r>
      <w:r w:rsidR="00F5671B" w:rsidRPr="00901323">
        <w:rPr>
          <w:rFonts w:ascii="Verdana" w:hAnsi="Verdana"/>
          <w:sz w:val="20"/>
          <w:szCs w:val="20"/>
          <w:lang w:val="es-ES"/>
        </w:rPr>
        <w:t xml:space="preserve"> Considerando </w:t>
      </w:r>
      <w:r w:rsidR="00AA6E2C" w:rsidRPr="00901323">
        <w:rPr>
          <w:rFonts w:ascii="Verdana" w:hAnsi="Verdana"/>
          <w:sz w:val="20"/>
          <w:szCs w:val="20"/>
          <w:lang w:val="es-ES"/>
        </w:rPr>
        <w:fldChar w:fldCharType="begin"/>
      </w:r>
      <w:r w:rsidR="00AA6E2C" w:rsidRPr="00901323">
        <w:rPr>
          <w:rFonts w:ascii="Verdana" w:hAnsi="Verdana"/>
          <w:sz w:val="20"/>
          <w:szCs w:val="20"/>
          <w:lang w:val="es-ES"/>
        </w:rPr>
        <w:instrText xml:space="preserve"> REF _Ref437870878 \r \h </w:instrText>
      </w:r>
      <w:r w:rsidR="000228FF" w:rsidRPr="00901323">
        <w:rPr>
          <w:rFonts w:ascii="Verdana" w:hAnsi="Verdana"/>
          <w:sz w:val="20"/>
          <w:szCs w:val="20"/>
          <w:lang w:val="es-ES"/>
        </w:rPr>
        <w:instrText xml:space="preserve"> \* MERGEFORMAT </w:instrText>
      </w:r>
      <w:r w:rsidR="00AA6E2C" w:rsidRPr="00901323">
        <w:rPr>
          <w:rFonts w:ascii="Verdana" w:hAnsi="Verdana"/>
          <w:sz w:val="20"/>
          <w:szCs w:val="20"/>
          <w:lang w:val="es-ES"/>
        </w:rPr>
      </w:r>
      <w:r w:rsidR="00AA6E2C" w:rsidRPr="00901323">
        <w:rPr>
          <w:rFonts w:ascii="Verdana" w:hAnsi="Verdana"/>
          <w:sz w:val="20"/>
          <w:szCs w:val="20"/>
          <w:lang w:val="es-ES"/>
        </w:rPr>
        <w:fldChar w:fldCharType="separate"/>
      </w:r>
      <w:r w:rsidR="007E3C4B">
        <w:rPr>
          <w:rFonts w:ascii="Verdana" w:hAnsi="Verdana"/>
          <w:sz w:val="20"/>
          <w:szCs w:val="20"/>
          <w:lang w:val="es-ES"/>
        </w:rPr>
        <w:t>167</w:t>
      </w:r>
      <w:r w:rsidR="00AA6E2C" w:rsidRPr="00901323">
        <w:rPr>
          <w:rFonts w:ascii="Verdana" w:hAnsi="Verdana"/>
          <w:sz w:val="20"/>
          <w:szCs w:val="20"/>
          <w:lang w:val="es-ES"/>
        </w:rPr>
        <w:fldChar w:fldCharType="end"/>
      </w:r>
      <w:r w:rsidR="00F5671B" w:rsidRPr="00901323">
        <w:rPr>
          <w:rFonts w:ascii="Verdana" w:hAnsi="Verdana"/>
          <w:sz w:val="20"/>
          <w:szCs w:val="20"/>
          <w:lang w:val="es-ES"/>
        </w:rPr>
        <w:t>);</w:t>
      </w:r>
    </w:p>
    <w:p w14:paraId="13A08E78" w14:textId="5EAFF58A" w:rsidR="00F5671B" w:rsidRPr="0038446F" w:rsidRDefault="00943D23" w:rsidP="00F5671B">
      <w:pPr>
        <w:pStyle w:val="ListParagraph"/>
        <w:numPr>
          <w:ilvl w:val="0"/>
          <w:numId w:val="45"/>
        </w:numPr>
        <w:spacing w:after="0" w:line="240" w:lineRule="auto"/>
        <w:ind w:right="1444"/>
        <w:jc w:val="both"/>
        <w:rPr>
          <w:rFonts w:ascii="Verdana" w:hAnsi="Verdana"/>
          <w:sz w:val="20"/>
          <w:szCs w:val="20"/>
          <w:lang w:val="es-ES"/>
        </w:rPr>
      </w:pPr>
      <w:r>
        <w:rPr>
          <w:rFonts w:ascii="Verdana" w:hAnsi="Verdana"/>
          <w:sz w:val="20"/>
          <w:szCs w:val="20"/>
          <w:lang w:val="es-ES"/>
        </w:rPr>
        <w:t>l</w:t>
      </w:r>
      <w:r w:rsidR="00F5671B" w:rsidRPr="0038446F">
        <w:rPr>
          <w:rFonts w:ascii="Verdana" w:hAnsi="Verdana"/>
          <w:sz w:val="20"/>
          <w:szCs w:val="20"/>
          <w:lang w:val="es-ES"/>
        </w:rPr>
        <w:t xml:space="preserve">as autoridades estatales no se pueden amparar en </w:t>
      </w:r>
      <w:r w:rsidR="0038446F" w:rsidRPr="0038446F">
        <w:rPr>
          <w:rFonts w:ascii="Verdana" w:hAnsi="Verdana"/>
          <w:sz w:val="20"/>
          <w:szCs w:val="20"/>
          <w:lang w:val="es-ES"/>
        </w:rPr>
        <w:t>“</w:t>
      </w:r>
      <w:r w:rsidR="00F5671B" w:rsidRPr="0038446F">
        <w:rPr>
          <w:rFonts w:ascii="Verdana" w:hAnsi="Verdana"/>
          <w:sz w:val="20"/>
          <w:szCs w:val="20"/>
          <w:lang w:val="es-ES"/>
        </w:rPr>
        <w:t>mecanismos como el secreto de Estado o la confidencialidad de la información, o en razones de interés público o seguridad nacional, para dejar de aportar la información requerida por las autoridades judiciales o administrativas encargadas de la</w:t>
      </w:r>
      <w:r w:rsidR="0038446F" w:rsidRPr="0038446F">
        <w:rPr>
          <w:rFonts w:ascii="Verdana" w:hAnsi="Verdana"/>
          <w:sz w:val="20"/>
          <w:szCs w:val="20"/>
          <w:lang w:val="es-ES"/>
        </w:rPr>
        <w:t>[</w:t>
      </w:r>
      <w:r w:rsidR="00AA6E2C" w:rsidRPr="0038446F">
        <w:rPr>
          <w:rFonts w:ascii="Verdana" w:hAnsi="Verdana"/>
          <w:sz w:val="20"/>
          <w:szCs w:val="20"/>
          <w:lang w:val="es-ES"/>
        </w:rPr>
        <w:t>s</w:t>
      </w:r>
      <w:r w:rsidR="0038446F" w:rsidRPr="0038446F">
        <w:rPr>
          <w:rFonts w:ascii="Verdana" w:hAnsi="Verdana"/>
          <w:sz w:val="20"/>
          <w:szCs w:val="20"/>
          <w:lang w:val="es-ES"/>
        </w:rPr>
        <w:t>]</w:t>
      </w:r>
      <w:r w:rsidR="00F5671B" w:rsidRPr="0038446F">
        <w:rPr>
          <w:rFonts w:ascii="Verdana" w:hAnsi="Verdana"/>
          <w:sz w:val="20"/>
          <w:szCs w:val="20"/>
          <w:lang w:val="es-ES"/>
        </w:rPr>
        <w:t xml:space="preserve"> investigaci</w:t>
      </w:r>
      <w:r w:rsidR="0038446F" w:rsidRPr="0038446F">
        <w:rPr>
          <w:rFonts w:ascii="Verdana" w:hAnsi="Verdana"/>
          <w:sz w:val="20"/>
          <w:szCs w:val="20"/>
          <w:lang w:val="es-ES"/>
        </w:rPr>
        <w:t>[</w:t>
      </w:r>
      <w:r w:rsidR="00AA6E2C" w:rsidRPr="0038446F">
        <w:rPr>
          <w:rFonts w:ascii="Verdana" w:hAnsi="Verdana"/>
          <w:sz w:val="20"/>
          <w:szCs w:val="20"/>
          <w:lang w:val="es-ES"/>
        </w:rPr>
        <w:t>o</w:t>
      </w:r>
      <w:r w:rsidR="00F5671B" w:rsidRPr="0038446F">
        <w:rPr>
          <w:rFonts w:ascii="Verdana" w:hAnsi="Verdana"/>
          <w:sz w:val="20"/>
          <w:szCs w:val="20"/>
          <w:lang w:val="es-ES"/>
        </w:rPr>
        <w:t>n</w:t>
      </w:r>
      <w:r w:rsidR="00AA6E2C" w:rsidRPr="0038446F">
        <w:rPr>
          <w:rFonts w:ascii="Verdana" w:hAnsi="Verdana"/>
          <w:sz w:val="20"/>
          <w:szCs w:val="20"/>
          <w:lang w:val="es-ES"/>
        </w:rPr>
        <w:t>es</w:t>
      </w:r>
      <w:r w:rsidR="0038446F" w:rsidRPr="0038446F">
        <w:rPr>
          <w:rFonts w:ascii="Verdana" w:hAnsi="Verdana"/>
          <w:sz w:val="20"/>
          <w:szCs w:val="20"/>
          <w:lang w:val="es-ES"/>
        </w:rPr>
        <w:t>]</w:t>
      </w:r>
      <w:r w:rsidR="00F5671B" w:rsidRPr="0038446F">
        <w:rPr>
          <w:rFonts w:ascii="Verdana" w:hAnsi="Verdana"/>
          <w:sz w:val="20"/>
          <w:szCs w:val="20"/>
          <w:lang w:val="es-ES"/>
        </w:rPr>
        <w:t xml:space="preserve"> o proceso</w:t>
      </w:r>
      <w:r w:rsidR="00AA6E2C" w:rsidRPr="0038446F">
        <w:rPr>
          <w:rFonts w:ascii="Verdana" w:hAnsi="Verdana"/>
          <w:sz w:val="20"/>
          <w:szCs w:val="20"/>
          <w:lang w:val="es-ES"/>
        </w:rPr>
        <w:t>s</w:t>
      </w:r>
      <w:r w:rsidR="00F5671B" w:rsidRPr="0038446F">
        <w:rPr>
          <w:rFonts w:ascii="Verdana" w:hAnsi="Verdana"/>
          <w:sz w:val="20"/>
          <w:szCs w:val="20"/>
          <w:lang w:val="es-ES"/>
        </w:rPr>
        <w:t xml:space="preserve"> pendientes</w:t>
      </w:r>
      <w:r w:rsidR="0038446F" w:rsidRPr="0038446F">
        <w:rPr>
          <w:rFonts w:ascii="Verdana" w:hAnsi="Verdana"/>
          <w:sz w:val="20"/>
          <w:szCs w:val="20"/>
          <w:lang w:val="es-ES"/>
        </w:rPr>
        <w:t>”</w:t>
      </w:r>
      <w:r w:rsidR="00F5671B" w:rsidRPr="0038446F">
        <w:rPr>
          <w:rFonts w:ascii="Verdana" w:hAnsi="Verdana"/>
          <w:sz w:val="20"/>
          <w:szCs w:val="20"/>
          <w:lang w:val="es-ES"/>
        </w:rPr>
        <w:t xml:space="preserve"> (Caso</w:t>
      </w:r>
      <w:r w:rsidR="00AA6E2C" w:rsidRPr="0038446F">
        <w:rPr>
          <w:rFonts w:ascii="Verdana" w:hAnsi="Verdana"/>
          <w:sz w:val="20"/>
          <w:szCs w:val="20"/>
          <w:lang w:val="es-ES"/>
        </w:rPr>
        <w:t>s</w:t>
      </w:r>
      <w:r w:rsidR="00F5671B" w:rsidRPr="0038446F">
        <w:rPr>
          <w:rFonts w:ascii="Verdana" w:hAnsi="Verdana"/>
          <w:sz w:val="20"/>
          <w:szCs w:val="20"/>
          <w:lang w:val="es-ES"/>
        </w:rPr>
        <w:t xml:space="preserve"> </w:t>
      </w:r>
      <w:r w:rsidR="00F5671B" w:rsidRPr="0038446F">
        <w:rPr>
          <w:rFonts w:ascii="Verdana" w:hAnsi="Verdana"/>
          <w:i/>
          <w:iCs/>
          <w:sz w:val="20"/>
          <w:szCs w:val="20"/>
          <w:lang w:val="es-ES"/>
        </w:rPr>
        <w:t>Tiu Tojín</w:t>
      </w:r>
      <w:r w:rsidR="00F5671B" w:rsidRPr="0038446F">
        <w:rPr>
          <w:rFonts w:ascii="Verdana" w:hAnsi="Verdana"/>
          <w:iCs/>
          <w:sz w:val="20"/>
          <w:szCs w:val="20"/>
          <w:lang w:val="es-ES"/>
        </w:rPr>
        <w:t xml:space="preserve"> y</w:t>
      </w:r>
      <w:r w:rsidR="00F5671B" w:rsidRPr="0038446F">
        <w:rPr>
          <w:rFonts w:ascii="Verdana" w:hAnsi="Verdana"/>
          <w:i/>
          <w:iCs/>
          <w:sz w:val="20"/>
          <w:szCs w:val="20"/>
          <w:lang w:val="es-ES"/>
        </w:rPr>
        <w:t xml:space="preserve"> Mack </w:t>
      </w:r>
      <w:r w:rsidR="00F5671B" w:rsidRPr="00901323">
        <w:rPr>
          <w:rFonts w:ascii="Verdana" w:hAnsi="Verdana"/>
          <w:i/>
          <w:iCs/>
          <w:sz w:val="20"/>
          <w:szCs w:val="20"/>
          <w:lang w:val="es-ES"/>
        </w:rPr>
        <w:t>Chang</w:t>
      </w:r>
      <w:r w:rsidR="00F5671B" w:rsidRPr="00901323">
        <w:rPr>
          <w:rFonts w:ascii="Verdana" w:hAnsi="Verdana"/>
          <w:sz w:val="20"/>
          <w:szCs w:val="20"/>
          <w:lang w:val="es-ES"/>
        </w:rPr>
        <w:t>) (</w:t>
      </w:r>
      <w:r w:rsidR="00F5671B" w:rsidRPr="00901323">
        <w:rPr>
          <w:rFonts w:ascii="Verdana" w:hAnsi="Verdana"/>
          <w:i/>
          <w:iCs/>
          <w:sz w:val="20"/>
          <w:szCs w:val="20"/>
          <w:lang w:val="es-ES"/>
        </w:rPr>
        <w:t>infra</w:t>
      </w:r>
      <w:r w:rsidR="00F5671B" w:rsidRPr="00901323">
        <w:rPr>
          <w:rFonts w:ascii="Verdana" w:hAnsi="Verdana"/>
          <w:sz w:val="20"/>
          <w:szCs w:val="20"/>
          <w:lang w:val="es-ES"/>
        </w:rPr>
        <w:t xml:space="preserve"> Considerando </w:t>
      </w:r>
      <w:r w:rsidR="00AA6E2C" w:rsidRPr="00901323">
        <w:rPr>
          <w:rFonts w:ascii="Verdana" w:hAnsi="Verdana"/>
          <w:sz w:val="20"/>
          <w:szCs w:val="20"/>
          <w:lang w:val="es-ES"/>
        </w:rPr>
        <w:fldChar w:fldCharType="begin"/>
      </w:r>
      <w:r w:rsidR="00AA6E2C" w:rsidRPr="00901323">
        <w:rPr>
          <w:rFonts w:ascii="Verdana" w:hAnsi="Verdana"/>
          <w:sz w:val="20"/>
          <w:szCs w:val="20"/>
          <w:lang w:val="es-ES"/>
        </w:rPr>
        <w:instrText xml:space="preserve"> REF _Ref437870974 \r \h </w:instrText>
      </w:r>
      <w:r w:rsidR="000228FF" w:rsidRPr="00901323">
        <w:rPr>
          <w:rFonts w:ascii="Verdana" w:hAnsi="Verdana"/>
          <w:sz w:val="20"/>
          <w:szCs w:val="20"/>
          <w:lang w:val="es-ES"/>
        </w:rPr>
        <w:instrText xml:space="preserve"> \* MERGEFORMAT </w:instrText>
      </w:r>
      <w:r w:rsidR="00AA6E2C" w:rsidRPr="00901323">
        <w:rPr>
          <w:rFonts w:ascii="Verdana" w:hAnsi="Verdana"/>
          <w:sz w:val="20"/>
          <w:szCs w:val="20"/>
          <w:lang w:val="es-ES"/>
        </w:rPr>
      </w:r>
      <w:r w:rsidR="00AA6E2C" w:rsidRPr="00901323">
        <w:rPr>
          <w:rFonts w:ascii="Verdana" w:hAnsi="Verdana"/>
          <w:sz w:val="20"/>
          <w:szCs w:val="20"/>
          <w:lang w:val="es-ES"/>
        </w:rPr>
        <w:fldChar w:fldCharType="separate"/>
      </w:r>
      <w:r w:rsidR="007E3C4B">
        <w:rPr>
          <w:rFonts w:ascii="Verdana" w:hAnsi="Verdana"/>
          <w:sz w:val="20"/>
          <w:szCs w:val="20"/>
          <w:lang w:val="es-ES"/>
        </w:rPr>
        <w:t>129</w:t>
      </w:r>
      <w:r w:rsidR="00AA6E2C" w:rsidRPr="00901323">
        <w:rPr>
          <w:rFonts w:ascii="Verdana" w:hAnsi="Verdana"/>
          <w:sz w:val="20"/>
          <w:szCs w:val="20"/>
          <w:lang w:val="es-ES"/>
        </w:rPr>
        <w:fldChar w:fldCharType="end"/>
      </w:r>
      <w:r w:rsidR="00F5671B" w:rsidRPr="00901323">
        <w:rPr>
          <w:rFonts w:ascii="Verdana" w:hAnsi="Verdana"/>
          <w:sz w:val="20"/>
          <w:szCs w:val="20"/>
          <w:lang w:val="es-ES"/>
        </w:rPr>
        <w:t>);</w:t>
      </w:r>
    </w:p>
    <w:p w14:paraId="1186490B" w14:textId="58E046E1" w:rsidR="00F5671B" w:rsidRPr="00901323" w:rsidRDefault="00F5671B" w:rsidP="00F5671B">
      <w:pPr>
        <w:pStyle w:val="ListParagraph"/>
        <w:numPr>
          <w:ilvl w:val="0"/>
          <w:numId w:val="45"/>
        </w:numPr>
        <w:spacing w:after="0" w:line="240" w:lineRule="auto"/>
        <w:ind w:right="1444"/>
        <w:jc w:val="both"/>
        <w:rPr>
          <w:rFonts w:ascii="Verdana" w:hAnsi="Verdana"/>
          <w:sz w:val="20"/>
          <w:szCs w:val="20"/>
          <w:lang w:val="es-ES"/>
        </w:rPr>
      </w:pPr>
      <w:r w:rsidRPr="001129DF">
        <w:rPr>
          <w:rFonts w:ascii="Verdana" w:hAnsi="Verdana"/>
          <w:sz w:val="20"/>
          <w:szCs w:val="20"/>
          <w:lang w:val="es-ES"/>
        </w:rPr>
        <w:t>en los casos relacionados a desapariciones forzadas, si el delito se tipificase con posteri</w:t>
      </w:r>
      <w:r w:rsidR="00901323">
        <w:rPr>
          <w:rFonts w:ascii="Verdana" w:hAnsi="Verdana"/>
          <w:sz w:val="20"/>
          <w:szCs w:val="20"/>
          <w:lang w:val="es-ES"/>
        </w:rPr>
        <w:t>oridad al momento en que inició</w:t>
      </w:r>
      <w:r w:rsidRPr="001129DF">
        <w:rPr>
          <w:rFonts w:ascii="Verdana" w:hAnsi="Verdana"/>
          <w:sz w:val="20"/>
          <w:szCs w:val="20"/>
          <w:lang w:val="es-ES"/>
        </w:rPr>
        <w:t xml:space="preserve"> la desaparición, y la conducta delictiva se mantuviera</w:t>
      </w:r>
      <w:r w:rsidRPr="00901323">
        <w:rPr>
          <w:rFonts w:ascii="Verdana" w:hAnsi="Verdana"/>
          <w:sz w:val="20"/>
          <w:szCs w:val="20"/>
          <w:lang w:val="es-ES"/>
        </w:rPr>
        <w:t xml:space="preserve">, la nueva tipificación resultaría aplicable (Casos </w:t>
      </w:r>
      <w:r w:rsidRPr="00901323">
        <w:rPr>
          <w:rFonts w:ascii="Verdana" w:hAnsi="Verdana"/>
          <w:i/>
          <w:iCs/>
          <w:sz w:val="20"/>
          <w:szCs w:val="20"/>
          <w:lang w:val="es-ES"/>
        </w:rPr>
        <w:t>Tiu Tojín</w:t>
      </w:r>
      <w:r w:rsidRPr="00901323">
        <w:rPr>
          <w:rFonts w:ascii="Verdana" w:hAnsi="Verdana"/>
          <w:iCs/>
          <w:sz w:val="20"/>
          <w:szCs w:val="20"/>
          <w:lang w:val="es-ES"/>
        </w:rPr>
        <w:t xml:space="preserve"> </w:t>
      </w:r>
      <w:r w:rsidRPr="00901323">
        <w:rPr>
          <w:rFonts w:ascii="Verdana" w:hAnsi="Verdana"/>
          <w:i/>
          <w:iCs/>
          <w:sz w:val="20"/>
          <w:szCs w:val="20"/>
          <w:lang w:val="es-ES"/>
        </w:rPr>
        <w:t xml:space="preserve">y </w:t>
      </w:r>
      <w:r w:rsidRPr="00901323">
        <w:rPr>
          <w:rFonts w:ascii="Verdana" w:hAnsi="Verdana"/>
          <w:i/>
          <w:sz w:val="20"/>
          <w:szCs w:val="20"/>
          <w:lang w:val="es-ES"/>
        </w:rPr>
        <w:t>Chitay Nech</w:t>
      </w:r>
      <w:r w:rsidRPr="00901323">
        <w:rPr>
          <w:rFonts w:ascii="Verdana" w:hAnsi="Verdana"/>
          <w:sz w:val="20"/>
          <w:szCs w:val="20"/>
          <w:lang w:val="es-ES"/>
        </w:rPr>
        <w:t>) (</w:t>
      </w:r>
      <w:r w:rsidRPr="00901323">
        <w:rPr>
          <w:rFonts w:ascii="Verdana" w:hAnsi="Verdana"/>
          <w:i/>
          <w:iCs/>
          <w:sz w:val="20"/>
          <w:szCs w:val="20"/>
          <w:lang w:val="es-ES"/>
        </w:rPr>
        <w:t>infra</w:t>
      </w:r>
      <w:r w:rsidRPr="00901323">
        <w:rPr>
          <w:rFonts w:ascii="Verdana" w:hAnsi="Verdana"/>
          <w:sz w:val="20"/>
          <w:szCs w:val="20"/>
          <w:lang w:val="es-ES"/>
        </w:rPr>
        <w:t xml:space="preserve"> Considerando</w:t>
      </w:r>
      <w:r w:rsidR="00901323" w:rsidRPr="00901323">
        <w:rPr>
          <w:rFonts w:ascii="Verdana" w:hAnsi="Verdana"/>
          <w:sz w:val="20"/>
          <w:szCs w:val="20"/>
          <w:lang w:val="es-ES"/>
        </w:rPr>
        <w:t xml:space="preserve"> 149</w:t>
      </w:r>
      <w:r w:rsidRPr="00901323">
        <w:rPr>
          <w:rFonts w:ascii="Verdana" w:hAnsi="Verdana"/>
          <w:sz w:val="20"/>
          <w:szCs w:val="20"/>
          <w:lang w:val="es-ES"/>
        </w:rPr>
        <w:t>);</w:t>
      </w:r>
    </w:p>
    <w:p w14:paraId="67ACEE5B" w14:textId="229F91FA" w:rsidR="00F5671B" w:rsidRPr="00901323" w:rsidRDefault="00F5671B" w:rsidP="00F5671B">
      <w:pPr>
        <w:pStyle w:val="ListParagraph"/>
        <w:numPr>
          <w:ilvl w:val="0"/>
          <w:numId w:val="45"/>
        </w:numPr>
        <w:spacing w:after="0" w:line="240" w:lineRule="auto"/>
        <w:ind w:right="1444"/>
        <w:jc w:val="both"/>
        <w:rPr>
          <w:rFonts w:ascii="Verdana" w:hAnsi="Verdana"/>
          <w:sz w:val="20"/>
          <w:szCs w:val="20"/>
          <w:lang w:val="es-ES"/>
        </w:rPr>
      </w:pPr>
      <w:r w:rsidRPr="00901323">
        <w:rPr>
          <w:rFonts w:ascii="Verdana" w:hAnsi="Verdana"/>
          <w:sz w:val="20"/>
          <w:szCs w:val="20"/>
          <w:lang w:val="es-ES"/>
        </w:rPr>
        <w:t xml:space="preserve">las investigaciones </w:t>
      </w:r>
      <w:r w:rsidR="00943D23" w:rsidRPr="00901323">
        <w:rPr>
          <w:rFonts w:ascii="Verdana" w:hAnsi="Verdana"/>
          <w:sz w:val="20"/>
          <w:szCs w:val="20"/>
          <w:lang w:val="es-ES"/>
        </w:rPr>
        <w:t>deben tomar</w:t>
      </w:r>
      <w:r w:rsidRPr="00901323">
        <w:rPr>
          <w:rFonts w:ascii="Verdana" w:hAnsi="Verdana"/>
          <w:sz w:val="20"/>
          <w:szCs w:val="20"/>
          <w:lang w:val="es-ES"/>
        </w:rPr>
        <w:t xml:space="preserve"> en cuenta </w:t>
      </w:r>
      <w:r w:rsidR="00A56288" w:rsidRPr="00901323">
        <w:rPr>
          <w:rFonts w:ascii="Verdana" w:hAnsi="Verdana"/>
          <w:sz w:val="20"/>
          <w:szCs w:val="20"/>
          <w:lang w:val="es-ES"/>
        </w:rPr>
        <w:t>“el patrón sistemático de violaciones a derechos humanos existente en la época”, con el objeto de que la investigación sea conducida en consideración de la complejidad de estos hechos y el contexto en que ocurrieron”</w:t>
      </w:r>
      <w:r w:rsidRPr="00901323">
        <w:rPr>
          <w:rFonts w:ascii="Verdana" w:hAnsi="Verdana"/>
          <w:sz w:val="20"/>
          <w:szCs w:val="20"/>
          <w:lang w:val="es-ES"/>
        </w:rPr>
        <w:t xml:space="preserve"> (Casos </w:t>
      </w:r>
      <w:r w:rsidRPr="00901323">
        <w:rPr>
          <w:rFonts w:ascii="Verdana" w:hAnsi="Verdana"/>
          <w:i/>
          <w:iCs/>
          <w:sz w:val="20"/>
          <w:szCs w:val="20"/>
          <w:lang w:val="es-ES"/>
        </w:rPr>
        <w:t>Tiu Tojín</w:t>
      </w:r>
      <w:r w:rsidRPr="00901323">
        <w:rPr>
          <w:rFonts w:ascii="Verdana" w:hAnsi="Verdana"/>
          <w:iCs/>
          <w:sz w:val="20"/>
          <w:szCs w:val="20"/>
          <w:lang w:val="es-ES"/>
        </w:rPr>
        <w:t xml:space="preserve">, </w:t>
      </w:r>
      <w:r w:rsidRPr="00901323">
        <w:rPr>
          <w:rFonts w:ascii="Verdana" w:hAnsi="Verdana"/>
          <w:i/>
          <w:iCs/>
          <w:sz w:val="20"/>
          <w:szCs w:val="20"/>
          <w:lang w:val="es-ES"/>
        </w:rPr>
        <w:t>Masacre de las Dos Erres</w:t>
      </w:r>
      <w:r w:rsidRPr="00901323">
        <w:rPr>
          <w:rFonts w:ascii="Verdana" w:hAnsi="Verdana"/>
          <w:sz w:val="20"/>
          <w:szCs w:val="20"/>
          <w:lang w:val="es-ES"/>
        </w:rPr>
        <w:t>,</w:t>
      </w:r>
      <w:r w:rsidRPr="00901323">
        <w:rPr>
          <w:rFonts w:ascii="Verdana" w:hAnsi="Verdana"/>
          <w:i/>
          <w:iCs/>
          <w:sz w:val="20"/>
          <w:szCs w:val="20"/>
          <w:lang w:val="es-ES"/>
        </w:rPr>
        <w:t xml:space="preserve"> </w:t>
      </w:r>
      <w:r w:rsidRPr="00901323">
        <w:rPr>
          <w:rFonts w:ascii="Verdana" w:hAnsi="Verdana"/>
          <w:iCs/>
          <w:sz w:val="20"/>
          <w:szCs w:val="20"/>
          <w:lang w:val="es-ES"/>
        </w:rPr>
        <w:t>y</w:t>
      </w:r>
      <w:r w:rsidRPr="00901323">
        <w:rPr>
          <w:rFonts w:ascii="Verdana" w:hAnsi="Verdana"/>
          <w:i/>
          <w:iCs/>
          <w:sz w:val="20"/>
          <w:szCs w:val="20"/>
          <w:lang w:val="es-ES"/>
        </w:rPr>
        <w:t xml:space="preserve"> </w:t>
      </w:r>
      <w:r w:rsidR="00C04390" w:rsidRPr="00901323">
        <w:rPr>
          <w:rFonts w:ascii="Verdana" w:hAnsi="Verdana"/>
          <w:i/>
          <w:sz w:val="20"/>
          <w:szCs w:val="20"/>
          <w:lang w:val="es-ES"/>
        </w:rPr>
        <w:t>Chitay Nech</w:t>
      </w:r>
      <w:r w:rsidRPr="00901323">
        <w:rPr>
          <w:rFonts w:ascii="Verdana" w:hAnsi="Verdana"/>
          <w:sz w:val="20"/>
          <w:szCs w:val="20"/>
          <w:lang w:val="es-ES"/>
        </w:rPr>
        <w:t>)</w:t>
      </w:r>
      <w:r w:rsidR="0081255E" w:rsidRPr="00901323">
        <w:rPr>
          <w:rFonts w:ascii="Verdana" w:hAnsi="Verdana"/>
          <w:sz w:val="20"/>
          <w:szCs w:val="20"/>
          <w:lang w:val="es-ES"/>
        </w:rPr>
        <w:t>; y</w:t>
      </w:r>
    </w:p>
    <w:p w14:paraId="7040FE36" w14:textId="22588B87" w:rsidR="00F5671B" w:rsidRPr="00901323" w:rsidRDefault="00436286" w:rsidP="00F5671B">
      <w:pPr>
        <w:pStyle w:val="ListParagraph"/>
        <w:numPr>
          <w:ilvl w:val="0"/>
          <w:numId w:val="45"/>
        </w:numPr>
        <w:spacing w:after="0" w:line="240" w:lineRule="auto"/>
        <w:ind w:right="1444"/>
        <w:jc w:val="both"/>
        <w:rPr>
          <w:rFonts w:ascii="Verdana" w:hAnsi="Verdana"/>
          <w:sz w:val="20"/>
          <w:szCs w:val="20"/>
          <w:lang w:val="es-ES"/>
        </w:rPr>
      </w:pPr>
      <w:r w:rsidRPr="00901323">
        <w:rPr>
          <w:rFonts w:ascii="Verdana" w:hAnsi="Verdana"/>
          <w:sz w:val="20"/>
          <w:szCs w:val="20"/>
          <w:lang w:val="es-ES"/>
        </w:rPr>
        <w:t>los jueces deben encausar el proceso de manera que los recursos judiciales no tengan efectos dilatorios y entorpecedores e</w:t>
      </w:r>
      <w:r w:rsidR="00943D23" w:rsidRPr="00901323">
        <w:rPr>
          <w:rFonts w:ascii="Verdana" w:hAnsi="Verdana"/>
          <w:sz w:val="20"/>
          <w:szCs w:val="20"/>
          <w:lang w:val="es-ES"/>
        </w:rPr>
        <w:t>n el proceso</w:t>
      </w:r>
      <w:r w:rsidR="00F5671B" w:rsidRPr="00901323">
        <w:rPr>
          <w:rFonts w:ascii="Verdana" w:hAnsi="Verdana"/>
          <w:sz w:val="20"/>
          <w:szCs w:val="20"/>
          <w:lang w:val="es-ES"/>
        </w:rPr>
        <w:t xml:space="preserve"> (Caso </w:t>
      </w:r>
      <w:r w:rsidR="00F5671B" w:rsidRPr="00901323">
        <w:rPr>
          <w:rFonts w:ascii="Verdana" w:hAnsi="Verdana"/>
          <w:i/>
          <w:iCs/>
          <w:sz w:val="20"/>
          <w:szCs w:val="20"/>
          <w:lang w:val="es-ES"/>
        </w:rPr>
        <w:t>Masacre de las Dos Erres</w:t>
      </w:r>
      <w:r w:rsidR="00F5671B" w:rsidRPr="00901323">
        <w:rPr>
          <w:rFonts w:ascii="Verdana" w:hAnsi="Verdana"/>
          <w:sz w:val="20"/>
          <w:szCs w:val="20"/>
          <w:lang w:val="es-ES"/>
        </w:rPr>
        <w:t>) (</w:t>
      </w:r>
      <w:r w:rsidR="00F5671B" w:rsidRPr="00901323">
        <w:rPr>
          <w:rFonts w:ascii="Verdana" w:hAnsi="Verdana"/>
          <w:i/>
          <w:iCs/>
          <w:sz w:val="20"/>
          <w:szCs w:val="20"/>
          <w:lang w:val="es-ES"/>
        </w:rPr>
        <w:t>infra</w:t>
      </w:r>
      <w:r w:rsidR="00F5671B" w:rsidRPr="00901323">
        <w:rPr>
          <w:rFonts w:ascii="Verdana" w:hAnsi="Verdana"/>
          <w:sz w:val="20"/>
          <w:szCs w:val="20"/>
          <w:lang w:val="es-ES"/>
        </w:rPr>
        <w:t xml:space="preserve"> Considerando </w:t>
      </w:r>
      <w:r w:rsidR="00CA5C0F" w:rsidRPr="00901323">
        <w:rPr>
          <w:rFonts w:ascii="Verdana" w:hAnsi="Verdana"/>
          <w:sz w:val="20"/>
          <w:szCs w:val="20"/>
          <w:lang w:val="es-ES"/>
        </w:rPr>
        <w:fldChar w:fldCharType="begin"/>
      </w:r>
      <w:r w:rsidR="00CA5C0F" w:rsidRPr="00901323">
        <w:rPr>
          <w:rFonts w:ascii="Verdana" w:hAnsi="Verdana"/>
          <w:sz w:val="20"/>
          <w:szCs w:val="20"/>
          <w:lang w:val="es-ES"/>
        </w:rPr>
        <w:instrText xml:space="preserve"> REF _Ref437871176 \r \h </w:instrText>
      </w:r>
      <w:r w:rsidR="000228FF" w:rsidRPr="00901323">
        <w:rPr>
          <w:rFonts w:ascii="Verdana" w:hAnsi="Verdana"/>
          <w:sz w:val="20"/>
          <w:szCs w:val="20"/>
          <w:lang w:val="es-ES"/>
        </w:rPr>
        <w:instrText xml:space="preserve"> \* MERGEFORMAT </w:instrText>
      </w:r>
      <w:r w:rsidR="00CA5C0F" w:rsidRPr="00901323">
        <w:rPr>
          <w:rFonts w:ascii="Verdana" w:hAnsi="Verdana"/>
          <w:sz w:val="20"/>
          <w:szCs w:val="20"/>
          <w:lang w:val="es-ES"/>
        </w:rPr>
      </w:r>
      <w:r w:rsidR="00CA5C0F" w:rsidRPr="00901323">
        <w:rPr>
          <w:rFonts w:ascii="Verdana" w:hAnsi="Verdana"/>
          <w:sz w:val="20"/>
          <w:szCs w:val="20"/>
          <w:lang w:val="es-ES"/>
        </w:rPr>
        <w:fldChar w:fldCharType="separate"/>
      </w:r>
      <w:r w:rsidR="007E3C4B">
        <w:rPr>
          <w:rFonts w:ascii="Verdana" w:hAnsi="Verdana"/>
          <w:sz w:val="20"/>
          <w:szCs w:val="20"/>
          <w:lang w:val="es-ES"/>
        </w:rPr>
        <w:t>134</w:t>
      </w:r>
      <w:r w:rsidR="00CA5C0F" w:rsidRPr="00901323">
        <w:rPr>
          <w:rFonts w:ascii="Verdana" w:hAnsi="Verdana"/>
          <w:sz w:val="20"/>
          <w:szCs w:val="20"/>
          <w:lang w:val="es-ES"/>
        </w:rPr>
        <w:fldChar w:fldCharType="end"/>
      </w:r>
      <w:r w:rsidR="00F5671B" w:rsidRPr="00901323">
        <w:rPr>
          <w:rFonts w:ascii="Verdana" w:hAnsi="Verdana"/>
          <w:sz w:val="20"/>
          <w:szCs w:val="20"/>
          <w:lang w:val="es-ES"/>
        </w:rPr>
        <w:t>)</w:t>
      </w:r>
      <w:r w:rsidR="00943D23" w:rsidRPr="00901323">
        <w:rPr>
          <w:rFonts w:ascii="Verdana" w:hAnsi="Verdana"/>
          <w:sz w:val="20"/>
          <w:szCs w:val="20"/>
          <w:lang w:val="es-ES"/>
        </w:rPr>
        <w:t>;</w:t>
      </w:r>
    </w:p>
    <w:p w14:paraId="44A39225" w14:textId="64AEF790" w:rsidR="00831C52" w:rsidRPr="00E61BE1" w:rsidRDefault="00943D23" w:rsidP="00E61BE1">
      <w:pPr>
        <w:pStyle w:val="ListParagraph"/>
        <w:numPr>
          <w:ilvl w:val="0"/>
          <w:numId w:val="45"/>
        </w:numPr>
        <w:spacing w:after="0" w:line="240" w:lineRule="auto"/>
        <w:ind w:right="1444"/>
        <w:jc w:val="both"/>
        <w:rPr>
          <w:rFonts w:ascii="Verdana" w:hAnsi="Verdana"/>
          <w:sz w:val="20"/>
          <w:szCs w:val="20"/>
          <w:lang w:val="es-ES"/>
        </w:rPr>
      </w:pPr>
      <w:r>
        <w:rPr>
          <w:rFonts w:ascii="Verdana" w:hAnsi="Verdana"/>
          <w:sz w:val="20"/>
          <w:szCs w:val="20"/>
          <w:lang w:val="es-ES"/>
        </w:rPr>
        <w:t>e</w:t>
      </w:r>
      <w:r w:rsidR="00E61BE1" w:rsidRPr="00820BB9">
        <w:rPr>
          <w:rFonts w:ascii="Verdana" w:hAnsi="Verdana"/>
          <w:sz w:val="20"/>
          <w:szCs w:val="20"/>
          <w:lang w:val="es-ES"/>
        </w:rPr>
        <w:t xml:space="preserve">l Estado debe facilitar “todos los medios necesarios para proteger a las víctimas de hostigamientos y amenazas que busquen entorpecer el proceso”, y otorgar garantías de seguridad suficientes a las autoridades judiciales, fiscales, testigos, operadores de justicia y a los familiares de las víctimas (Casos </w:t>
      </w:r>
      <w:r w:rsidR="00E61BE1" w:rsidRPr="00820BB9">
        <w:rPr>
          <w:rFonts w:ascii="Verdana" w:hAnsi="Verdana"/>
          <w:i/>
          <w:iCs/>
          <w:sz w:val="20"/>
          <w:szCs w:val="20"/>
          <w:lang w:val="es-ES"/>
        </w:rPr>
        <w:t>Masacre Plan de Sánchez</w:t>
      </w:r>
      <w:r w:rsidR="00E61BE1" w:rsidRPr="00820BB9">
        <w:rPr>
          <w:rFonts w:ascii="Verdana" w:hAnsi="Verdana"/>
          <w:sz w:val="20"/>
          <w:szCs w:val="20"/>
          <w:lang w:val="es-ES"/>
        </w:rPr>
        <w:t xml:space="preserve"> y </w:t>
      </w:r>
      <w:r w:rsidR="00E61BE1" w:rsidRPr="00820BB9">
        <w:rPr>
          <w:rFonts w:ascii="Verdana" w:hAnsi="Verdana"/>
          <w:i/>
          <w:iCs/>
          <w:sz w:val="20"/>
          <w:szCs w:val="20"/>
          <w:lang w:val="es-ES"/>
        </w:rPr>
        <w:t>Mack Chang</w:t>
      </w:r>
      <w:r w:rsidR="00E61BE1" w:rsidRPr="00820BB9">
        <w:rPr>
          <w:rFonts w:ascii="Verdana" w:hAnsi="Verdana"/>
          <w:sz w:val="20"/>
          <w:szCs w:val="20"/>
          <w:lang w:val="es-ES"/>
        </w:rPr>
        <w:t>);</w:t>
      </w:r>
    </w:p>
    <w:p w14:paraId="522A75A6" w14:textId="1A46B96E" w:rsidR="00831C52" w:rsidRDefault="00943D23" w:rsidP="00831C52">
      <w:pPr>
        <w:pStyle w:val="ListParagraph"/>
        <w:numPr>
          <w:ilvl w:val="0"/>
          <w:numId w:val="45"/>
        </w:numPr>
        <w:spacing w:after="0" w:line="240" w:lineRule="auto"/>
        <w:ind w:right="1444"/>
        <w:jc w:val="both"/>
        <w:rPr>
          <w:rFonts w:ascii="Verdana" w:hAnsi="Verdana"/>
          <w:sz w:val="20"/>
          <w:szCs w:val="20"/>
          <w:lang w:val="es-ES"/>
        </w:rPr>
      </w:pPr>
      <w:r>
        <w:rPr>
          <w:rFonts w:ascii="Verdana" w:hAnsi="Verdana"/>
          <w:sz w:val="20"/>
          <w:szCs w:val="20"/>
          <w:lang w:val="es-ES"/>
        </w:rPr>
        <w:lastRenderedPageBreak/>
        <w:t>e</w:t>
      </w:r>
      <w:r w:rsidR="00831C52" w:rsidRPr="001D56E0">
        <w:rPr>
          <w:rFonts w:ascii="Verdana" w:hAnsi="Verdana"/>
          <w:sz w:val="20"/>
          <w:szCs w:val="20"/>
          <w:lang w:val="es-ES"/>
        </w:rPr>
        <w:t xml:space="preserve">l Estado debe garantizar que las víctimas tengan “pleno acceso y capacidad de actuar” en todas las etapas de la investigación y juicio (Casos </w:t>
      </w:r>
      <w:r w:rsidR="00831C52" w:rsidRPr="001D56E0">
        <w:rPr>
          <w:rFonts w:ascii="Verdana" w:hAnsi="Verdana"/>
          <w:i/>
          <w:iCs/>
          <w:sz w:val="20"/>
          <w:szCs w:val="20"/>
          <w:lang w:val="es-ES"/>
        </w:rPr>
        <w:t>Masacre Plan de Sánchez,</w:t>
      </w:r>
      <w:r w:rsidR="00831C52" w:rsidRPr="001D56E0">
        <w:rPr>
          <w:rFonts w:ascii="Verdana" w:hAnsi="Verdana"/>
          <w:b/>
          <w:iCs/>
          <w:sz w:val="20"/>
          <w:szCs w:val="20"/>
          <w:lang w:val="es-ES"/>
        </w:rPr>
        <w:t xml:space="preserve"> </w:t>
      </w:r>
      <w:r w:rsidR="00831C52" w:rsidRPr="001D56E0">
        <w:rPr>
          <w:rFonts w:ascii="Verdana" w:hAnsi="Verdana"/>
          <w:i/>
          <w:iCs/>
          <w:sz w:val="20"/>
          <w:szCs w:val="20"/>
          <w:lang w:val="es-ES"/>
        </w:rPr>
        <w:t xml:space="preserve">Maritza Urrutia, </w:t>
      </w:r>
      <w:r w:rsidR="00831C52" w:rsidRPr="001D56E0">
        <w:rPr>
          <w:rFonts w:ascii="Verdana" w:hAnsi="Verdana"/>
          <w:iCs/>
          <w:sz w:val="20"/>
          <w:szCs w:val="20"/>
          <w:lang w:val="es-ES"/>
        </w:rPr>
        <w:t>y</w:t>
      </w:r>
      <w:r w:rsidR="00831C52" w:rsidRPr="001D56E0">
        <w:rPr>
          <w:rFonts w:ascii="Verdana" w:hAnsi="Verdana"/>
          <w:i/>
          <w:iCs/>
          <w:sz w:val="20"/>
          <w:szCs w:val="20"/>
          <w:lang w:val="es-ES"/>
        </w:rPr>
        <w:t xml:space="preserve"> </w:t>
      </w:r>
      <w:r w:rsidR="00831C52" w:rsidRPr="001D56E0">
        <w:rPr>
          <w:rFonts w:ascii="Verdana" w:hAnsi="Verdana"/>
          <w:i/>
          <w:sz w:val="20"/>
          <w:szCs w:val="20"/>
          <w:lang w:val="es-ES"/>
        </w:rPr>
        <w:t>Chitay Nech</w:t>
      </w:r>
      <w:r w:rsidR="00831C52" w:rsidRPr="001D56E0">
        <w:rPr>
          <w:rFonts w:ascii="Verdana" w:hAnsi="Verdana"/>
          <w:i/>
          <w:iCs/>
          <w:sz w:val="20"/>
          <w:szCs w:val="20"/>
          <w:lang w:val="es-ES"/>
        </w:rPr>
        <w:t>)</w:t>
      </w:r>
      <w:r w:rsidR="00E61BE1">
        <w:rPr>
          <w:rFonts w:ascii="Verdana" w:hAnsi="Verdana"/>
          <w:sz w:val="20"/>
          <w:szCs w:val="20"/>
          <w:lang w:val="es-ES"/>
        </w:rPr>
        <w:t>, y</w:t>
      </w:r>
    </w:p>
    <w:p w14:paraId="731A9D44" w14:textId="2C62E51B" w:rsidR="00E61BE1" w:rsidRPr="001D56E0" w:rsidRDefault="00943D23" w:rsidP="00831C52">
      <w:pPr>
        <w:pStyle w:val="ListParagraph"/>
        <w:numPr>
          <w:ilvl w:val="0"/>
          <w:numId w:val="45"/>
        </w:numPr>
        <w:spacing w:after="0" w:line="240" w:lineRule="auto"/>
        <w:ind w:right="1444"/>
        <w:jc w:val="both"/>
        <w:rPr>
          <w:rFonts w:ascii="Verdana" w:hAnsi="Verdana"/>
          <w:sz w:val="20"/>
          <w:szCs w:val="20"/>
          <w:lang w:val="es-ES"/>
        </w:rPr>
      </w:pPr>
      <w:r>
        <w:rPr>
          <w:rFonts w:ascii="Verdana" w:hAnsi="Verdana"/>
          <w:sz w:val="20"/>
          <w:szCs w:val="20"/>
          <w:lang w:val="es-ES"/>
        </w:rPr>
        <w:t>l</w:t>
      </w:r>
      <w:r w:rsidR="00E61BE1" w:rsidRPr="00A56288">
        <w:rPr>
          <w:rFonts w:ascii="Verdana" w:hAnsi="Verdana"/>
          <w:sz w:val="20"/>
          <w:szCs w:val="20"/>
          <w:lang w:val="es-ES"/>
        </w:rPr>
        <w:t xml:space="preserve">os resultados de las investigaciones deben ser divulgados públicamente (Casos </w:t>
      </w:r>
      <w:r w:rsidR="00E61BE1" w:rsidRPr="00A56288">
        <w:rPr>
          <w:rFonts w:ascii="Verdana" w:hAnsi="Verdana"/>
          <w:i/>
          <w:iCs/>
          <w:sz w:val="20"/>
          <w:szCs w:val="20"/>
          <w:lang w:val="es-ES"/>
        </w:rPr>
        <w:t>Bámaca Velásquez, Masacre Plan de Sánchez, Molina Theissen</w:t>
      </w:r>
      <w:r w:rsidR="00E61BE1" w:rsidRPr="00A56288">
        <w:rPr>
          <w:rFonts w:ascii="Verdana" w:hAnsi="Verdana"/>
          <w:iCs/>
          <w:sz w:val="20"/>
          <w:szCs w:val="20"/>
          <w:lang w:val="es-ES"/>
        </w:rPr>
        <w:t xml:space="preserve">, </w:t>
      </w:r>
      <w:r w:rsidR="00E61BE1" w:rsidRPr="00A56288">
        <w:rPr>
          <w:rFonts w:ascii="Verdana" w:hAnsi="Verdana"/>
          <w:i/>
          <w:iCs/>
          <w:sz w:val="20"/>
          <w:szCs w:val="20"/>
          <w:lang w:val="es-ES"/>
        </w:rPr>
        <w:t>Mack Chang</w:t>
      </w:r>
      <w:r w:rsidR="00E61BE1" w:rsidRPr="00A56288">
        <w:rPr>
          <w:rFonts w:ascii="Verdana" w:hAnsi="Verdana"/>
          <w:sz w:val="20"/>
          <w:szCs w:val="20"/>
          <w:lang w:val="es-ES"/>
        </w:rPr>
        <w:t xml:space="preserve">, </w:t>
      </w:r>
      <w:r w:rsidR="00E61BE1" w:rsidRPr="00A56288">
        <w:rPr>
          <w:rFonts w:ascii="Verdana" w:hAnsi="Verdana"/>
          <w:i/>
          <w:iCs/>
          <w:sz w:val="20"/>
          <w:szCs w:val="20"/>
          <w:lang w:val="es-ES"/>
        </w:rPr>
        <w:t>Maritza Urrutia</w:t>
      </w:r>
      <w:r w:rsidR="00E61BE1" w:rsidRPr="00A56288">
        <w:rPr>
          <w:rFonts w:ascii="Verdana" w:hAnsi="Verdana"/>
          <w:iCs/>
          <w:sz w:val="20"/>
          <w:szCs w:val="20"/>
          <w:lang w:val="es-ES"/>
        </w:rPr>
        <w:t xml:space="preserve">, </w:t>
      </w:r>
      <w:r w:rsidR="00E61BE1" w:rsidRPr="00A56288">
        <w:rPr>
          <w:rFonts w:ascii="Verdana" w:hAnsi="Verdana"/>
          <w:i/>
          <w:iCs/>
          <w:sz w:val="20"/>
          <w:szCs w:val="20"/>
          <w:lang w:val="es-ES"/>
        </w:rPr>
        <w:t>Carpio Nicolle</w:t>
      </w:r>
      <w:r w:rsidR="00E61BE1" w:rsidRPr="00A56288">
        <w:rPr>
          <w:rFonts w:ascii="Verdana" w:hAnsi="Verdana"/>
          <w:iCs/>
          <w:sz w:val="20"/>
          <w:szCs w:val="20"/>
          <w:lang w:val="es-ES"/>
        </w:rPr>
        <w:t xml:space="preserve">, </w:t>
      </w:r>
      <w:r w:rsidR="00E61BE1" w:rsidRPr="00A56288">
        <w:rPr>
          <w:rFonts w:ascii="Verdana" w:hAnsi="Verdana"/>
          <w:i/>
          <w:iCs/>
          <w:sz w:val="20"/>
          <w:szCs w:val="20"/>
          <w:lang w:val="es-ES"/>
        </w:rPr>
        <w:t>Tiu Tojín</w:t>
      </w:r>
      <w:r w:rsidR="00E61BE1" w:rsidRPr="00A56288">
        <w:rPr>
          <w:rFonts w:ascii="Verdana" w:hAnsi="Verdana"/>
          <w:iCs/>
          <w:sz w:val="20"/>
          <w:szCs w:val="20"/>
          <w:lang w:val="es-ES"/>
        </w:rPr>
        <w:t xml:space="preserve">, </w:t>
      </w:r>
      <w:r w:rsidR="00E61BE1" w:rsidRPr="00A56288">
        <w:rPr>
          <w:rFonts w:ascii="Verdana" w:hAnsi="Verdana"/>
          <w:i/>
          <w:iCs/>
          <w:sz w:val="20"/>
          <w:szCs w:val="20"/>
          <w:lang w:val="es-ES"/>
        </w:rPr>
        <w:t>Masacre de las Dos Erres</w:t>
      </w:r>
      <w:r w:rsidR="00E61BE1" w:rsidRPr="00A56288">
        <w:rPr>
          <w:rFonts w:ascii="Verdana" w:hAnsi="Verdana"/>
          <w:sz w:val="20"/>
          <w:szCs w:val="20"/>
          <w:lang w:val="es-ES"/>
        </w:rPr>
        <w:t>, y</w:t>
      </w:r>
      <w:r w:rsidR="00E61BE1" w:rsidRPr="00A56288">
        <w:rPr>
          <w:rFonts w:ascii="Verdana" w:hAnsi="Verdana"/>
          <w:b/>
          <w:sz w:val="20"/>
          <w:szCs w:val="20"/>
          <w:lang w:val="es-ES"/>
        </w:rPr>
        <w:t xml:space="preserve"> </w:t>
      </w:r>
      <w:r w:rsidR="00E61BE1" w:rsidRPr="00A56288">
        <w:rPr>
          <w:rFonts w:ascii="Verdana" w:hAnsi="Verdana"/>
          <w:i/>
          <w:sz w:val="20"/>
          <w:szCs w:val="20"/>
          <w:lang w:val="es-ES"/>
        </w:rPr>
        <w:t>Chitay Nech</w:t>
      </w:r>
      <w:r w:rsidR="00E61BE1">
        <w:rPr>
          <w:rFonts w:ascii="Verdana" w:hAnsi="Verdana"/>
          <w:sz w:val="20"/>
          <w:szCs w:val="20"/>
          <w:lang w:val="es-ES"/>
        </w:rPr>
        <w:t>).</w:t>
      </w:r>
    </w:p>
    <w:p w14:paraId="6FE44D91" w14:textId="77777777" w:rsidR="00C3267F" w:rsidRPr="0032068E" w:rsidRDefault="00C3267F" w:rsidP="00C3267F">
      <w:pPr>
        <w:pStyle w:val="ListParagraph"/>
        <w:spacing w:after="0" w:line="240" w:lineRule="auto"/>
        <w:ind w:left="0" w:right="1444"/>
        <w:jc w:val="both"/>
        <w:rPr>
          <w:rFonts w:ascii="Verdana" w:hAnsi="Verdana" w:cs="Verdana"/>
          <w:sz w:val="20"/>
          <w:lang w:val="es-ES"/>
        </w:rPr>
      </w:pPr>
    </w:p>
    <w:p w14:paraId="2480B082" w14:textId="23F96CDA" w:rsidR="00C3267F" w:rsidRPr="0032068E" w:rsidRDefault="00C3267F" w:rsidP="00C3267F">
      <w:pPr>
        <w:numPr>
          <w:ilvl w:val="0"/>
          <w:numId w:val="2"/>
        </w:numPr>
        <w:spacing w:after="0" w:line="240" w:lineRule="auto"/>
        <w:ind w:left="0" w:right="1444" w:firstLine="0"/>
        <w:contextualSpacing/>
        <w:jc w:val="both"/>
        <w:rPr>
          <w:rFonts w:ascii="Verdana" w:hAnsi="Verdana" w:cs="Verdana"/>
          <w:sz w:val="20"/>
          <w:szCs w:val="20"/>
          <w:lang w:val="es-ES"/>
        </w:rPr>
      </w:pPr>
      <w:r w:rsidRPr="0032068E">
        <w:rPr>
          <w:rFonts w:ascii="Verdana" w:hAnsi="Verdana" w:cs="Verdana"/>
          <w:sz w:val="20"/>
          <w:lang w:val="es-ES"/>
        </w:rPr>
        <w:t xml:space="preserve">Resulta imprescindible que, al cumplir con su obligación de investigar, el Estado observe los criterios enfatizados </w:t>
      </w:r>
      <w:r w:rsidR="002D40FE">
        <w:rPr>
          <w:rFonts w:ascii="Verdana" w:hAnsi="Verdana" w:cs="Verdana"/>
          <w:sz w:val="20"/>
          <w:lang w:val="es-ES"/>
        </w:rPr>
        <w:t>por la Corte en sus Sentencias y le</w:t>
      </w:r>
      <w:r w:rsidRPr="0032068E">
        <w:rPr>
          <w:rFonts w:ascii="Verdana" w:hAnsi="Verdana" w:cs="Verdana"/>
          <w:sz w:val="20"/>
          <w:lang w:val="es-ES"/>
        </w:rPr>
        <w:t xml:space="preserve"> informe al respecto, particularmente, aquellos dirigidos a asegurar una debida diligencia en la investigación.</w:t>
      </w:r>
    </w:p>
    <w:p w14:paraId="78003660" w14:textId="77777777" w:rsidR="00C3267F" w:rsidRPr="0032068E" w:rsidRDefault="00C3267F" w:rsidP="00C3267F">
      <w:pPr>
        <w:spacing w:after="0" w:line="240" w:lineRule="auto"/>
        <w:ind w:right="1444"/>
        <w:contextualSpacing/>
        <w:jc w:val="both"/>
        <w:rPr>
          <w:rFonts w:ascii="Verdana" w:hAnsi="Verdana" w:cs="Verdana"/>
          <w:sz w:val="20"/>
          <w:szCs w:val="20"/>
          <w:lang w:val="es-ES"/>
        </w:rPr>
      </w:pPr>
    </w:p>
    <w:p w14:paraId="3B330832" w14:textId="301BB3A8" w:rsidR="00C3267F" w:rsidRPr="0032068E" w:rsidRDefault="00C3267F" w:rsidP="00C3267F">
      <w:pPr>
        <w:numPr>
          <w:ilvl w:val="0"/>
          <w:numId w:val="2"/>
        </w:numPr>
        <w:spacing w:after="0" w:line="240" w:lineRule="auto"/>
        <w:ind w:left="0" w:right="1444" w:firstLine="0"/>
        <w:contextualSpacing/>
        <w:jc w:val="both"/>
        <w:rPr>
          <w:rFonts w:ascii="Verdana" w:hAnsi="Verdana" w:cs="Verdana"/>
          <w:sz w:val="20"/>
          <w:szCs w:val="20"/>
          <w:lang w:val="es-ES"/>
        </w:rPr>
      </w:pPr>
      <w:r w:rsidRPr="0032068E">
        <w:rPr>
          <w:rFonts w:ascii="Verdana" w:hAnsi="Verdana" w:cs="Verdana"/>
          <w:sz w:val="20"/>
          <w:szCs w:val="20"/>
          <w:lang w:val="es-ES"/>
        </w:rPr>
        <w:t xml:space="preserve">Más aún, la Corte, en los casos </w:t>
      </w:r>
      <w:r w:rsidRPr="0032068E">
        <w:rPr>
          <w:rFonts w:ascii="Verdana" w:hAnsi="Verdana" w:cs="Verdana"/>
          <w:i/>
          <w:sz w:val="20"/>
          <w:szCs w:val="20"/>
          <w:lang w:val="es-ES"/>
        </w:rPr>
        <w:t>Blake, Niños de la Calle, Bámaca Velásquez, Panel Blanca</w:t>
      </w:r>
      <w:r w:rsidR="0081255E">
        <w:rPr>
          <w:rFonts w:ascii="Verdana" w:hAnsi="Verdana" w:cs="Verdana"/>
          <w:i/>
          <w:sz w:val="20"/>
          <w:szCs w:val="20"/>
          <w:lang w:val="es-ES"/>
        </w:rPr>
        <w:t xml:space="preserve"> y </w:t>
      </w:r>
      <w:r w:rsidRPr="0032068E">
        <w:rPr>
          <w:rFonts w:ascii="Verdana" w:hAnsi="Verdana" w:cs="Verdana"/>
          <w:i/>
          <w:sz w:val="20"/>
          <w:szCs w:val="20"/>
          <w:lang w:val="es-ES"/>
        </w:rPr>
        <w:t>Molina Theissen,</w:t>
      </w:r>
      <w:r w:rsidRPr="0032068E">
        <w:rPr>
          <w:rFonts w:ascii="Verdana" w:hAnsi="Verdana" w:cs="Verdana"/>
          <w:sz w:val="20"/>
          <w:szCs w:val="20"/>
          <w:lang w:val="es-ES"/>
        </w:rPr>
        <w:t xml:space="preserve"> dispuso que el Estado “tiene la obligación de combatir [la impunidad] por todos los medios legales disponibles ya que […] propicia la repetición crónica de las violaciones de derechos humanos y la total indefensión de las víctimas y de sus familiares”. En los casos </w:t>
      </w:r>
      <w:r w:rsidRPr="0032068E">
        <w:rPr>
          <w:rFonts w:ascii="Verdana" w:hAnsi="Verdana" w:cs="Verdana"/>
          <w:i/>
          <w:sz w:val="20"/>
          <w:szCs w:val="20"/>
          <w:lang w:val="es-ES"/>
        </w:rPr>
        <w:t>Niños de la Calle, Bámaca Velásquez</w:t>
      </w:r>
      <w:r w:rsidR="0081255E">
        <w:rPr>
          <w:rFonts w:ascii="Verdana" w:hAnsi="Verdana" w:cs="Verdana"/>
          <w:i/>
          <w:sz w:val="20"/>
          <w:szCs w:val="20"/>
          <w:lang w:val="es-ES"/>
        </w:rPr>
        <w:t xml:space="preserve"> </w:t>
      </w:r>
      <w:r w:rsidR="0081255E" w:rsidRPr="0081255E">
        <w:rPr>
          <w:rFonts w:ascii="Verdana" w:hAnsi="Verdana" w:cs="Verdana"/>
          <w:sz w:val="20"/>
          <w:szCs w:val="20"/>
          <w:lang w:val="es-ES"/>
        </w:rPr>
        <w:t>y</w:t>
      </w:r>
      <w:r w:rsidR="002D40FE">
        <w:rPr>
          <w:rFonts w:ascii="Verdana" w:hAnsi="Verdana" w:cs="Verdana"/>
          <w:i/>
          <w:sz w:val="20"/>
          <w:szCs w:val="20"/>
          <w:lang w:val="es-ES"/>
        </w:rPr>
        <w:t xml:space="preserve"> Panel Blanca</w:t>
      </w:r>
      <w:r w:rsidRPr="0032068E">
        <w:rPr>
          <w:rFonts w:ascii="Verdana" w:hAnsi="Verdana" w:cs="Verdana"/>
          <w:sz w:val="20"/>
          <w:szCs w:val="20"/>
          <w:lang w:val="es-ES"/>
        </w:rPr>
        <w:t xml:space="preserve"> </w:t>
      </w:r>
      <w:r w:rsidR="00EA0688">
        <w:rPr>
          <w:rFonts w:ascii="Verdana" w:hAnsi="Verdana" w:cs="Verdana"/>
          <w:sz w:val="20"/>
          <w:szCs w:val="20"/>
          <w:lang w:val="es-ES"/>
        </w:rPr>
        <w:t>enfatizó</w:t>
      </w:r>
      <w:r w:rsidRPr="0032068E">
        <w:rPr>
          <w:rFonts w:ascii="Verdana" w:hAnsi="Verdana" w:cs="Verdana"/>
          <w:sz w:val="20"/>
          <w:szCs w:val="20"/>
          <w:lang w:val="es-ES"/>
        </w:rPr>
        <w:t xml:space="preserve"> que “el Estado que deja impune las violaciones de derechos humanos estaría incumpliendo, adicionalmente, su deber general de garantizar el libre y pleno ejercicio de los derechos de las personas sujetas a su jurisdicción”. </w:t>
      </w:r>
    </w:p>
    <w:p w14:paraId="2FCE41CD" w14:textId="77777777" w:rsidR="00C3267F" w:rsidRPr="0032068E" w:rsidRDefault="00C3267F" w:rsidP="00C3267F">
      <w:pPr>
        <w:spacing w:after="0" w:line="240" w:lineRule="auto"/>
        <w:ind w:right="1444"/>
        <w:contextualSpacing/>
        <w:jc w:val="center"/>
        <w:rPr>
          <w:rFonts w:ascii="Verdana" w:hAnsi="Verdana" w:cs="Verdana"/>
          <w:sz w:val="20"/>
          <w:szCs w:val="20"/>
          <w:lang w:val="es-ES"/>
        </w:rPr>
      </w:pPr>
    </w:p>
    <w:p w14:paraId="16BF34EF" w14:textId="7E0D464A" w:rsidR="00F15D25" w:rsidRPr="0032068E" w:rsidRDefault="00C3267F" w:rsidP="00340848">
      <w:pPr>
        <w:numPr>
          <w:ilvl w:val="0"/>
          <w:numId w:val="2"/>
        </w:numPr>
        <w:spacing w:after="0" w:line="240" w:lineRule="auto"/>
        <w:ind w:left="0" w:right="1444" w:firstLine="0"/>
        <w:contextualSpacing/>
        <w:jc w:val="both"/>
        <w:rPr>
          <w:rFonts w:ascii="Verdana" w:hAnsi="Verdana" w:cs="Verdana"/>
          <w:i/>
          <w:sz w:val="20"/>
          <w:szCs w:val="20"/>
          <w:lang w:val="es-ES"/>
        </w:rPr>
      </w:pPr>
      <w:bookmarkStart w:id="43" w:name="_Ref437846322"/>
      <w:r w:rsidRPr="0032068E">
        <w:rPr>
          <w:rFonts w:ascii="Verdana" w:hAnsi="Verdana" w:cs="Verdana"/>
          <w:sz w:val="20"/>
          <w:szCs w:val="20"/>
          <w:lang w:val="es-ES"/>
        </w:rPr>
        <w:t xml:space="preserve">Finalmente, en el caso </w:t>
      </w:r>
      <w:r w:rsidRPr="0032068E">
        <w:rPr>
          <w:rFonts w:ascii="Verdana" w:hAnsi="Verdana" w:cs="Verdana"/>
          <w:i/>
          <w:sz w:val="20"/>
          <w:szCs w:val="20"/>
          <w:lang w:val="es-ES"/>
        </w:rPr>
        <w:t>Bámaca Velásquez,</w:t>
      </w:r>
      <w:r w:rsidRPr="0032068E">
        <w:rPr>
          <w:rFonts w:ascii="Verdana" w:hAnsi="Verdana" w:cs="Verdana"/>
          <w:sz w:val="20"/>
          <w:szCs w:val="20"/>
          <w:lang w:val="es-ES"/>
        </w:rPr>
        <w:t xml:space="preserve"> la Corte recordó que “el derecho a la verdad se encontraba ‘subsumido en el derecho de la víctima o sus familiares a obtener de los órganos competentes del Estado el esclarecimiento de los hechos violatorios y las responsabilidades correspondientes […]’”, y que “sólo si se esclarecen todas las circunstancias de las violaciones de que se trata se podrá considerar que el Estado ha proporcionado a la víctima y a sus familiares un recurso efectivo y ha cumplido con su obligación general de investigar”</w:t>
      </w:r>
      <w:r w:rsidR="0081255E">
        <w:rPr>
          <w:rStyle w:val="FootnoteReference"/>
          <w:rFonts w:ascii="Verdana" w:hAnsi="Verdana" w:cs="Verdana"/>
          <w:sz w:val="20"/>
          <w:szCs w:val="20"/>
          <w:lang w:val="es-ES"/>
        </w:rPr>
        <w:footnoteReference w:id="43"/>
      </w:r>
      <w:r w:rsidRPr="0032068E">
        <w:rPr>
          <w:rFonts w:ascii="Verdana" w:hAnsi="Verdana" w:cs="Verdana"/>
          <w:sz w:val="20"/>
          <w:szCs w:val="20"/>
          <w:lang w:val="es-ES"/>
        </w:rPr>
        <w:t xml:space="preserve">.  </w:t>
      </w:r>
      <w:bookmarkEnd w:id="43"/>
    </w:p>
    <w:p w14:paraId="089E830D" w14:textId="77777777" w:rsidR="00340848" w:rsidRPr="0032068E" w:rsidRDefault="00340848" w:rsidP="00D901B8">
      <w:pPr>
        <w:spacing w:after="0" w:line="240" w:lineRule="auto"/>
        <w:ind w:right="1444"/>
        <w:contextualSpacing/>
        <w:jc w:val="both"/>
        <w:rPr>
          <w:rFonts w:ascii="Verdana" w:hAnsi="Verdana" w:cs="Verdana"/>
          <w:sz w:val="20"/>
          <w:szCs w:val="20"/>
          <w:lang w:val="es-ES"/>
        </w:rPr>
      </w:pPr>
    </w:p>
    <w:p w14:paraId="5E9B9991" w14:textId="31C7F2E6" w:rsidR="003E25C7" w:rsidRPr="0032068E" w:rsidRDefault="00C3267F" w:rsidP="00AD5701">
      <w:pPr>
        <w:numPr>
          <w:ilvl w:val="0"/>
          <w:numId w:val="2"/>
        </w:numPr>
        <w:spacing w:after="0" w:line="240" w:lineRule="auto"/>
        <w:ind w:left="0" w:right="1444" w:firstLine="0"/>
        <w:contextualSpacing/>
        <w:jc w:val="both"/>
        <w:rPr>
          <w:rFonts w:ascii="Verdana" w:hAnsi="Verdana" w:cs="Verdana"/>
          <w:sz w:val="20"/>
          <w:szCs w:val="20"/>
          <w:lang w:val="es-ES"/>
        </w:rPr>
      </w:pPr>
      <w:r w:rsidRPr="0032068E">
        <w:rPr>
          <w:rFonts w:ascii="Verdana" w:hAnsi="Verdana" w:cs="Verdana"/>
          <w:sz w:val="20"/>
          <w:szCs w:val="20"/>
          <w:lang w:val="es-ES"/>
        </w:rPr>
        <w:t xml:space="preserve">La Corte procederá a evaluar el grado de cumplimiento de la </w:t>
      </w:r>
      <w:r w:rsidR="00EA0688">
        <w:rPr>
          <w:rFonts w:ascii="Verdana" w:hAnsi="Verdana" w:cs="Verdana"/>
          <w:sz w:val="20"/>
          <w:szCs w:val="20"/>
          <w:lang w:val="es-ES"/>
        </w:rPr>
        <w:t>obligación de investigar</w:t>
      </w:r>
      <w:r w:rsidRPr="0032068E">
        <w:rPr>
          <w:rFonts w:ascii="Verdana" w:hAnsi="Verdana" w:cs="Verdana"/>
          <w:sz w:val="20"/>
          <w:szCs w:val="20"/>
          <w:lang w:val="es-ES"/>
        </w:rPr>
        <w:t xml:space="preserve">, en primer lugar, </w:t>
      </w:r>
      <w:r w:rsidR="00BA263D" w:rsidRPr="0032068E">
        <w:rPr>
          <w:rFonts w:ascii="Verdana" w:hAnsi="Verdana" w:cs="Verdana"/>
          <w:sz w:val="20"/>
          <w:szCs w:val="20"/>
          <w:lang w:val="es-ES"/>
        </w:rPr>
        <w:t xml:space="preserve">analizando </w:t>
      </w:r>
      <w:r w:rsidRPr="0032068E">
        <w:rPr>
          <w:rFonts w:ascii="Verdana" w:hAnsi="Verdana" w:cs="Verdana"/>
          <w:sz w:val="20"/>
          <w:szCs w:val="20"/>
          <w:lang w:val="es-ES"/>
        </w:rPr>
        <w:t xml:space="preserve">cada uno de los </w:t>
      </w:r>
      <w:r w:rsidRPr="0032068E">
        <w:rPr>
          <w:rFonts w:ascii="Verdana" w:hAnsi="Verdana" w:cs="Verdana"/>
          <w:i/>
          <w:sz w:val="20"/>
          <w:szCs w:val="20"/>
          <w:lang w:val="es-ES"/>
        </w:rPr>
        <w:t>12 casos</w:t>
      </w:r>
      <w:r w:rsidR="00BA263D" w:rsidRPr="0032068E">
        <w:rPr>
          <w:rFonts w:ascii="Verdana" w:hAnsi="Verdana" w:cs="Verdana"/>
          <w:i/>
          <w:sz w:val="20"/>
          <w:szCs w:val="20"/>
          <w:lang w:val="es-ES"/>
        </w:rPr>
        <w:t xml:space="preserve"> </w:t>
      </w:r>
      <w:r w:rsidR="00BA263D" w:rsidRPr="0032068E">
        <w:rPr>
          <w:rFonts w:ascii="Verdana" w:hAnsi="Verdana" w:cs="Verdana"/>
          <w:sz w:val="20"/>
          <w:szCs w:val="20"/>
          <w:lang w:val="es-ES"/>
        </w:rPr>
        <w:t>en forma individual</w:t>
      </w:r>
      <w:r w:rsidR="004A119D" w:rsidRPr="0032068E">
        <w:rPr>
          <w:rFonts w:ascii="Verdana" w:hAnsi="Verdana" w:cs="Verdana"/>
          <w:i/>
          <w:sz w:val="20"/>
          <w:szCs w:val="20"/>
          <w:lang w:val="es-ES"/>
        </w:rPr>
        <w:t xml:space="preserve"> </w:t>
      </w:r>
      <w:r w:rsidR="004A119D" w:rsidRPr="0032068E">
        <w:rPr>
          <w:rFonts w:ascii="Verdana" w:hAnsi="Verdana" w:cs="Verdana"/>
          <w:sz w:val="20"/>
          <w:szCs w:val="20"/>
          <w:lang w:val="es-ES"/>
        </w:rPr>
        <w:t>y,</w:t>
      </w:r>
      <w:r w:rsidRPr="0032068E">
        <w:rPr>
          <w:rFonts w:ascii="Verdana" w:hAnsi="Verdana" w:cs="Verdana"/>
          <w:i/>
          <w:sz w:val="20"/>
          <w:szCs w:val="20"/>
          <w:lang w:val="es-ES"/>
        </w:rPr>
        <w:t xml:space="preserve"> </w:t>
      </w:r>
      <w:r w:rsidRPr="0032068E">
        <w:rPr>
          <w:rFonts w:ascii="Verdana" w:hAnsi="Verdana" w:cs="Verdana"/>
          <w:sz w:val="20"/>
          <w:szCs w:val="20"/>
          <w:lang w:val="es-ES"/>
        </w:rPr>
        <w:t>en segundo lugar</w:t>
      </w:r>
      <w:r w:rsidR="004A119D" w:rsidRPr="0032068E">
        <w:rPr>
          <w:rFonts w:ascii="Verdana" w:hAnsi="Verdana" w:cs="Verdana"/>
          <w:sz w:val="20"/>
          <w:szCs w:val="20"/>
          <w:lang w:val="es-ES"/>
        </w:rPr>
        <w:t>,</w:t>
      </w:r>
      <w:r w:rsidRPr="0032068E">
        <w:rPr>
          <w:rFonts w:ascii="Verdana" w:hAnsi="Verdana" w:cs="Verdana"/>
          <w:sz w:val="20"/>
          <w:szCs w:val="20"/>
          <w:lang w:val="es-ES"/>
        </w:rPr>
        <w:t xml:space="preserve"> analizando los alegados problemas estructurales </w:t>
      </w:r>
      <w:r w:rsidR="008C486F" w:rsidRPr="0032068E">
        <w:rPr>
          <w:rFonts w:ascii="Verdana" w:hAnsi="Verdana" w:cs="Verdana"/>
          <w:sz w:val="20"/>
          <w:szCs w:val="20"/>
          <w:lang w:val="es-ES"/>
        </w:rPr>
        <w:t xml:space="preserve">a que se refirieron </w:t>
      </w:r>
      <w:r w:rsidRPr="0032068E">
        <w:rPr>
          <w:rFonts w:ascii="Verdana" w:hAnsi="Verdana" w:cs="Verdana"/>
          <w:sz w:val="20"/>
          <w:szCs w:val="20"/>
          <w:lang w:val="es-ES"/>
        </w:rPr>
        <w:t xml:space="preserve"> los representantes, la Comisión y </w:t>
      </w:r>
      <w:r w:rsidR="004A119D" w:rsidRPr="0032068E">
        <w:rPr>
          <w:rFonts w:ascii="Verdana" w:hAnsi="Verdana" w:cs="Verdana"/>
          <w:sz w:val="20"/>
          <w:szCs w:val="20"/>
          <w:lang w:val="es-ES"/>
        </w:rPr>
        <w:t>el</w:t>
      </w:r>
      <w:r w:rsidRPr="0032068E">
        <w:rPr>
          <w:rFonts w:ascii="Verdana" w:hAnsi="Verdana" w:cs="Verdana"/>
          <w:sz w:val="20"/>
          <w:szCs w:val="20"/>
          <w:lang w:val="es-ES"/>
        </w:rPr>
        <w:t xml:space="preserve"> Ministerio Público</w:t>
      </w:r>
      <w:r w:rsidR="004A119D" w:rsidRPr="0032068E">
        <w:rPr>
          <w:rFonts w:ascii="Verdana" w:hAnsi="Verdana" w:cs="Verdana"/>
          <w:sz w:val="20"/>
          <w:szCs w:val="20"/>
          <w:lang w:val="es-ES"/>
        </w:rPr>
        <w:t xml:space="preserve"> </w:t>
      </w:r>
      <w:r w:rsidR="00E43192" w:rsidRPr="0032068E">
        <w:rPr>
          <w:rFonts w:ascii="Verdana" w:hAnsi="Verdana" w:cs="Verdana"/>
          <w:sz w:val="20"/>
          <w:szCs w:val="20"/>
          <w:lang w:val="es-ES"/>
        </w:rPr>
        <w:t xml:space="preserve">en </w:t>
      </w:r>
      <w:r w:rsidR="004A119D" w:rsidRPr="0032068E">
        <w:rPr>
          <w:rFonts w:ascii="Verdana" w:hAnsi="Verdana" w:cs="Verdana"/>
          <w:sz w:val="20"/>
          <w:szCs w:val="20"/>
          <w:lang w:val="es-ES"/>
        </w:rPr>
        <w:t xml:space="preserve">su </w:t>
      </w:r>
      <w:r w:rsidR="00E43192" w:rsidRPr="0032068E">
        <w:rPr>
          <w:rFonts w:ascii="Verdana" w:hAnsi="Verdana" w:cs="Verdana"/>
          <w:sz w:val="20"/>
          <w:szCs w:val="20"/>
          <w:lang w:val="es-ES"/>
        </w:rPr>
        <w:t>i</w:t>
      </w:r>
      <w:r w:rsidR="004A119D" w:rsidRPr="0032068E">
        <w:rPr>
          <w:rFonts w:ascii="Verdana" w:hAnsi="Verdana" w:cs="Verdana"/>
          <w:sz w:val="20"/>
          <w:szCs w:val="20"/>
          <w:lang w:val="es-ES"/>
        </w:rPr>
        <w:t>nforme</w:t>
      </w:r>
      <w:r w:rsidR="002D40FE">
        <w:rPr>
          <w:rFonts w:ascii="Verdana" w:hAnsi="Verdana" w:cs="Verdana"/>
          <w:sz w:val="20"/>
          <w:szCs w:val="20"/>
          <w:lang w:val="es-ES"/>
        </w:rPr>
        <w:t xml:space="preserve"> de mayo de 2014</w:t>
      </w:r>
      <w:r w:rsidR="004A119D" w:rsidRPr="0032068E">
        <w:rPr>
          <w:rFonts w:ascii="Verdana" w:hAnsi="Verdana" w:cs="Verdana"/>
          <w:sz w:val="20"/>
          <w:szCs w:val="20"/>
          <w:lang w:val="es-ES"/>
        </w:rPr>
        <w:t>.</w:t>
      </w:r>
      <w:r w:rsidRPr="0032068E">
        <w:rPr>
          <w:rFonts w:ascii="Verdana" w:hAnsi="Verdana" w:cs="Verdana"/>
          <w:sz w:val="20"/>
          <w:szCs w:val="20"/>
          <w:lang w:val="es-ES"/>
        </w:rPr>
        <w:t xml:space="preserve"> </w:t>
      </w:r>
    </w:p>
    <w:p w14:paraId="703BEB05" w14:textId="77777777" w:rsidR="00622928" w:rsidRPr="0032068E" w:rsidRDefault="00622928" w:rsidP="00622928">
      <w:pPr>
        <w:spacing w:after="0" w:line="240" w:lineRule="auto"/>
        <w:ind w:right="1444"/>
        <w:contextualSpacing/>
        <w:jc w:val="both"/>
        <w:rPr>
          <w:rFonts w:ascii="Verdana" w:hAnsi="Verdana" w:cs="Verdana"/>
          <w:sz w:val="20"/>
          <w:szCs w:val="20"/>
          <w:lang w:val="es-ES"/>
        </w:rPr>
      </w:pPr>
    </w:p>
    <w:p w14:paraId="125F3EB9" w14:textId="1BC091EB" w:rsidR="00F15D25" w:rsidRPr="0032068E" w:rsidRDefault="00AD5701" w:rsidP="00AD5701">
      <w:pPr>
        <w:pStyle w:val="Heading2"/>
      </w:pPr>
      <w:bookmarkStart w:id="44" w:name="_Toc435778525"/>
      <w:bookmarkStart w:id="45" w:name="_Toc439248783"/>
      <w:r w:rsidRPr="0032068E">
        <w:t xml:space="preserve">D) </w:t>
      </w:r>
      <w:r w:rsidR="00C3267F" w:rsidRPr="0032068E">
        <w:t>Consideraciones particulares sobre cada uno de los 12 Casos</w:t>
      </w:r>
      <w:bookmarkEnd w:id="44"/>
      <w:bookmarkEnd w:id="45"/>
    </w:p>
    <w:p w14:paraId="6AF5FA06" w14:textId="77777777" w:rsidR="00F15D25" w:rsidRPr="0032068E" w:rsidRDefault="00F15D25" w:rsidP="00D901B8">
      <w:pPr>
        <w:spacing w:after="0" w:line="240" w:lineRule="auto"/>
        <w:ind w:left="720" w:right="1444"/>
        <w:jc w:val="both"/>
        <w:rPr>
          <w:rFonts w:ascii="Verdana" w:hAnsi="Verdana" w:cs="Verdana"/>
          <w:sz w:val="20"/>
          <w:szCs w:val="20"/>
          <w:lang w:val="es-ES"/>
        </w:rPr>
      </w:pPr>
    </w:p>
    <w:p w14:paraId="7985A892" w14:textId="3F812B53" w:rsidR="003E25C7" w:rsidRPr="0032068E" w:rsidRDefault="00EA0688" w:rsidP="00922490">
      <w:pPr>
        <w:pStyle w:val="ListParagraph"/>
        <w:numPr>
          <w:ilvl w:val="0"/>
          <w:numId w:val="2"/>
        </w:numPr>
        <w:spacing w:after="0" w:line="240" w:lineRule="auto"/>
        <w:ind w:left="0" w:right="1444" w:firstLine="0"/>
        <w:jc w:val="both"/>
        <w:rPr>
          <w:rFonts w:ascii="Verdana" w:hAnsi="Verdana" w:cs="Verdana"/>
          <w:sz w:val="20"/>
          <w:szCs w:val="20"/>
          <w:lang w:val="es-CR"/>
        </w:rPr>
      </w:pPr>
      <w:r>
        <w:rPr>
          <w:rFonts w:ascii="Verdana" w:hAnsi="Verdana"/>
          <w:sz w:val="20"/>
          <w:szCs w:val="20"/>
          <w:lang w:val="es-CR"/>
        </w:rPr>
        <w:t>Las</w:t>
      </w:r>
      <w:r w:rsidR="006A7CE6" w:rsidRPr="0032068E">
        <w:rPr>
          <w:rFonts w:ascii="Verdana" w:hAnsi="Verdana"/>
          <w:sz w:val="20"/>
          <w:szCs w:val="20"/>
          <w:lang w:val="es-CR"/>
        </w:rPr>
        <w:t xml:space="preserve"> consideraciones </w:t>
      </w:r>
      <w:r w:rsidR="002D40FE">
        <w:rPr>
          <w:rFonts w:ascii="Verdana" w:hAnsi="Verdana"/>
          <w:sz w:val="20"/>
          <w:szCs w:val="20"/>
          <w:lang w:val="es-CR"/>
        </w:rPr>
        <w:t>se</w:t>
      </w:r>
      <w:r>
        <w:rPr>
          <w:rFonts w:ascii="Verdana" w:hAnsi="Verdana"/>
          <w:sz w:val="20"/>
          <w:szCs w:val="20"/>
          <w:lang w:val="es-CR"/>
        </w:rPr>
        <w:t xml:space="preserve"> realizarán mediante un</w:t>
      </w:r>
      <w:r w:rsidR="000E7169" w:rsidRPr="0032068E">
        <w:rPr>
          <w:rFonts w:ascii="Verdana" w:hAnsi="Verdana"/>
          <w:sz w:val="20"/>
          <w:szCs w:val="20"/>
          <w:lang w:val="es-CR"/>
        </w:rPr>
        <w:t xml:space="preserve"> orden </w:t>
      </w:r>
      <w:r>
        <w:rPr>
          <w:rFonts w:ascii="Verdana" w:hAnsi="Verdana"/>
          <w:sz w:val="20"/>
          <w:szCs w:val="20"/>
          <w:lang w:val="es-CR"/>
        </w:rPr>
        <w:t>en</w:t>
      </w:r>
      <w:r w:rsidR="000E7169" w:rsidRPr="0032068E">
        <w:rPr>
          <w:rFonts w:ascii="Verdana" w:hAnsi="Verdana"/>
          <w:sz w:val="20"/>
          <w:szCs w:val="20"/>
          <w:lang w:val="es-CR"/>
        </w:rPr>
        <w:t xml:space="preserve"> cronol</w:t>
      </w:r>
      <w:r>
        <w:rPr>
          <w:rFonts w:ascii="Verdana" w:hAnsi="Verdana"/>
          <w:sz w:val="20"/>
          <w:szCs w:val="20"/>
          <w:lang w:val="es-CR"/>
        </w:rPr>
        <w:t>o</w:t>
      </w:r>
      <w:r w:rsidR="000E7169" w:rsidRPr="0032068E">
        <w:rPr>
          <w:rFonts w:ascii="Verdana" w:hAnsi="Verdana"/>
          <w:sz w:val="20"/>
          <w:szCs w:val="20"/>
          <w:lang w:val="es-CR"/>
        </w:rPr>
        <w:t>g</w:t>
      </w:r>
      <w:r>
        <w:rPr>
          <w:rFonts w:ascii="Verdana" w:hAnsi="Verdana"/>
          <w:sz w:val="20"/>
          <w:szCs w:val="20"/>
          <w:lang w:val="es-CR"/>
        </w:rPr>
        <w:t>ía de los casos</w:t>
      </w:r>
      <w:r w:rsidR="00C31AE1">
        <w:rPr>
          <w:rFonts w:ascii="Verdana" w:hAnsi="Verdana"/>
          <w:sz w:val="20"/>
          <w:szCs w:val="20"/>
          <w:lang w:val="es-CR"/>
        </w:rPr>
        <w:t>, teniendo en cuenta la fecha de emisión de la Sentencia</w:t>
      </w:r>
      <w:r w:rsidR="000E7169" w:rsidRPr="0032068E">
        <w:rPr>
          <w:rFonts w:ascii="Verdana" w:hAnsi="Verdana"/>
          <w:sz w:val="20"/>
          <w:szCs w:val="20"/>
          <w:lang w:val="es-CR"/>
        </w:rPr>
        <w:t>,</w:t>
      </w:r>
      <w:r w:rsidR="006A7CE6" w:rsidRPr="0032068E">
        <w:rPr>
          <w:rFonts w:ascii="Verdana" w:hAnsi="Verdana"/>
          <w:sz w:val="20"/>
          <w:szCs w:val="20"/>
          <w:lang w:val="es-CR"/>
        </w:rPr>
        <w:t xml:space="preserve"> con el fin de determinar si han existido avances en el cumplimiento de cada una de las Sentencias desde la última </w:t>
      </w:r>
      <w:r w:rsidR="00922490" w:rsidRPr="0032068E">
        <w:rPr>
          <w:rFonts w:ascii="Verdana" w:hAnsi="Verdana"/>
          <w:sz w:val="20"/>
          <w:szCs w:val="20"/>
          <w:lang w:val="es-CR"/>
        </w:rPr>
        <w:t>oportunidad en la que valoró el grado de cumplimiento de la obligación de investigar</w:t>
      </w:r>
      <w:r w:rsidR="006A7CE6" w:rsidRPr="0032068E">
        <w:rPr>
          <w:rFonts w:ascii="Verdana" w:hAnsi="Verdana"/>
          <w:sz w:val="20"/>
          <w:szCs w:val="20"/>
          <w:lang w:val="es-CR"/>
        </w:rPr>
        <w:t>.</w:t>
      </w:r>
    </w:p>
    <w:p w14:paraId="70A9A29F" w14:textId="77777777" w:rsidR="00B86F8C" w:rsidRDefault="00B86F8C" w:rsidP="00C3267F">
      <w:pPr>
        <w:spacing w:after="0" w:line="240" w:lineRule="auto"/>
        <w:ind w:right="1444"/>
        <w:contextualSpacing/>
        <w:jc w:val="both"/>
        <w:rPr>
          <w:rFonts w:ascii="Verdana" w:hAnsi="Verdana" w:cs="Verdana"/>
          <w:sz w:val="20"/>
          <w:szCs w:val="20"/>
          <w:lang w:val="es-ES"/>
        </w:rPr>
      </w:pPr>
    </w:p>
    <w:p w14:paraId="46CCEF42" w14:textId="77777777" w:rsidR="00D33DAD" w:rsidRDefault="00D33DAD" w:rsidP="00C3267F">
      <w:pPr>
        <w:spacing w:after="0" w:line="240" w:lineRule="auto"/>
        <w:ind w:right="1444"/>
        <w:contextualSpacing/>
        <w:jc w:val="both"/>
        <w:rPr>
          <w:rFonts w:ascii="Verdana" w:hAnsi="Verdana" w:cs="Verdana"/>
          <w:sz w:val="20"/>
          <w:szCs w:val="20"/>
          <w:lang w:val="es-ES"/>
        </w:rPr>
      </w:pPr>
    </w:p>
    <w:p w14:paraId="3F0391F1" w14:textId="77777777" w:rsidR="00D33DAD" w:rsidRPr="0032068E" w:rsidRDefault="00D33DAD" w:rsidP="00C3267F">
      <w:pPr>
        <w:spacing w:after="0" w:line="240" w:lineRule="auto"/>
        <w:ind w:right="1444"/>
        <w:contextualSpacing/>
        <w:jc w:val="both"/>
        <w:rPr>
          <w:rFonts w:ascii="Verdana" w:hAnsi="Verdana" w:cs="Verdana"/>
          <w:sz w:val="20"/>
          <w:szCs w:val="20"/>
          <w:lang w:val="es-ES"/>
        </w:rPr>
      </w:pPr>
    </w:p>
    <w:p w14:paraId="46381CD2" w14:textId="77777777" w:rsidR="00320559" w:rsidRPr="0032068E" w:rsidRDefault="00320559" w:rsidP="00AD5701">
      <w:pPr>
        <w:pStyle w:val="Heading3"/>
      </w:pPr>
      <w:bookmarkStart w:id="46" w:name="_Toc435778526"/>
      <w:bookmarkStart w:id="47" w:name="_Toc439248784"/>
      <w:r w:rsidRPr="0032068E">
        <w:t>Caso Blake</w:t>
      </w:r>
      <w:bookmarkEnd w:id="46"/>
      <w:bookmarkEnd w:id="47"/>
    </w:p>
    <w:p w14:paraId="45FFDE4A" w14:textId="77777777" w:rsidR="00095EA1" w:rsidRPr="0032068E" w:rsidRDefault="00095EA1" w:rsidP="00095EA1">
      <w:pPr>
        <w:spacing w:after="0" w:line="240" w:lineRule="auto"/>
        <w:ind w:right="1444"/>
        <w:jc w:val="both"/>
        <w:rPr>
          <w:rFonts w:ascii="Verdana" w:hAnsi="Verdana"/>
          <w:sz w:val="20"/>
          <w:szCs w:val="20"/>
          <w:lang w:val="es-ES"/>
        </w:rPr>
      </w:pPr>
    </w:p>
    <w:p w14:paraId="03FFA988" w14:textId="079CD05F" w:rsidR="00095EA1" w:rsidRPr="0032068E" w:rsidRDefault="00095EA1" w:rsidP="00095EA1">
      <w:pPr>
        <w:numPr>
          <w:ilvl w:val="0"/>
          <w:numId w:val="2"/>
        </w:numPr>
        <w:spacing w:after="0" w:line="240" w:lineRule="auto"/>
        <w:ind w:left="0" w:right="1444" w:firstLine="0"/>
        <w:contextualSpacing/>
        <w:jc w:val="both"/>
        <w:rPr>
          <w:rFonts w:ascii="Verdana" w:hAnsi="Verdana"/>
          <w:sz w:val="20"/>
          <w:szCs w:val="20"/>
          <w:lang w:val="es-CR"/>
        </w:rPr>
      </w:pPr>
      <w:bookmarkStart w:id="48" w:name="_Ref437955801"/>
      <w:r>
        <w:rPr>
          <w:rFonts w:ascii="Verdana" w:hAnsi="Verdana" w:cs="Verdana"/>
          <w:sz w:val="20"/>
          <w:szCs w:val="20"/>
          <w:lang w:val="es-ES"/>
        </w:rPr>
        <w:t>E</w:t>
      </w:r>
      <w:r w:rsidRPr="0032068E">
        <w:rPr>
          <w:rFonts w:ascii="Verdana" w:hAnsi="Verdana" w:cs="Verdana"/>
          <w:sz w:val="20"/>
          <w:szCs w:val="20"/>
          <w:lang w:val="es-ES"/>
        </w:rPr>
        <w:t xml:space="preserve">n la Resolución de supervisión emitida en el 2009, la Corte </w:t>
      </w:r>
      <w:r w:rsidR="00FE6FFB">
        <w:rPr>
          <w:rFonts w:ascii="Verdana" w:hAnsi="Verdana" w:cs="Verdana"/>
          <w:sz w:val="20"/>
          <w:szCs w:val="20"/>
          <w:lang w:val="es-ES"/>
        </w:rPr>
        <w:t>reiteró lo que había constatado en la Resolución del 2003 respecto a</w:t>
      </w:r>
      <w:r w:rsidRPr="0032068E">
        <w:rPr>
          <w:rFonts w:ascii="Verdana" w:hAnsi="Verdana" w:cs="Verdana"/>
          <w:sz w:val="20"/>
          <w:szCs w:val="20"/>
          <w:lang w:val="es-ES"/>
        </w:rPr>
        <w:t xml:space="preserve"> que el Estado “condenó a 28 años de prisión al señor Vicente Cifuentes López como uno de los responsables de la desaparición y asesinato de Nicholas Chapman Blake”</w:t>
      </w:r>
      <w:r w:rsidRPr="0032068E">
        <w:rPr>
          <w:rStyle w:val="FootnoteReference"/>
          <w:rFonts w:ascii="Verdana" w:hAnsi="Verdana" w:cs="Verdana"/>
          <w:sz w:val="20"/>
          <w:szCs w:val="20"/>
          <w:lang w:val="es-ES"/>
        </w:rPr>
        <w:footnoteReference w:id="44"/>
      </w:r>
      <w:r w:rsidRPr="0032068E">
        <w:rPr>
          <w:rFonts w:ascii="Verdana" w:hAnsi="Verdana"/>
          <w:sz w:val="20"/>
          <w:szCs w:val="20"/>
          <w:lang w:val="es-CR"/>
        </w:rPr>
        <w:t xml:space="preserve">. </w:t>
      </w:r>
      <w:r w:rsidRPr="0032068E">
        <w:rPr>
          <w:rFonts w:ascii="Verdana" w:hAnsi="Verdana" w:cs="Verdana"/>
          <w:sz w:val="20"/>
          <w:szCs w:val="20"/>
          <w:lang w:val="es-ES"/>
        </w:rPr>
        <w:t xml:space="preserve">Además, destacó que “las órdenes de aprehensión en contra </w:t>
      </w:r>
      <w:r w:rsidRPr="0032068E">
        <w:rPr>
          <w:rFonts w:ascii="Verdana" w:hAnsi="Verdana" w:cs="Verdana"/>
          <w:sz w:val="20"/>
          <w:szCs w:val="20"/>
          <w:lang w:val="es-ES"/>
        </w:rPr>
        <w:lastRenderedPageBreak/>
        <w:t xml:space="preserve">de [otros] tres probables responsables por la muerte y desaparición de Nicholas Chapman Blake fueron dictadas desde el año 1996 y a la fecha no </w:t>
      </w:r>
      <w:proofErr w:type="gramStart"/>
      <w:r w:rsidRPr="0032068E">
        <w:rPr>
          <w:rFonts w:ascii="Verdana" w:hAnsi="Verdana" w:cs="Verdana"/>
          <w:sz w:val="20"/>
          <w:szCs w:val="20"/>
          <w:lang w:val="es-ES"/>
        </w:rPr>
        <w:t>ha[</w:t>
      </w:r>
      <w:proofErr w:type="gramEnd"/>
      <w:r w:rsidRPr="0032068E">
        <w:rPr>
          <w:rFonts w:ascii="Verdana" w:hAnsi="Verdana" w:cs="Verdana"/>
          <w:sz w:val="20"/>
          <w:szCs w:val="20"/>
          <w:lang w:val="es-ES"/>
        </w:rPr>
        <w:t>bían] sido ejecutadas”</w:t>
      </w:r>
      <w:r w:rsidR="002D40FE">
        <w:rPr>
          <w:rFonts w:ascii="Verdana" w:hAnsi="Verdana"/>
          <w:sz w:val="20"/>
          <w:szCs w:val="20"/>
          <w:lang w:val="es-CR"/>
        </w:rPr>
        <w:t>. El Tribunal</w:t>
      </w:r>
      <w:r w:rsidRPr="0032068E">
        <w:rPr>
          <w:rFonts w:ascii="Verdana" w:hAnsi="Verdana"/>
          <w:sz w:val="20"/>
          <w:szCs w:val="20"/>
          <w:lang w:val="es-CR"/>
        </w:rPr>
        <w:t xml:space="preserve">, igualmente, constató en esa </w:t>
      </w:r>
      <w:r w:rsidR="00FE6FFB">
        <w:rPr>
          <w:rFonts w:ascii="Verdana" w:hAnsi="Verdana"/>
          <w:sz w:val="20"/>
          <w:szCs w:val="20"/>
          <w:lang w:val="es-CR"/>
        </w:rPr>
        <w:t xml:space="preserve">Resolución del 2009 </w:t>
      </w:r>
      <w:r w:rsidRPr="0032068E">
        <w:rPr>
          <w:rFonts w:ascii="Verdana" w:hAnsi="Verdana"/>
          <w:sz w:val="20"/>
          <w:szCs w:val="20"/>
          <w:lang w:val="es-CR"/>
        </w:rPr>
        <w:t xml:space="preserve">que </w:t>
      </w:r>
      <w:r w:rsidRPr="0032068E">
        <w:rPr>
          <w:rFonts w:ascii="Verdana" w:hAnsi="Verdana" w:cs="Verdana"/>
          <w:sz w:val="20"/>
          <w:szCs w:val="20"/>
          <w:lang w:val="es-ES"/>
        </w:rPr>
        <w:t>“las medidas informadas por el Estado datan de hace ocho años”, y concluyó que “no se desprende que [el Estado] haya adoptado las medidas necesarias para dar cabal cumplimiento a lo dispuesto por la Corte Interamericana”.</w:t>
      </w:r>
      <w:bookmarkEnd w:id="48"/>
    </w:p>
    <w:p w14:paraId="0217886C" w14:textId="77777777" w:rsidR="00095EA1" w:rsidRPr="0032068E" w:rsidRDefault="00095EA1" w:rsidP="00095EA1">
      <w:pPr>
        <w:pStyle w:val="ListParagraph"/>
        <w:spacing w:after="0" w:line="240" w:lineRule="auto"/>
        <w:ind w:left="0" w:right="1444"/>
        <w:jc w:val="both"/>
        <w:rPr>
          <w:rFonts w:ascii="Verdana" w:hAnsi="Verdana"/>
          <w:sz w:val="20"/>
          <w:szCs w:val="20"/>
          <w:lang w:val="es-CR"/>
        </w:rPr>
      </w:pPr>
    </w:p>
    <w:p w14:paraId="5BD94BAF" w14:textId="6DEB965E" w:rsidR="00095EA1" w:rsidRPr="0032068E" w:rsidRDefault="00095EA1" w:rsidP="00095EA1">
      <w:pPr>
        <w:pStyle w:val="ListParagraph"/>
        <w:numPr>
          <w:ilvl w:val="0"/>
          <w:numId w:val="2"/>
        </w:numPr>
        <w:spacing w:after="0" w:line="240" w:lineRule="auto"/>
        <w:ind w:left="0" w:right="1444" w:firstLine="0"/>
        <w:jc w:val="both"/>
        <w:rPr>
          <w:rFonts w:ascii="Verdana" w:hAnsi="Verdana"/>
          <w:sz w:val="20"/>
          <w:szCs w:val="20"/>
          <w:lang w:val="es-CR"/>
        </w:rPr>
      </w:pPr>
      <w:r w:rsidRPr="0032068E">
        <w:rPr>
          <w:rFonts w:ascii="Verdana" w:hAnsi="Verdana"/>
          <w:sz w:val="20"/>
          <w:szCs w:val="20"/>
          <w:lang w:val="es-CR"/>
        </w:rPr>
        <w:t>En dicha Resolución, la Corte además determinó que “el Estado deb</w:t>
      </w:r>
      <w:r>
        <w:rPr>
          <w:rFonts w:ascii="Verdana" w:hAnsi="Verdana"/>
          <w:sz w:val="20"/>
          <w:szCs w:val="20"/>
          <w:lang w:val="es-CR"/>
        </w:rPr>
        <w:t>[ía]</w:t>
      </w:r>
      <w:r w:rsidRPr="0032068E">
        <w:rPr>
          <w:rFonts w:ascii="Verdana" w:hAnsi="Verdana"/>
          <w:sz w:val="20"/>
          <w:szCs w:val="20"/>
          <w:lang w:val="es-CR"/>
        </w:rPr>
        <w:t xml:space="preserve"> continuar inform</w:t>
      </w:r>
      <w:r>
        <w:rPr>
          <w:rFonts w:ascii="Verdana" w:hAnsi="Verdana"/>
          <w:sz w:val="20"/>
          <w:szCs w:val="20"/>
          <w:lang w:val="es-CR"/>
        </w:rPr>
        <w:t>[á]</w:t>
      </w:r>
      <w:r w:rsidRPr="0032068E">
        <w:rPr>
          <w:rFonts w:ascii="Verdana" w:hAnsi="Verdana"/>
          <w:sz w:val="20"/>
          <w:szCs w:val="20"/>
          <w:lang w:val="es-CR"/>
        </w:rPr>
        <w:t>ndo</w:t>
      </w:r>
      <w:r>
        <w:rPr>
          <w:rFonts w:ascii="Verdana" w:hAnsi="Verdana"/>
          <w:sz w:val="20"/>
          <w:szCs w:val="20"/>
          <w:lang w:val="es-CR"/>
        </w:rPr>
        <w:t>[le…]</w:t>
      </w:r>
      <w:r w:rsidRPr="0032068E">
        <w:rPr>
          <w:rFonts w:ascii="Verdana" w:hAnsi="Verdana"/>
          <w:sz w:val="20"/>
          <w:szCs w:val="20"/>
          <w:lang w:val="es-CR"/>
        </w:rPr>
        <w:t xml:space="preserve"> sobre las medidas concretas y detalladas adoptadas para asegurar el cumplimiento de la obligación de investigar los hechos denunciados en el presente caso, juzgar y, en su caso, sancionar a los responsables por la desaparición y muerte del señor Nicholas Chapman Blake”. Asimismo, indicó que </w:t>
      </w:r>
      <w:r>
        <w:rPr>
          <w:rFonts w:ascii="Verdana" w:hAnsi="Verdana"/>
          <w:sz w:val="20"/>
          <w:szCs w:val="20"/>
          <w:lang w:val="es-CR"/>
        </w:rPr>
        <w:t>Guatemala</w:t>
      </w:r>
      <w:r w:rsidRPr="0032068E">
        <w:rPr>
          <w:rFonts w:ascii="Verdana" w:hAnsi="Verdana"/>
          <w:sz w:val="20"/>
          <w:szCs w:val="20"/>
          <w:lang w:val="es-CR"/>
        </w:rPr>
        <w:t xml:space="preserve"> debía “presentar la documentación pertinente que respalde las nuevas acciones llevadas a cabo”. </w:t>
      </w:r>
    </w:p>
    <w:p w14:paraId="3A39581C" w14:textId="77777777" w:rsidR="00095EA1" w:rsidRPr="0032068E" w:rsidRDefault="00095EA1" w:rsidP="00095EA1">
      <w:pPr>
        <w:pStyle w:val="ListParagraph"/>
        <w:spacing w:after="0" w:line="240" w:lineRule="auto"/>
        <w:ind w:left="0" w:right="1444"/>
        <w:jc w:val="both"/>
        <w:rPr>
          <w:rFonts w:ascii="Verdana" w:hAnsi="Verdana"/>
          <w:sz w:val="20"/>
          <w:szCs w:val="20"/>
          <w:lang w:val="es-CR"/>
        </w:rPr>
      </w:pPr>
    </w:p>
    <w:p w14:paraId="44F60B5B" w14:textId="765A781C" w:rsidR="00095EA1" w:rsidRPr="00F41D81" w:rsidRDefault="00095EA1" w:rsidP="00F41D81">
      <w:pPr>
        <w:pStyle w:val="ListParagraph"/>
        <w:numPr>
          <w:ilvl w:val="0"/>
          <w:numId w:val="2"/>
        </w:numPr>
        <w:spacing w:after="0" w:line="240" w:lineRule="auto"/>
        <w:ind w:left="0" w:right="1444" w:firstLine="0"/>
        <w:jc w:val="both"/>
        <w:rPr>
          <w:rFonts w:ascii="Verdana" w:hAnsi="Verdana"/>
          <w:sz w:val="20"/>
          <w:szCs w:val="20"/>
          <w:lang w:val="es-CR"/>
        </w:rPr>
      </w:pPr>
      <w:bookmarkStart w:id="49" w:name="_Ref437867857"/>
      <w:r w:rsidRPr="0032068E">
        <w:rPr>
          <w:rFonts w:ascii="Verdana" w:hAnsi="Verdana"/>
          <w:sz w:val="20"/>
          <w:szCs w:val="20"/>
          <w:lang w:val="es-CR"/>
        </w:rPr>
        <w:t>En este sentido, la Corte observa que tanto en el informe presentado por el Estado en abril de 2015, como en el Informe del Ministerio Público</w:t>
      </w:r>
      <w:r>
        <w:rPr>
          <w:rFonts w:ascii="Verdana" w:hAnsi="Verdana"/>
          <w:sz w:val="20"/>
          <w:szCs w:val="20"/>
          <w:lang w:val="es-CR"/>
        </w:rPr>
        <w:t xml:space="preserve"> </w:t>
      </w:r>
      <w:r w:rsidRPr="009041CF">
        <w:rPr>
          <w:rFonts w:ascii="Verdana" w:hAnsi="Verdana" w:cs="Verdana"/>
          <w:sz w:val="20"/>
          <w:szCs w:val="20"/>
          <w:lang w:val="es-ES"/>
        </w:rPr>
        <w:t>de mayo de 2014</w:t>
      </w:r>
      <w:r w:rsidRPr="0032068E">
        <w:rPr>
          <w:rFonts w:ascii="Verdana" w:hAnsi="Verdana"/>
          <w:sz w:val="20"/>
          <w:szCs w:val="20"/>
          <w:lang w:val="es-CR"/>
        </w:rPr>
        <w:t>, se señal</w:t>
      </w:r>
      <w:r>
        <w:rPr>
          <w:rFonts w:ascii="Verdana" w:hAnsi="Verdana"/>
          <w:sz w:val="20"/>
          <w:szCs w:val="20"/>
          <w:lang w:val="es-CR"/>
        </w:rPr>
        <w:t>aron</w:t>
      </w:r>
      <w:r w:rsidRPr="0032068E">
        <w:rPr>
          <w:rFonts w:ascii="Verdana" w:hAnsi="Verdana"/>
          <w:sz w:val="20"/>
          <w:szCs w:val="20"/>
          <w:lang w:val="es-CR"/>
        </w:rPr>
        <w:t xml:space="preserve"> como obstáculo</w:t>
      </w:r>
      <w:r>
        <w:rPr>
          <w:rFonts w:ascii="Verdana" w:hAnsi="Verdana"/>
          <w:sz w:val="20"/>
          <w:szCs w:val="20"/>
          <w:lang w:val="es-CR"/>
        </w:rPr>
        <w:t>s</w:t>
      </w:r>
      <w:r w:rsidRPr="0032068E">
        <w:rPr>
          <w:rFonts w:ascii="Verdana" w:hAnsi="Verdana"/>
          <w:sz w:val="20"/>
          <w:szCs w:val="20"/>
          <w:lang w:val="es-CR"/>
        </w:rPr>
        <w:t xml:space="preserve"> a dicha investigación que los nombres de los referidos tres imputados respecto de quienes se dictaron ordenes de aprehensión no se encuentran en los libros del Registro Nacional de las Personas ni en los Registros de la Superintendencia de Administración Tributaria y que “[l]a ubicación geográfica de las residencias de [los tres investigados se encuentran en] comunidades remotas, organizadas y armadas que protegen a los sindicados”. </w:t>
      </w:r>
      <w:r w:rsidR="00FE104A">
        <w:rPr>
          <w:rFonts w:ascii="Verdana" w:hAnsi="Verdana"/>
          <w:sz w:val="20"/>
          <w:szCs w:val="20"/>
          <w:lang w:val="es-CR"/>
        </w:rPr>
        <w:t xml:space="preserve">Aun cuando en sus informes </w:t>
      </w:r>
      <w:r w:rsidR="00F41D81" w:rsidRPr="00F41D81">
        <w:rPr>
          <w:rFonts w:ascii="Verdana" w:hAnsi="Verdana"/>
          <w:sz w:val="20"/>
          <w:szCs w:val="20"/>
          <w:lang w:val="es-CR"/>
        </w:rPr>
        <w:t xml:space="preserve">el Estado </w:t>
      </w:r>
      <w:r w:rsidR="00FE104A">
        <w:rPr>
          <w:rFonts w:ascii="Verdana" w:hAnsi="Verdana"/>
          <w:sz w:val="20"/>
          <w:szCs w:val="20"/>
          <w:lang w:val="es-CR"/>
        </w:rPr>
        <w:t xml:space="preserve">afirma que se </w:t>
      </w:r>
      <w:r w:rsidR="00F41D81" w:rsidRPr="00F41D81">
        <w:rPr>
          <w:rFonts w:ascii="Verdana" w:hAnsi="Verdana"/>
          <w:sz w:val="20"/>
          <w:szCs w:val="20"/>
          <w:lang w:val="es-CR"/>
        </w:rPr>
        <w:t>han realiza</w:t>
      </w:r>
      <w:r w:rsidR="00FE104A">
        <w:rPr>
          <w:rFonts w:ascii="Verdana" w:hAnsi="Verdana"/>
          <w:sz w:val="20"/>
          <w:szCs w:val="20"/>
          <w:lang w:val="es-CR"/>
        </w:rPr>
        <w:t>do nuevamente solicitudes a la P</w:t>
      </w:r>
      <w:r w:rsidR="00F41D81" w:rsidRPr="00F41D81">
        <w:rPr>
          <w:rFonts w:ascii="Verdana" w:hAnsi="Verdana"/>
          <w:sz w:val="20"/>
          <w:szCs w:val="20"/>
          <w:lang w:val="es-CR"/>
        </w:rPr>
        <w:t>olicía para ejecutar las órdenes de aprehensión</w:t>
      </w:r>
      <w:r w:rsidR="00FE104A">
        <w:rPr>
          <w:rFonts w:ascii="Verdana" w:hAnsi="Verdana"/>
          <w:sz w:val="20"/>
          <w:szCs w:val="20"/>
          <w:lang w:val="es-CR"/>
        </w:rPr>
        <w:t>, n</w:t>
      </w:r>
      <w:r w:rsidR="00F41D81" w:rsidRPr="00F41D81">
        <w:rPr>
          <w:rFonts w:ascii="Verdana" w:hAnsi="Verdana"/>
          <w:sz w:val="20"/>
          <w:szCs w:val="20"/>
          <w:lang w:val="es-CR"/>
        </w:rPr>
        <w:t xml:space="preserve">o </w:t>
      </w:r>
      <w:r w:rsidR="00FE104A">
        <w:rPr>
          <w:rFonts w:ascii="Verdana" w:hAnsi="Verdana"/>
          <w:sz w:val="20"/>
          <w:szCs w:val="20"/>
          <w:lang w:val="es-CR"/>
        </w:rPr>
        <w:t>se indica el detalle de tales actuaciones</w:t>
      </w:r>
      <w:r w:rsidR="00F515C9">
        <w:rPr>
          <w:rFonts w:ascii="Verdana" w:hAnsi="Verdana"/>
          <w:sz w:val="20"/>
          <w:szCs w:val="20"/>
          <w:lang w:val="es-CR"/>
        </w:rPr>
        <w:t>, de manera que se pueda conocer</w:t>
      </w:r>
      <w:r w:rsidR="00FE104A">
        <w:rPr>
          <w:rFonts w:ascii="Verdana" w:hAnsi="Verdana"/>
          <w:sz w:val="20"/>
          <w:szCs w:val="20"/>
          <w:lang w:val="es-CR"/>
        </w:rPr>
        <w:t xml:space="preserve"> </w:t>
      </w:r>
      <w:r w:rsidR="00F515C9">
        <w:rPr>
          <w:rFonts w:ascii="Verdana" w:hAnsi="Verdana"/>
          <w:sz w:val="20"/>
          <w:szCs w:val="20"/>
          <w:lang w:val="es-CR"/>
        </w:rPr>
        <w:t xml:space="preserve">cuántas y cuándo fueron realizadas con posterioridad </w:t>
      </w:r>
      <w:r w:rsidR="00F41D81" w:rsidRPr="00F41D81">
        <w:rPr>
          <w:rFonts w:ascii="Verdana" w:hAnsi="Verdana"/>
          <w:sz w:val="20"/>
          <w:szCs w:val="20"/>
          <w:lang w:val="es-CR"/>
        </w:rPr>
        <w:t xml:space="preserve">al 2000. </w:t>
      </w:r>
      <w:r w:rsidRPr="00F41D81">
        <w:rPr>
          <w:rFonts w:ascii="Verdana" w:hAnsi="Verdana"/>
          <w:sz w:val="20"/>
          <w:szCs w:val="20"/>
          <w:lang w:val="es-CR"/>
        </w:rPr>
        <w:t xml:space="preserve">Al respecto, la Comisión observó “la falta de avances” con relación a esta medida de reparación. </w:t>
      </w:r>
      <w:bookmarkEnd w:id="49"/>
    </w:p>
    <w:p w14:paraId="2E1E6C17" w14:textId="77777777" w:rsidR="00095EA1" w:rsidRPr="0032068E" w:rsidRDefault="00095EA1" w:rsidP="00095EA1">
      <w:pPr>
        <w:pStyle w:val="ListParagraph"/>
        <w:rPr>
          <w:rFonts w:ascii="Verdana" w:hAnsi="Verdana"/>
          <w:sz w:val="20"/>
          <w:szCs w:val="20"/>
          <w:lang w:val="es-CR"/>
        </w:rPr>
      </w:pPr>
    </w:p>
    <w:p w14:paraId="60257383" w14:textId="6C766833" w:rsidR="00095EA1" w:rsidRPr="0032068E" w:rsidRDefault="00095EA1" w:rsidP="00095EA1">
      <w:pPr>
        <w:pStyle w:val="ListParagraph"/>
        <w:numPr>
          <w:ilvl w:val="0"/>
          <w:numId w:val="2"/>
        </w:numPr>
        <w:spacing w:after="0" w:line="240" w:lineRule="auto"/>
        <w:ind w:left="0" w:right="1444" w:firstLine="0"/>
        <w:jc w:val="both"/>
        <w:rPr>
          <w:rFonts w:ascii="Verdana" w:hAnsi="Verdana"/>
          <w:sz w:val="20"/>
          <w:szCs w:val="20"/>
          <w:lang w:val="es-CR"/>
        </w:rPr>
      </w:pPr>
      <w:bookmarkStart w:id="50" w:name="_Ref437867863"/>
      <w:r w:rsidRPr="0032068E">
        <w:rPr>
          <w:rFonts w:ascii="Verdana" w:hAnsi="Verdana"/>
          <w:sz w:val="20"/>
          <w:szCs w:val="20"/>
          <w:lang w:val="es-CR"/>
        </w:rPr>
        <w:t>Posteriormente, en su informe de octubre de 2015, el Estado señaló que “</w:t>
      </w:r>
      <w:r>
        <w:rPr>
          <w:rFonts w:ascii="Verdana" w:hAnsi="Verdana"/>
          <w:sz w:val="20"/>
          <w:szCs w:val="20"/>
          <w:lang w:val="es-CR"/>
        </w:rPr>
        <w:t>[</w:t>
      </w:r>
      <w:r w:rsidRPr="0032068E">
        <w:rPr>
          <w:rFonts w:ascii="Verdana" w:hAnsi="Verdana"/>
          <w:sz w:val="20"/>
          <w:szCs w:val="20"/>
          <w:lang w:val="es-CR"/>
        </w:rPr>
        <w:t>s</w:t>
      </w:r>
      <w:r>
        <w:rPr>
          <w:rFonts w:ascii="Verdana" w:hAnsi="Verdana"/>
          <w:sz w:val="20"/>
          <w:szCs w:val="20"/>
          <w:lang w:val="es-CR"/>
        </w:rPr>
        <w:t>]</w:t>
      </w:r>
      <w:r w:rsidRPr="0032068E">
        <w:rPr>
          <w:rFonts w:ascii="Verdana" w:hAnsi="Verdana"/>
          <w:sz w:val="20"/>
          <w:szCs w:val="20"/>
          <w:lang w:val="es-CR"/>
        </w:rPr>
        <w:t xml:space="preserve">e solicitó al Registro Nacional de las Personas (RENAP) y a la Superintendencia de Administración Tributaria (SAT)” información sobre las tres personas imputadas “quienes a la fecha no es posible dar con su paradero”. No se acreditó </w:t>
      </w:r>
      <w:r>
        <w:rPr>
          <w:rFonts w:ascii="Verdana" w:hAnsi="Verdana"/>
          <w:sz w:val="20"/>
          <w:szCs w:val="20"/>
          <w:lang w:val="es-CR"/>
        </w:rPr>
        <w:t xml:space="preserve">en dicho informe </w:t>
      </w:r>
      <w:r w:rsidRPr="0032068E">
        <w:rPr>
          <w:rFonts w:ascii="Verdana" w:hAnsi="Verdana"/>
          <w:sz w:val="20"/>
          <w:szCs w:val="20"/>
          <w:lang w:val="es-CR"/>
        </w:rPr>
        <w:t>documentación sobre la realización o resultados de dichas diligencias, ni se desprenden las fechas en las que se realizaron. Los representantes de las víctimas del caso Blake no presentaron observaciones a ninguno de los informes señalados.</w:t>
      </w:r>
      <w:bookmarkEnd w:id="50"/>
    </w:p>
    <w:p w14:paraId="17CD5B88" w14:textId="77777777" w:rsidR="00095EA1" w:rsidRPr="0032068E" w:rsidRDefault="00095EA1" w:rsidP="00095EA1">
      <w:pPr>
        <w:pStyle w:val="ListParagraph"/>
        <w:rPr>
          <w:rFonts w:ascii="Verdana" w:hAnsi="Verdana"/>
          <w:sz w:val="20"/>
          <w:szCs w:val="20"/>
          <w:lang w:val="es-CR"/>
        </w:rPr>
      </w:pPr>
    </w:p>
    <w:p w14:paraId="3C3D3C4F" w14:textId="21926B83" w:rsidR="00095EA1" w:rsidRPr="0032068E" w:rsidRDefault="00095EA1" w:rsidP="00095EA1">
      <w:pPr>
        <w:pStyle w:val="ListParagraph"/>
        <w:numPr>
          <w:ilvl w:val="0"/>
          <w:numId w:val="2"/>
        </w:numPr>
        <w:spacing w:after="0" w:line="240" w:lineRule="auto"/>
        <w:ind w:left="0" w:right="1444" w:firstLine="0"/>
        <w:jc w:val="both"/>
        <w:rPr>
          <w:rFonts w:ascii="Verdana" w:hAnsi="Verdana"/>
          <w:sz w:val="20"/>
          <w:szCs w:val="20"/>
          <w:lang w:val="es-CR"/>
        </w:rPr>
      </w:pPr>
      <w:bookmarkStart w:id="51" w:name="_Ref437867866"/>
      <w:r w:rsidRPr="0032068E">
        <w:rPr>
          <w:rFonts w:ascii="Verdana" w:hAnsi="Verdana"/>
          <w:sz w:val="20"/>
          <w:szCs w:val="20"/>
          <w:lang w:val="es-CR"/>
        </w:rPr>
        <w:t xml:space="preserve">Aunado a ello, el Estado señaló que “se ha reiterado constantemente a la Policía Nacional Civil, para que se hagan efectivas las órdenes de aprehensión” de los investigados. La Corte hace notar que dichas órdenes de aprehensión habrían sido </w:t>
      </w:r>
      <w:r>
        <w:rPr>
          <w:rFonts w:ascii="Verdana" w:hAnsi="Verdana"/>
          <w:sz w:val="20"/>
          <w:szCs w:val="20"/>
          <w:lang w:val="es-CR"/>
        </w:rPr>
        <w:t>reiteradas</w:t>
      </w:r>
      <w:r w:rsidRPr="0032068E">
        <w:rPr>
          <w:rFonts w:ascii="Verdana" w:hAnsi="Verdana"/>
          <w:sz w:val="20"/>
          <w:szCs w:val="20"/>
          <w:lang w:val="es-CR"/>
        </w:rPr>
        <w:t xml:space="preserve"> en el año 1996</w:t>
      </w:r>
      <w:r>
        <w:rPr>
          <w:rStyle w:val="FootnoteReference"/>
          <w:rFonts w:ascii="Verdana" w:hAnsi="Verdana"/>
          <w:sz w:val="20"/>
          <w:szCs w:val="20"/>
          <w:lang w:val="es-CR"/>
        </w:rPr>
        <w:footnoteReference w:id="45"/>
      </w:r>
      <w:r w:rsidRPr="0032068E">
        <w:rPr>
          <w:rFonts w:ascii="Verdana" w:hAnsi="Verdana"/>
          <w:sz w:val="20"/>
          <w:szCs w:val="20"/>
          <w:lang w:val="es-CR"/>
        </w:rPr>
        <w:t xml:space="preserve">, hace más de </w:t>
      </w:r>
      <w:r>
        <w:rPr>
          <w:rFonts w:ascii="Verdana" w:hAnsi="Verdana"/>
          <w:sz w:val="20"/>
          <w:szCs w:val="20"/>
          <w:lang w:val="es-CR"/>
        </w:rPr>
        <w:t>1</w:t>
      </w:r>
      <w:r w:rsidRPr="0032068E">
        <w:rPr>
          <w:rFonts w:ascii="Verdana" w:hAnsi="Verdana"/>
          <w:sz w:val="20"/>
          <w:szCs w:val="20"/>
          <w:lang w:val="es-CR"/>
        </w:rPr>
        <w:t>9 años, sin que conste alguna actuación de la Policía Nacional Civil dirigi</w:t>
      </w:r>
      <w:r>
        <w:rPr>
          <w:rFonts w:ascii="Verdana" w:hAnsi="Verdana"/>
          <w:sz w:val="20"/>
          <w:szCs w:val="20"/>
          <w:lang w:val="es-CR"/>
        </w:rPr>
        <w:t>da a la ejecución de las mismas</w:t>
      </w:r>
      <w:r w:rsidRPr="0032068E">
        <w:rPr>
          <w:rFonts w:ascii="Verdana" w:hAnsi="Verdana"/>
          <w:sz w:val="20"/>
          <w:szCs w:val="20"/>
          <w:lang w:val="es-CR"/>
        </w:rPr>
        <w:t xml:space="preserve">. En este sentido, es preciso </w:t>
      </w:r>
      <w:r>
        <w:rPr>
          <w:rFonts w:ascii="Verdana" w:hAnsi="Verdana"/>
          <w:sz w:val="20"/>
          <w:szCs w:val="20"/>
          <w:lang w:val="es-CR"/>
        </w:rPr>
        <w:t>enfatizar</w:t>
      </w:r>
      <w:r w:rsidRPr="0032068E">
        <w:rPr>
          <w:rFonts w:ascii="Verdana" w:hAnsi="Verdana"/>
          <w:sz w:val="20"/>
          <w:szCs w:val="20"/>
          <w:lang w:val="es-CR"/>
        </w:rPr>
        <w:t xml:space="preserve"> que la Policía Nacional Civil </w:t>
      </w:r>
      <w:r w:rsidRPr="004F79D9">
        <w:rPr>
          <w:rFonts w:ascii="Verdana" w:hAnsi="Verdana"/>
          <w:sz w:val="20"/>
          <w:szCs w:val="20"/>
          <w:lang w:val="es-CR"/>
        </w:rPr>
        <w:t xml:space="preserve">debe </w:t>
      </w:r>
      <w:r w:rsidR="004F79D9" w:rsidRPr="004F79D9">
        <w:rPr>
          <w:rFonts w:ascii="Verdana" w:hAnsi="Verdana"/>
          <w:iCs/>
          <w:color w:val="000000"/>
          <w:sz w:val="20"/>
          <w:szCs w:val="20"/>
          <w:lang w:val="es-CR"/>
        </w:rPr>
        <w:t xml:space="preserve">realizar las acciones que, dentro de sus competencias, se requieran para coadyuvar efectivamente en la investigación, juzgamiento y sanción de </w:t>
      </w:r>
      <w:r w:rsidRPr="004F79D9">
        <w:rPr>
          <w:rFonts w:ascii="Verdana" w:hAnsi="Verdana"/>
          <w:sz w:val="20"/>
          <w:szCs w:val="20"/>
          <w:lang w:val="es-CR"/>
        </w:rPr>
        <w:t>las</w:t>
      </w:r>
      <w:r w:rsidRPr="0032068E">
        <w:rPr>
          <w:rFonts w:ascii="Verdana" w:hAnsi="Verdana"/>
          <w:sz w:val="20"/>
          <w:szCs w:val="20"/>
          <w:lang w:val="es-CR"/>
        </w:rPr>
        <w:t xml:space="preserve"> violaciones a derechos humanos de las cuales fue víctima el señor </w:t>
      </w:r>
      <w:r w:rsidRPr="004F79D9">
        <w:rPr>
          <w:rFonts w:ascii="Verdana" w:hAnsi="Verdana"/>
          <w:sz w:val="20"/>
          <w:szCs w:val="20"/>
          <w:lang w:val="es-CR"/>
        </w:rPr>
        <w:t>Blake (</w:t>
      </w:r>
      <w:r w:rsidRPr="004F79D9">
        <w:rPr>
          <w:rFonts w:ascii="Verdana" w:hAnsi="Verdana"/>
          <w:i/>
          <w:sz w:val="20"/>
          <w:szCs w:val="20"/>
          <w:lang w:val="es-CR"/>
        </w:rPr>
        <w:t>infra</w:t>
      </w:r>
      <w:r w:rsidRPr="004F79D9">
        <w:rPr>
          <w:rFonts w:ascii="Verdana" w:hAnsi="Verdana"/>
          <w:sz w:val="20"/>
          <w:szCs w:val="20"/>
          <w:lang w:val="es-CR"/>
        </w:rPr>
        <w:t xml:space="preserve"> Considerando </w:t>
      </w:r>
      <w:r w:rsidRPr="004F79D9">
        <w:rPr>
          <w:rFonts w:ascii="Verdana" w:hAnsi="Verdana"/>
          <w:sz w:val="20"/>
          <w:szCs w:val="20"/>
          <w:lang w:val="es-CR"/>
        </w:rPr>
        <w:fldChar w:fldCharType="begin"/>
      </w:r>
      <w:r w:rsidRPr="004F79D9">
        <w:rPr>
          <w:rFonts w:ascii="Verdana" w:hAnsi="Verdana"/>
          <w:sz w:val="20"/>
          <w:szCs w:val="20"/>
          <w:lang w:val="es-CR"/>
        </w:rPr>
        <w:instrText xml:space="preserve"> REF _Ref437872239 \r \h </w:instrText>
      </w:r>
      <w:r w:rsidR="004B4974" w:rsidRPr="004F79D9">
        <w:rPr>
          <w:rFonts w:ascii="Verdana" w:hAnsi="Verdana"/>
          <w:sz w:val="20"/>
          <w:szCs w:val="20"/>
          <w:lang w:val="es-CR"/>
        </w:rPr>
        <w:instrText xml:space="preserve"> \* MERGEFORMAT </w:instrText>
      </w:r>
      <w:r w:rsidRPr="004F79D9">
        <w:rPr>
          <w:rFonts w:ascii="Verdana" w:hAnsi="Verdana"/>
          <w:sz w:val="20"/>
          <w:szCs w:val="20"/>
          <w:lang w:val="es-CR"/>
        </w:rPr>
      </w:r>
      <w:r w:rsidRPr="004F79D9">
        <w:rPr>
          <w:rFonts w:ascii="Verdana" w:hAnsi="Verdana"/>
          <w:sz w:val="20"/>
          <w:szCs w:val="20"/>
          <w:lang w:val="es-CR"/>
        </w:rPr>
        <w:fldChar w:fldCharType="separate"/>
      </w:r>
      <w:r w:rsidR="007E3C4B">
        <w:rPr>
          <w:rFonts w:ascii="Verdana" w:hAnsi="Verdana"/>
          <w:sz w:val="20"/>
          <w:szCs w:val="20"/>
          <w:lang w:val="es-CR"/>
        </w:rPr>
        <w:t>152</w:t>
      </w:r>
      <w:r w:rsidRPr="004F79D9">
        <w:rPr>
          <w:rFonts w:ascii="Verdana" w:hAnsi="Verdana"/>
          <w:sz w:val="20"/>
          <w:szCs w:val="20"/>
          <w:lang w:val="es-CR"/>
        </w:rPr>
        <w:fldChar w:fldCharType="end"/>
      </w:r>
      <w:r w:rsidRPr="004F79D9">
        <w:rPr>
          <w:rFonts w:ascii="Verdana" w:hAnsi="Verdana"/>
          <w:sz w:val="20"/>
          <w:szCs w:val="20"/>
          <w:lang w:val="es-CR"/>
        </w:rPr>
        <w:t>).</w:t>
      </w:r>
      <w:bookmarkEnd w:id="51"/>
    </w:p>
    <w:p w14:paraId="143F7C9E" w14:textId="77777777" w:rsidR="00095EA1" w:rsidRPr="0032068E" w:rsidRDefault="00095EA1" w:rsidP="00095EA1">
      <w:pPr>
        <w:pStyle w:val="ListParagraph"/>
        <w:rPr>
          <w:rFonts w:ascii="Verdana" w:hAnsi="Verdana"/>
          <w:sz w:val="20"/>
          <w:szCs w:val="20"/>
          <w:lang w:val="es-CR"/>
        </w:rPr>
      </w:pPr>
    </w:p>
    <w:p w14:paraId="629C6BAC" w14:textId="6F368F88" w:rsidR="00095EA1" w:rsidRPr="0032068E" w:rsidRDefault="00C52D55" w:rsidP="00095EA1">
      <w:pPr>
        <w:pStyle w:val="ListParagraph"/>
        <w:numPr>
          <w:ilvl w:val="0"/>
          <w:numId w:val="2"/>
        </w:numPr>
        <w:spacing w:after="0" w:line="240" w:lineRule="auto"/>
        <w:ind w:left="0" w:right="1444" w:firstLine="0"/>
        <w:jc w:val="both"/>
        <w:rPr>
          <w:rFonts w:ascii="Verdana" w:hAnsi="Verdana"/>
          <w:sz w:val="20"/>
          <w:szCs w:val="20"/>
          <w:lang w:val="es-CR"/>
        </w:rPr>
      </w:pPr>
      <w:bookmarkStart w:id="52" w:name="_Ref437962459"/>
      <w:r>
        <w:rPr>
          <w:rFonts w:ascii="Verdana" w:hAnsi="Verdana"/>
          <w:sz w:val="20"/>
          <w:szCs w:val="20"/>
          <w:lang w:val="es-CR"/>
        </w:rPr>
        <w:t>Aun cuando desde su Resolución de 2003 la Corte reconoció el paso positivo que significó la determinación de responsabilidad de una persona (</w:t>
      </w:r>
      <w:r w:rsidRPr="00C52D55">
        <w:rPr>
          <w:rFonts w:ascii="Verdana" w:hAnsi="Verdana"/>
          <w:i/>
          <w:sz w:val="20"/>
          <w:szCs w:val="20"/>
          <w:lang w:val="es-CR"/>
        </w:rPr>
        <w:t>supra</w:t>
      </w:r>
      <w:r>
        <w:rPr>
          <w:rFonts w:ascii="Verdana" w:hAnsi="Verdana"/>
          <w:sz w:val="20"/>
          <w:szCs w:val="20"/>
          <w:lang w:val="es-CR"/>
        </w:rPr>
        <w:t xml:space="preserve"> Considerando 46), d</w:t>
      </w:r>
      <w:r w:rsidR="00095EA1" w:rsidRPr="0032068E">
        <w:rPr>
          <w:rFonts w:ascii="Verdana" w:hAnsi="Verdana"/>
          <w:sz w:val="20"/>
          <w:szCs w:val="20"/>
          <w:lang w:val="es-CR"/>
        </w:rPr>
        <w:t>e la información proporcionada no es posible constatar</w:t>
      </w:r>
      <w:r w:rsidR="00095EA1">
        <w:rPr>
          <w:rFonts w:ascii="Verdana" w:hAnsi="Verdana"/>
          <w:sz w:val="20"/>
          <w:szCs w:val="20"/>
          <w:lang w:val="es-CR"/>
        </w:rPr>
        <w:t xml:space="preserve"> cuáles actuaciones</w:t>
      </w:r>
      <w:r w:rsidR="00095EA1" w:rsidRPr="0032068E">
        <w:rPr>
          <w:rFonts w:ascii="Verdana" w:hAnsi="Verdana"/>
          <w:sz w:val="20"/>
          <w:szCs w:val="20"/>
          <w:lang w:val="es-CR"/>
        </w:rPr>
        <w:t xml:space="preserve"> </w:t>
      </w:r>
      <w:r w:rsidR="00095EA1">
        <w:rPr>
          <w:rFonts w:ascii="Verdana" w:hAnsi="Verdana"/>
          <w:sz w:val="20"/>
          <w:szCs w:val="20"/>
          <w:lang w:val="es-CR"/>
        </w:rPr>
        <w:t>han sido realizadas</w:t>
      </w:r>
      <w:r w:rsidR="00095EA1" w:rsidRPr="0032068E">
        <w:rPr>
          <w:rFonts w:ascii="Verdana" w:hAnsi="Verdana"/>
          <w:sz w:val="20"/>
          <w:szCs w:val="20"/>
          <w:lang w:val="es-CR"/>
        </w:rPr>
        <w:t xml:space="preserve"> con posterioridad al año 2000, ni </w:t>
      </w:r>
      <w:r w:rsidR="00095EA1">
        <w:rPr>
          <w:rFonts w:ascii="Verdana" w:hAnsi="Verdana"/>
          <w:sz w:val="20"/>
          <w:szCs w:val="20"/>
          <w:lang w:val="es-CR"/>
        </w:rPr>
        <w:t>cuál es la</w:t>
      </w:r>
      <w:r w:rsidR="00095EA1" w:rsidRPr="0032068E">
        <w:rPr>
          <w:rFonts w:ascii="Verdana" w:hAnsi="Verdana"/>
          <w:sz w:val="20"/>
          <w:szCs w:val="20"/>
          <w:lang w:val="es-CR"/>
        </w:rPr>
        <w:t xml:space="preserve"> estrategia dirigida a la continuación de la </w:t>
      </w:r>
      <w:r w:rsidR="00095EA1">
        <w:rPr>
          <w:rFonts w:ascii="Verdana" w:hAnsi="Verdana"/>
          <w:sz w:val="20"/>
          <w:szCs w:val="20"/>
          <w:lang w:val="es-CR"/>
        </w:rPr>
        <w:t>investigación</w:t>
      </w:r>
      <w:r w:rsidR="00095EA1" w:rsidRPr="0032068E">
        <w:rPr>
          <w:rFonts w:ascii="Verdana" w:hAnsi="Verdana"/>
          <w:sz w:val="20"/>
          <w:szCs w:val="20"/>
          <w:lang w:val="es-CR"/>
        </w:rPr>
        <w:t xml:space="preserve">. </w:t>
      </w:r>
      <w:r w:rsidR="00095EA1">
        <w:rPr>
          <w:rFonts w:ascii="Verdana" w:hAnsi="Verdana"/>
          <w:sz w:val="20"/>
          <w:szCs w:val="20"/>
          <w:lang w:val="es-CR"/>
        </w:rPr>
        <w:t>Se debe tener en cuenta</w:t>
      </w:r>
      <w:r w:rsidR="00095EA1" w:rsidRPr="0032068E">
        <w:rPr>
          <w:rFonts w:ascii="Verdana" w:hAnsi="Verdana"/>
          <w:sz w:val="20"/>
          <w:szCs w:val="20"/>
          <w:lang w:val="es-CR"/>
        </w:rPr>
        <w:t xml:space="preserve"> que han pasado aproximadamente treinta años desde que tuvieron lugar los hechos, y más de dieciséis años desde que la Corte emitiera su Sentencia de reparaciones y costas. Esta demora prolongada constituye un incumplimiento a la obligaci</w:t>
      </w:r>
      <w:r w:rsidR="00095EA1">
        <w:rPr>
          <w:rFonts w:ascii="Verdana" w:hAnsi="Verdana"/>
          <w:sz w:val="20"/>
          <w:szCs w:val="20"/>
          <w:lang w:val="es-CR"/>
        </w:rPr>
        <w:t>ón de investigar ordenada en la</w:t>
      </w:r>
      <w:r w:rsidR="00095EA1" w:rsidRPr="0032068E">
        <w:rPr>
          <w:rFonts w:ascii="Verdana" w:hAnsi="Verdana"/>
          <w:sz w:val="20"/>
          <w:szCs w:val="20"/>
          <w:lang w:val="es-CR"/>
        </w:rPr>
        <w:t xml:space="preserve"> Sentencia.</w:t>
      </w:r>
      <w:bookmarkEnd w:id="52"/>
      <w:r w:rsidR="00095EA1" w:rsidRPr="0032068E">
        <w:rPr>
          <w:rFonts w:ascii="Verdana" w:hAnsi="Verdana"/>
          <w:sz w:val="20"/>
          <w:szCs w:val="20"/>
          <w:lang w:val="es-CR"/>
        </w:rPr>
        <w:t xml:space="preserve">  </w:t>
      </w:r>
    </w:p>
    <w:p w14:paraId="25DBA11E" w14:textId="77777777" w:rsidR="00095EA1" w:rsidRPr="0032068E" w:rsidRDefault="00095EA1" w:rsidP="00095EA1">
      <w:pPr>
        <w:pStyle w:val="ListParagraph"/>
        <w:rPr>
          <w:rFonts w:ascii="Verdana" w:hAnsi="Verdana"/>
          <w:sz w:val="20"/>
          <w:szCs w:val="20"/>
          <w:lang w:val="es-CR"/>
        </w:rPr>
      </w:pPr>
    </w:p>
    <w:p w14:paraId="75C0CA7F" w14:textId="33A986B7" w:rsidR="00095EA1" w:rsidRPr="0032068E" w:rsidRDefault="00095EA1" w:rsidP="00095EA1">
      <w:pPr>
        <w:pStyle w:val="ListParagraph"/>
        <w:numPr>
          <w:ilvl w:val="0"/>
          <w:numId w:val="2"/>
        </w:numPr>
        <w:spacing w:after="0" w:line="240" w:lineRule="auto"/>
        <w:ind w:left="0" w:right="1444" w:firstLine="0"/>
        <w:jc w:val="both"/>
        <w:rPr>
          <w:rFonts w:ascii="Verdana" w:hAnsi="Verdana"/>
          <w:sz w:val="20"/>
          <w:szCs w:val="20"/>
          <w:lang w:val="es-CR"/>
        </w:rPr>
      </w:pPr>
      <w:bookmarkStart w:id="53" w:name="_Ref437964340"/>
      <w:r w:rsidRPr="0032068E">
        <w:rPr>
          <w:rFonts w:ascii="Verdana" w:hAnsi="Verdana"/>
          <w:sz w:val="20"/>
          <w:szCs w:val="20"/>
          <w:lang w:val="es-CR"/>
        </w:rPr>
        <w:t>Por las razones antedichas, la Corte requiere al Estado que detalle las medidas concretas adoptadas para proceder al juzgamiento de</w:t>
      </w:r>
      <w:r w:rsidR="00C52D55">
        <w:rPr>
          <w:rFonts w:ascii="Verdana" w:hAnsi="Verdana"/>
          <w:sz w:val="20"/>
          <w:szCs w:val="20"/>
          <w:lang w:val="es-CR"/>
        </w:rPr>
        <w:t xml:space="preserve"> las tres personas imputadas</w:t>
      </w:r>
      <w:r w:rsidRPr="0032068E">
        <w:rPr>
          <w:rFonts w:ascii="Verdana" w:hAnsi="Verdana"/>
          <w:sz w:val="20"/>
          <w:szCs w:val="20"/>
          <w:lang w:val="es-CR"/>
        </w:rPr>
        <w:t>, entre ellas, la ejecución de las órdenes de aprehensión de los mismos por parte de cualquier autoridad competente.</w:t>
      </w:r>
      <w:bookmarkEnd w:id="53"/>
      <w:r w:rsidRPr="0032068E">
        <w:rPr>
          <w:rFonts w:ascii="Verdana" w:hAnsi="Verdana"/>
          <w:sz w:val="20"/>
          <w:szCs w:val="20"/>
          <w:lang w:val="es-CR"/>
        </w:rPr>
        <w:t xml:space="preserve"> </w:t>
      </w:r>
    </w:p>
    <w:p w14:paraId="1D4EC7C2" w14:textId="77777777" w:rsidR="00320559" w:rsidRPr="0032068E" w:rsidRDefault="00320559" w:rsidP="00320559">
      <w:pPr>
        <w:pStyle w:val="ListParagraph"/>
        <w:rPr>
          <w:rFonts w:ascii="Verdana" w:hAnsi="Verdana"/>
          <w:sz w:val="20"/>
          <w:szCs w:val="20"/>
          <w:lang w:val="es-CR"/>
        </w:rPr>
      </w:pPr>
    </w:p>
    <w:p w14:paraId="725225A1" w14:textId="77777777" w:rsidR="00320559" w:rsidRPr="007F04B6" w:rsidRDefault="00320559" w:rsidP="00AD5701">
      <w:pPr>
        <w:pStyle w:val="Heading3"/>
      </w:pPr>
      <w:bookmarkStart w:id="54" w:name="_Toc435778527"/>
      <w:bookmarkStart w:id="55" w:name="_Toc439248785"/>
      <w:r w:rsidRPr="007F04B6">
        <w:t>Caso Panel Blanca</w:t>
      </w:r>
      <w:bookmarkEnd w:id="54"/>
      <w:bookmarkEnd w:id="55"/>
    </w:p>
    <w:p w14:paraId="547A8E9E" w14:textId="77777777" w:rsidR="00320559" w:rsidRPr="0032068E" w:rsidRDefault="00320559" w:rsidP="00320559">
      <w:pPr>
        <w:pStyle w:val="ListParagraph"/>
        <w:spacing w:after="0" w:line="240" w:lineRule="auto"/>
        <w:ind w:left="1080" w:right="1444"/>
        <w:jc w:val="both"/>
        <w:rPr>
          <w:rFonts w:ascii="Verdana" w:hAnsi="Verdana"/>
          <w:sz w:val="20"/>
          <w:szCs w:val="20"/>
          <w:lang w:val="es-CR"/>
        </w:rPr>
      </w:pPr>
    </w:p>
    <w:p w14:paraId="28AAB10D" w14:textId="1342690A" w:rsidR="00095EA1" w:rsidRPr="0032068E" w:rsidRDefault="00095EA1" w:rsidP="00095EA1">
      <w:pPr>
        <w:numPr>
          <w:ilvl w:val="0"/>
          <w:numId w:val="2"/>
        </w:numPr>
        <w:spacing w:after="0" w:line="240" w:lineRule="auto"/>
        <w:ind w:left="0" w:right="1444" w:firstLine="0"/>
        <w:contextualSpacing/>
        <w:jc w:val="both"/>
        <w:rPr>
          <w:rFonts w:ascii="Verdana" w:hAnsi="Verdana" w:cs="Verdana"/>
          <w:sz w:val="20"/>
          <w:szCs w:val="20"/>
          <w:lang w:val="es-ES"/>
        </w:rPr>
      </w:pPr>
      <w:r w:rsidRPr="0032068E">
        <w:rPr>
          <w:rFonts w:ascii="Verdana" w:hAnsi="Verdana" w:cs="Verdana"/>
          <w:sz w:val="20"/>
          <w:szCs w:val="20"/>
          <w:lang w:val="es-ES"/>
        </w:rPr>
        <w:t xml:space="preserve">En la resolución del caso </w:t>
      </w:r>
      <w:r w:rsidRPr="0032068E">
        <w:rPr>
          <w:rFonts w:ascii="Verdana" w:hAnsi="Verdana" w:cs="Verdana"/>
          <w:i/>
          <w:sz w:val="20"/>
          <w:szCs w:val="20"/>
          <w:lang w:val="es-ES"/>
        </w:rPr>
        <w:t>Panel Blanca</w:t>
      </w:r>
      <w:r>
        <w:rPr>
          <w:rFonts w:ascii="Verdana" w:hAnsi="Verdana" w:cs="Verdana"/>
          <w:i/>
          <w:sz w:val="20"/>
          <w:szCs w:val="20"/>
          <w:lang w:val="es-ES"/>
        </w:rPr>
        <w:t xml:space="preserve"> </w:t>
      </w:r>
      <w:r w:rsidRPr="00770AD1">
        <w:rPr>
          <w:rFonts w:ascii="Verdana" w:hAnsi="Verdana" w:cs="Verdana"/>
          <w:sz w:val="20"/>
          <w:szCs w:val="20"/>
          <w:lang w:val="es-ES"/>
        </w:rPr>
        <w:t>de</w:t>
      </w:r>
      <w:r w:rsidRPr="0032068E">
        <w:rPr>
          <w:rFonts w:ascii="Verdana" w:hAnsi="Verdana" w:cs="Verdana"/>
          <w:sz w:val="20"/>
          <w:szCs w:val="20"/>
          <w:lang w:val="es-ES"/>
        </w:rPr>
        <w:t xml:space="preserve"> 2007, </w:t>
      </w:r>
      <w:r w:rsidRPr="0032068E">
        <w:rPr>
          <w:rFonts w:ascii="Verdana" w:hAnsi="Verdana"/>
          <w:sz w:val="20"/>
          <w:szCs w:val="20"/>
          <w:lang w:val="es-CR"/>
        </w:rPr>
        <w:t>el Tribunal resaltó que “pasados más de diecinueve años desde que ocurrieron los hechos, la investigación no ha logrado más que escasos avances y no se [ha] sancionado a los responsables de las violaciones declaradas por la Corte”</w:t>
      </w:r>
      <w:r>
        <w:rPr>
          <w:rStyle w:val="FootnoteReference"/>
          <w:rFonts w:ascii="Verdana" w:hAnsi="Verdana"/>
          <w:sz w:val="20"/>
          <w:szCs w:val="20"/>
          <w:lang w:val="es-CR"/>
        </w:rPr>
        <w:footnoteReference w:id="46"/>
      </w:r>
      <w:r w:rsidRPr="0032068E">
        <w:rPr>
          <w:rFonts w:ascii="Verdana" w:hAnsi="Verdana"/>
          <w:sz w:val="20"/>
          <w:szCs w:val="20"/>
          <w:lang w:val="es-CR"/>
        </w:rPr>
        <w:t xml:space="preserve">. </w:t>
      </w:r>
      <w:r>
        <w:rPr>
          <w:rFonts w:ascii="Verdana" w:hAnsi="Verdana"/>
          <w:sz w:val="20"/>
          <w:szCs w:val="20"/>
          <w:lang w:val="es-CR"/>
        </w:rPr>
        <w:t>L</w:t>
      </w:r>
      <w:r w:rsidRPr="0032068E">
        <w:rPr>
          <w:rFonts w:ascii="Verdana" w:hAnsi="Verdana"/>
          <w:sz w:val="20"/>
          <w:szCs w:val="20"/>
          <w:lang w:val="es-CR"/>
        </w:rPr>
        <w:t>a Corte observó que el Estado reconoció que “se dictó sobreseimiento definitivo a favor de las 27 personas investigadas”, pero que eso no implicaba que concluyeran las investigaciones por los hechos del caso.</w:t>
      </w:r>
      <w:r>
        <w:rPr>
          <w:rFonts w:ascii="Verdana" w:hAnsi="Verdana"/>
          <w:sz w:val="20"/>
          <w:szCs w:val="20"/>
          <w:lang w:val="es-CR"/>
        </w:rPr>
        <w:t xml:space="preserve"> La Corte igualmente señaló en su resolución de 2014 que, en este caso, en el año 2009 la “Cámara Penal declaró la nulidad de las sentencias penales internas de sobreseimiento o absolutorias así como de lo actuado en los procesos y, en consecuencia, ordenó un nuevo procesamiento respetuoso de las reglas del debido proceso y el cumplimiento de los fines del proceso penal de demostración de los hechos y sanción de los autores responsables”</w:t>
      </w:r>
      <w:r w:rsidRPr="00142AAD">
        <w:rPr>
          <w:rStyle w:val="FootnoteReference"/>
          <w:rFonts w:ascii="Verdana" w:hAnsi="Verdana"/>
          <w:sz w:val="20"/>
          <w:szCs w:val="20"/>
          <w:lang w:val="es-CR"/>
        </w:rPr>
        <w:t xml:space="preserve"> </w:t>
      </w:r>
      <w:r>
        <w:rPr>
          <w:rStyle w:val="FootnoteReference"/>
          <w:rFonts w:ascii="Verdana" w:hAnsi="Verdana"/>
          <w:sz w:val="20"/>
          <w:szCs w:val="20"/>
          <w:lang w:val="es-CR"/>
        </w:rPr>
        <w:footnoteReference w:id="47"/>
      </w:r>
      <w:r>
        <w:rPr>
          <w:rFonts w:ascii="Verdana" w:hAnsi="Verdana"/>
          <w:sz w:val="20"/>
          <w:szCs w:val="20"/>
          <w:lang w:val="es-CR"/>
        </w:rPr>
        <w:t xml:space="preserve">. </w:t>
      </w:r>
    </w:p>
    <w:p w14:paraId="375711D8" w14:textId="77777777" w:rsidR="00095EA1" w:rsidRPr="0032068E" w:rsidRDefault="00095EA1" w:rsidP="00095EA1">
      <w:pPr>
        <w:pStyle w:val="ListParagraph"/>
        <w:spacing w:after="0" w:line="240" w:lineRule="auto"/>
        <w:ind w:left="0" w:right="1444"/>
        <w:jc w:val="both"/>
        <w:rPr>
          <w:rFonts w:ascii="Verdana" w:hAnsi="Verdana"/>
          <w:sz w:val="20"/>
          <w:szCs w:val="20"/>
          <w:lang w:val="es-CR"/>
        </w:rPr>
      </w:pPr>
    </w:p>
    <w:p w14:paraId="2254684F" w14:textId="2374B2FE" w:rsidR="00095EA1" w:rsidRPr="0032068E" w:rsidRDefault="00095EA1" w:rsidP="00095EA1">
      <w:pPr>
        <w:pStyle w:val="ListParagraph"/>
        <w:numPr>
          <w:ilvl w:val="0"/>
          <w:numId w:val="2"/>
        </w:numPr>
        <w:spacing w:after="0" w:line="240" w:lineRule="auto"/>
        <w:ind w:left="0" w:right="1444" w:firstLine="0"/>
        <w:jc w:val="both"/>
        <w:rPr>
          <w:rFonts w:ascii="Verdana" w:hAnsi="Verdana"/>
          <w:sz w:val="20"/>
          <w:szCs w:val="20"/>
          <w:lang w:val="es-CR"/>
        </w:rPr>
      </w:pPr>
      <w:bookmarkStart w:id="56" w:name="_Ref437867879"/>
      <w:r w:rsidRPr="0032068E">
        <w:rPr>
          <w:rFonts w:ascii="Verdana" w:hAnsi="Verdana"/>
          <w:sz w:val="20"/>
          <w:szCs w:val="20"/>
          <w:lang w:val="es-CR"/>
        </w:rPr>
        <w:t xml:space="preserve">En esta oportunidad, del informe estatal de </w:t>
      </w:r>
      <w:r>
        <w:rPr>
          <w:rFonts w:ascii="Verdana" w:hAnsi="Verdana"/>
          <w:sz w:val="20"/>
          <w:szCs w:val="20"/>
          <w:lang w:val="es-CR"/>
        </w:rPr>
        <w:t xml:space="preserve">abril de </w:t>
      </w:r>
      <w:r w:rsidRPr="0032068E">
        <w:rPr>
          <w:rFonts w:ascii="Verdana" w:hAnsi="Verdana"/>
          <w:sz w:val="20"/>
          <w:szCs w:val="20"/>
          <w:lang w:val="es-CR"/>
        </w:rPr>
        <w:t>2015 correspondiente al presente caso, sólo consta que entre los años 2008 y 2013</w:t>
      </w:r>
      <w:r w:rsidR="00C96B3F">
        <w:rPr>
          <w:rFonts w:ascii="Verdana" w:hAnsi="Verdana"/>
          <w:sz w:val="20"/>
          <w:szCs w:val="20"/>
          <w:lang w:val="es-CR"/>
        </w:rPr>
        <w:t xml:space="preserve"> </w:t>
      </w:r>
      <w:r w:rsidRPr="0032068E">
        <w:rPr>
          <w:rFonts w:ascii="Verdana" w:hAnsi="Verdana"/>
          <w:sz w:val="20"/>
          <w:szCs w:val="20"/>
          <w:lang w:val="es-CR"/>
        </w:rPr>
        <w:t xml:space="preserve">se </w:t>
      </w:r>
      <w:r>
        <w:rPr>
          <w:rFonts w:ascii="Verdana" w:hAnsi="Verdana"/>
          <w:sz w:val="20"/>
          <w:szCs w:val="20"/>
          <w:lang w:val="es-CR"/>
        </w:rPr>
        <w:t>han elaborado</w:t>
      </w:r>
      <w:r w:rsidRPr="0032068E">
        <w:rPr>
          <w:rFonts w:ascii="Verdana" w:hAnsi="Verdana"/>
          <w:sz w:val="20"/>
          <w:szCs w:val="20"/>
          <w:lang w:val="es-CR"/>
        </w:rPr>
        <w:t xml:space="preserve"> informes </w:t>
      </w:r>
      <w:r>
        <w:rPr>
          <w:rFonts w:ascii="Verdana" w:hAnsi="Verdana"/>
          <w:sz w:val="20"/>
          <w:szCs w:val="20"/>
          <w:lang w:val="es-CR"/>
        </w:rPr>
        <w:t>por parte de</w:t>
      </w:r>
      <w:r w:rsidRPr="0032068E">
        <w:rPr>
          <w:rFonts w:ascii="Verdana" w:hAnsi="Verdana"/>
          <w:sz w:val="20"/>
          <w:szCs w:val="20"/>
          <w:lang w:val="es-CR"/>
        </w:rPr>
        <w:t xml:space="preserve"> distintos organismos públicos</w:t>
      </w:r>
      <w:r w:rsidRPr="0032068E">
        <w:rPr>
          <w:rStyle w:val="FootnoteReference"/>
          <w:rFonts w:ascii="Verdana" w:hAnsi="Verdana"/>
          <w:sz w:val="20"/>
          <w:szCs w:val="20"/>
          <w:lang w:val="es-CR"/>
        </w:rPr>
        <w:footnoteReference w:id="48"/>
      </w:r>
      <w:r>
        <w:rPr>
          <w:rFonts w:ascii="Verdana" w:hAnsi="Verdana"/>
          <w:sz w:val="20"/>
          <w:szCs w:val="20"/>
          <w:lang w:val="es-CR"/>
        </w:rPr>
        <w:t>,</w:t>
      </w:r>
      <w:r w:rsidRPr="0032068E">
        <w:rPr>
          <w:rFonts w:ascii="Verdana" w:hAnsi="Verdana"/>
          <w:sz w:val="20"/>
          <w:szCs w:val="20"/>
          <w:lang w:val="es-CR"/>
        </w:rPr>
        <w:t xml:space="preserve">  </w:t>
      </w:r>
      <w:r>
        <w:rPr>
          <w:rFonts w:ascii="Verdana" w:hAnsi="Verdana"/>
          <w:sz w:val="20"/>
          <w:szCs w:val="20"/>
          <w:lang w:val="es-CR"/>
        </w:rPr>
        <w:t xml:space="preserve">se recibieron cinco </w:t>
      </w:r>
      <w:r w:rsidRPr="0032068E">
        <w:rPr>
          <w:rFonts w:ascii="Verdana" w:hAnsi="Verdana"/>
          <w:sz w:val="20"/>
          <w:szCs w:val="20"/>
          <w:lang w:val="es-CR"/>
        </w:rPr>
        <w:t xml:space="preserve">declaraciones </w:t>
      </w:r>
      <w:r w:rsidR="00C52D55">
        <w:rPr>
          <w:rFonts w:ascii="Verdana" w:hAnsi="Verdana"/>
          <w:sz w:val="20"/>
          <w:szCs w:val="20"/>
          <w:lang w:val="es-CR"/>
        </w:rPr>
        <w:t>testimoniales</w:t>
      </w:r>
      <w:r w:rsidRPr="0032068E">
        <w:rPr>
          <w:rFonts w:ascii="Verdana" w:hAnsi="Verdana"/>
          <w:sz w:val="20"/>
          <w:szCs w:val="20"/>
          <w:lang w:val="es-CR"/>
        </w:rPr>
        <w:t>, y que actualmente se estaría llevando a cabo una sistematización de la información contenida en el expediente</w:t>
      </w:r>
      <w:r>
        <w:rPr>
          <w:rFonts w:ascii="Verdana" w:hAnsi="Verdana"/>
          <w:sz w:val="20"/>
          <w:szCs w:val="20"/>
          <w:lang w:val="es-CR"/>
        </w:rPr>
        <w:t>, lo cual incluye una organización física del expediente, digitalización de información y elaboración de perfiles de las 11 víctimas y los 27 sindicados</w:t>
      </w:r>
      <w:r w:rsidRPr="0032068E">
        <w:rPr>
          <w:rStyle w:val="FootnoteReference"/>
          <w:rFonts w:ascii="Verdana" w:hAnsi="Verdana"/>
          <w:sz w:val="20"/>
          <w:szCs w:val="20"/>
          <w:lang w:val="es-CR"/>
        </w:rPr>
        <w:footnoteReference w:id="49"/>
      </w:r>
      <w:r w:rsidRPr="0032068E">
        <w:rPr>
          <w:rFonts w:ascii="Verdana" w:hAnsi="Verdana"/>
          <w:sz w:val="20"/>
          <w:szCs w:val="20"/>
          <w:lang w:val="es-CR"/>
        </w:rPr>
        <w:t xml:space="preserve">. </w:t>
      </w:r>
      <w:r>
        <w:rPr>
          <w:rFonts w:ascii="Verdana" w:hAnsi="Verdana"/>
          <w:sz w:val="20"/>
          <w:szCs w:val="20"/>
          <w:lang w:val="es-CR"/>
        </w:rPr>
        <w:t>Asimismo</w:t>
      </w:r>
      <w:r w:rsidRPr="0032068E">
        <w:rPr>
          <w:rFonts w:ascii="Verdana" w:hAnsi="Verdana"/>
          <w:sz w:val="20"/>
          <w:szCs w:val="20"/>
          <w:lang w:val="es-CR"/>
        </w:rPr>
        <w:t>,</w:t>
      </w:r>
      <w:r>
        <w:rPr>
          <w:rFonts w:ascii="Verdana" w:hAnsi="Verdana"/>
          <w:sz w:val="20"/>
          <w:szCs w:val="20"/>
          <w:lang w:val="es-CR"/>
        </w:rPr>
        <w:t xml:space="preserve"> Guatemala</w:t>
      </w:r>
      <w:r w:rsidRPr="0032068E">
        <w:rPr>
          <w:rFonts w:ascii="Verdana" w:hAnsi="Verdana"/>
          <w:sz w:val="20"/>
          <w:szCs w:val="20"/>
          <w:lang w:val="es-CR"/>
        </w:rPr>
        <w:t xml:space="preserve"> afirmó que estarían pendientes algunas solicitudes de información realizadas</w:t>
      </w:r>
      <w:r w:rsidRPr="0032068E">
        <w:rPr>
          <w:rStyle w:val="FootnoteReference"/>
          <w:rFonts w:ascii="Verdana" w:hAnsi="Verdana"/>
          <w:sz w:val="20"/>
          <w:szCs w:val="20"/>
          <w:lang w:val="es-CR"/>
        </w:rPr>
        <w:footnoteReference w:id="50"/>
      </w:r>
      <w:r w:rsidRPr="0032068E">
        <w:rPr>
          <w:rFonts w:ascii="Verdana" w:hAnsi="Verdana"/>
          <w:sz w:val="20"/>
          <w:szCs w:val="20"/>
          <w:lang w:val="es-CR"/>
        </w:rPr>
        <w:t>.</w:t>
      </w:r>
      <w:r w:rsidRPr="0032068E">
        <w:rPr>
          <w:rFonts w:ascii="Verdana" w:hAnsi="Verdana"/>
          <w:b/>
          <w:sz w:val="20"/>
          <w:szCs w:val="20"/>
          <w:lang w:val="es-CR"/>
        </w:rPr>
        <w:t xml:space="preserve"> </w:t>
      </w:r>
      <w:r w:rsidRPr="0032068E">
        <w:rPr>
          <w:rFonts w:ascii="Verdana" w:hAnsi="Verdana"/>
          <w:sz w:val="20"/>
          <w:szCs w:val="20"/>
          <w:lang w:val="es-CR"/>
        </w:rPr>
        <w:t xml:space="preserve">La Comisión señaló al respecto que se mantiene la situación de “total impunidad”, y destaca que </w:t>
      </w:r>
      <w:r w:rsidRPr="0032068E">
        <w:rPr>
          <w:rFonts w:ascii="Verdana" w:hAnsi="Verdana"/>
          <w:sz w:val="20"/>
          <w:szCs w:val="20"/>
          <w:lang w:val="es-CR"/>
        </w:rPr>
        <w:lastRenderedPageBreak/>
        <w:t>el Estado “hace referencia únicamente a personas que habrían sido sobreseídas y no hace referencia a la existencia de un proceso abierto”</w:t>
      </w:r>
      <w:bookmarkEnd w:id="56"/>
      <w:r w:rsidRPr="001920EC">
        <w:rPr>
          <w:rFonts w:ascii="Verdana" w:hAnsi="Verdana"/>
          <w:sz w:val="20"/>
          <w:szCs w:val="20"/>
          <w:lang w:val="es-CR"/>
        </w:rPr>
        <w:t>.</w:t>
      </w:r>
    </w:p>
    <w:p w14:paraId="1B325433" w14:textId="77777777" w:rsidR="00095EA1" w:rsidRPr="0032068E" w:rsidRDefault="00095EA1" w:rsidP="00095EA1">
      <w:pPr>
        <w:pStyle w:val="ListParagraph"/>
        <w:rPr>
          <w:rFonts w:ascii="Verdana" w:hAnsi="Verdana"/>
          <w:sz w:val="20"/>
          <w:szCs w:val="20"/>
          <w:lang w:val="es-CR"/>
        </w:rPr>
      </w:pPr>
    </w:p>
    <w:p w14:paraId="74D4F686" w14:textId="77777777" w:rsidR="00095EA1" w:rsidRPr="0032068E" w:rsidRDefault="00095EA1" w:rsidP="00095EA1">
      <w:pPr>
        <w:pStyle w:val="ListParagraph"/>
        <w:numPr>
          <w:ilvl w:val="0"/>
          <w:numId w:val="2"/>
        </w:numPr>
        <w:spacing w:after="0" w:line="240" w:lineRule="auto"/>
        <w:ind w:left="0" w:right="1444" w:firstLine="0"/>
        <w:jc w:val="both"/>
        <w:rPr>
          <w:rFonts w:ascii="Verdana" w:hAnsi="Verdana"/>
          <w:sz w:val="20"/>
          <w:szCs w:val="20"/>
          <w:lang w:val="es-CR"/>
        </w:rPr>
      </w:pPr>
      <w:bookmarkStart w:id="57" w:name="_Ref437962476"/>
      <w:r w:rsidRPr="0032068E">
        <w:rPr>
          <w:rFonts w:ascii="Verdana" w:hAnsi="Verdana"/>
          <w:sz w:val="20"/>
          <w:szCs w:val="20"/>
          <w:lang w:val="es-CR"/>
        </w:rPr>
        <w:t xml:space="preserve">Al respecto, la Corte observa que de la información proporcionada por el Estado no se desprende una estrategia dirigida a la continuación de la investigación, sino tan sólo solicitudes de información y de declaraciones aisladas. En este sentido, </w:t>
      </w:r>
      <w:r>
        <w:rPr>
          <w:rFonts w:ascii="Verdana" w:hAnsi="Verdana"/>
          <w:sz w:val="20"/>
          <w:szCs w:val="20"/>
          <w:lang w:val="es-CR"/>
        </w:rPr>
        <w:t>el Tribunal</w:t>
      </w:r>
      <w:r w:rsidRPr="0032068E">
        <w:rPr>
          <w:rFonts w:ascii="Verdana" w:hAnsi="Verdana"/>
          <w:sz w:val="20"/>
          <w:szCs w:val="20"/>
          <w:lang w:val="es-CR"/>
        </w:rPr>
        <w:t xml:space="preserve"> </w:t>
      </w:r>
      <w:r>
        <w:rPr>
          <w:rFonts w:ascii="Verdana" w:hAnsi="Verdana"/>
          <w:sz w:val="20"/>
          <w:szCs w:val="20"/>
          <w:lang w:val="es-CR"/>
        </w:rPr>
        <w:t>observa</w:t>
      </w:r>
      <w:r w:rsidRPr="0032068E">
        <w:rPr>
          <w:rFonts w:ascii="Verdana" w:hAnsi="Verdana"/>
          <w:sz w:val="20"/>
          <w:szCs w:val="20"/>
          <w:lang w:val="es-CR"/>
        </w:rPr>
        <w:t xml:space="preserve"> que han pasado aproximadamente 28 años desde que ocurrieron los hechos que el Estado está obligado a</w:t>
      </w:r>
      <w:r>
        <w:rPr>
          <w:rFonts w:ascii="Verdana" w:hAnsi="Verdana"/>
          <w:sz w:val="20"/>
          <w:szCs w:val="20"/>
          <w:lang w:val="es-CR"/>
        </w:rPr>
        <w:t xml:space="preserve"> investigar</w:t>
      </w:r>
      <w:r w:rsidRPr="0032068E">
        <w:rPr>
          <w:rFonts w:ascii="Verdana" w:hAnsi="Verdana"/>
          <w:sz w:val="20"/>
          <w:szCs w:val="20"/>
          <w:lang w:val="es-CR"/>
        </w:rPr>
        <w:t xml:space="preserve"> </w:t>
      </w:r>
      <w:r>
        <w:rPr>
          <w:rFonts w:ascii="Verdana" w:hAnsi="Verdana"/>
          <w:sz w:val="20"/>
          <w:szCs w:val="20"/>
          <w:lang w:val="es-CR"/>
        </w:rPr>
        <w:t>y</w:t>
      </w:r>
      <w:r w:rsidRPr="0032068E">
        <w:rPr>
          <w:rFonts w:ascii="Verdana" w:hAnsi="Verdana"/>
          <w:sz w:val="20"/>
          <w:szCs w:val="20"/>
          <w:lang w:val="es-CR"/>
        </w:rPr>
        <w:t xml:space="preserve"> más de </w:t>
      </w:r>
      <w:r>
        <w:rPr>
          <w:rFonts w:ascii="Verdana" w:hAnsi="Verdana"/>
          <w:sz w:val="20"/>
          <w:szCs w:val="20"/>
          <w:lang w:val="es-CR"/>
        </w:rPr>
        <w:t>14</w:t>
      </w:r>
      <w:r w:rsidRPr="0032068E">
        <w:rPr>
          <w:rFonts w:ascii="Verdana" w:hAnsi="Verdana"/>
          <w:sz w:val="20"/>
          <w:szCs w:val="20"/>
          <w:lang w:val="es-CR"/>
        </w:rPr>
        <w:t xml:space="preserve"> años</w:t>
      </w:r>
      <w:r>
        <w:rPr>
          <w:rFonts w:ascii="Verdana" w:hAnsi="Verdana"/>
          <w:sz w:val="20"/>
          <w:szCs w:val="20"/>
          <w:lang w:val="es-CR"/>
        </w:rPr>
        <w:t xml:space="preserve"> desde que la Corte dictó la Sentencia de Reparaciones y Costas</w:t>
      </w:r>
      <w:r w:rsidRPr="0032068E">
        <w:rPr>
          <w:rFonts w:ascii="Verdana" w:hAnsi="Verdana"/>
          <w:sz w:val="20"/>
          <w:szCs w:val="20"/>
          <w:lang w:val="es-CR"/>
        </w:rPr>
        <w:t>, en los que el Estado no ha tenido mayores avances en la investigación de las graves violaciones a derechos humanos que afectaron a las víctimas del presente caso.</w:t>
      </w:r>
      <w:bookmarkEnd w:id="57"/>
      <w:r w:rsidRPr="0032068E">
        <w:rPr>
          <w:rFonts w:ascii="Verdana" w:hAnsi="Verdana"/>
          <w:sz w:val="20"/>
          <w:szCs w:val="20"/>
          <w:lang w:val="es-CR"/>
        </w:rPr>
        <w:t xml:space="preserve"> </w:t>
      </w:r>
    </w:p>
    <w:p w14:paraId="29027641" w14:textId="77777777" w:rsidR="00095EA1" w:rsidRPr="0032068E" w:rsidRDefault="00095EA1" w:rsidP="00095EA1">
      <w:pPr>
        <w:pStyle w:val="ListParagraph"/>
        <w:rPr>
          <w:rFonts w:ascii="Verdana" w:hAnsi="Verdana"/>
          <w:sz w:val="20"/>
          <w:szCs w:val="20"/>
          <w:lang w:val="es-CR"/>
        </w:rPr>
      </w:pPr>
    </w:p>
    <w:p w14:paraId="5E7F73F4" w14:textId="52C9C295" w:rsidR="00095EA1" w:rsidRPr="0032068E" w:rsidRDefault="00095EA1" w:rsidP="00095EA1">
      <w:pPr>
        <w:pStyle w:val="ListParagraph"/>
        <w:numPr>
          <w:ilvl w:val="0"/>
          <w:numId w:val="2"/>
        </w:numPr>
        <w:spacing w:after="0" w:line="240" w:lineRule="auto"/>
        <w:ind w:left="0" w:right="1444" w:firstLine="0"/>
        <w:jc w:val="both"/>
        <w:rPr>
          <w:rFonts w:ascii="Verdana" w:hAnsi="Verdana"/>
          <w:sz w:val="20"/>
          <w:szCs w:val="20"/>
          <w:lang w:val="es-CR"/>
        </w:rPr>
      </w:pPr>
      <w:bookmarkStart w:id="58" w:name="_Ref437964347"/>
      <w:r w:rsidRPr="0032068E">
        <w:rPr>
          <w:rFonts w:ascii="Verdana" w:hAnsi="Verdana"/>
          <w:sz w:val="20"/>
          <w:szCs w:val="20"/>
          <w:lang w:val="es-CR"/>
        </w:rPr>
        <w:t xml:space="preserve">Por esa razón, la Corte </w:t>
      </w:r>
      <w:r>
        <w:rPr>
          <w:rFonts w:ascii="Verdana" w:hAnsi="Verdana"/>
          <w:sz w:val="20"/>
          <w:szCs w:val="20"/>
          <w:lang w:val="es-CR"/>
        </w:rPr>
        <w:t>requiere</w:t>
      </w:r>
      <w:r w:rsidRPr="0032068E">
        <w:rPr>
          <w:rFonts w:ascii="Verdana" w:hAnsi="Verdana"/>
          <w:sz w:val="20"/>
          <w:szCs w:val="20"/>
          <w:lang w:val="es-CR"/>
        </w:rPr>
        <w:t xml:space="preserve"> </w:t>
      </w:r>
      <w:r w:rsidR="00C52D55">
        <w:rPr>
          <w:rFonts w:ascii="Verdana" w:hAnsi="Verdana"/>
          <w:sz w:val="20"/>
          <w:szCs w:val="20"/>
          <w:lang w:val="es-CR"/>
        </w:rPr>
        <w:t xml:space="preserve">a Guatemala </w:t>
      </w:r>
      <w:r w:rsidRPr="0032068E">
        <w:rPr>
          <w:rFonts w:ascii="Verdana" w:hAnsi="Verdana"/>
          <w:sz w:val="20"/>
          <w:szCs w:val="20"/>
          <w:lang w:val="es-CR"/>
        </w:rPr>
        <w:t xml:space="preserve">que presente información detallada y actualizada sobre el estado de las investigaciones relacionadas con los hechos del caso </w:t>
      </w:r>
      <w:r w:rsidRPr="0032068E">
        <w:rPr>
          <w:rFonts w:ascii="Verdana" w:hAnsi="Verdana"/>
          <w:i/>
          <w:sz w:val="20"/>
          <w:szCs w:val="20"/>
          <w:lang w:val="es-CR"/>
        </w:rPr>
        <w:t xml:space="preserve">Panel Blanca </w:t>
      </w:r>
      <w:r w:rsidRPr="0032068E">
        <w:rPr>
          <w:rFonts w:ascii="Verdana" w:hAnsi="Verdana"/>
          <w:sz w:val="20"/>
          <w:szCs w:val="20"/>
          <w:lang w:val="es-CR"/>
        </w:rPr>
        <w:t>y</w:t>
      </w:r>
      <w:r>
        <w:rPr>
          <w:rFonts w:ascii="Verdana" w:hAnsi="Verdana"/>
          <w:sz w:val="20"/>
          <w:szCs w:val="20"/>
          <w:lang w:val="es-CR"/>
        </w:rPr>
        <w:t>,</w:t>
      </w:r>
      <w:r w:rsidRPr="0032068E">
        <w:rPr>
          <w:rFonts w:ascii="Verdana" w:hAnsi="Verdana"/>
          <w:sz w:val="20"/>
          <w:szCs w:val="20"/>
          <w:lang w:val="es-CR"/>
        </w:rPr>
        <w:t xml:space="preserve"> en particular, que presente un cronograma de las diligencias por realizar con el fin de identificar, juzgar y</w:t>
      </w:r>
      <w:r>
        <w:rPr>
          <w:rFonts w:ascii="Verdana" w:hAnsi="Verdana"/>
          <w:sz w:val="20"/>
          <w:szCs w:val="20"/>
          <w:lang w:val="es-CR"/>
        </w:rPr>
        <w:t>,</w:t>
      </w:r>
      <w:r w:rsidRPr="0032068E">
        <w:rPr>
          <w:rFonts w:ascii="Verdana" w:hAnsi="Verdana"/>
          <w:sz w:val="20"/>
          <w:szCs w:val="20"/>
          <w:lang w:val="es-CR"/>
        </w:rPr>
        <w:t xml:space="preserve"> en su caso, sancionar, a los responsables de las violaciones a derechos humanos identificadas en el caso.</w:t>
      </w:r>
      <w:bookmarkEnd w:id="58"/>
      <w:r w:rsidRPr="0032068E">
        <w:rPr>
          <w:rFonts w:ascii="Verdana" w:hAnsi="Verdana"/>
          <w:sz w:val="20"/>
          <w:szCs w:val="20"/>
          <w:lang w:val="es-CR"/>
        </w:rPr>
        <w:t xml:space="preserve"> </w:t>
      </w:r>
    </w:p>
    <w:p w14:paraId="44527AA2" w14:textId="77777777" w:rsidR="00EE2B69" w:rsidRPr="0032068E" w:rsidRDefault="00EE2B69" w:rsidP="00320559">
      <w:pPr>
        <w:pStyle w:val="ListParagraph"/>
        <w:spacing w:after="0" w:line="240" w:lineRule="auto"/>
        <w:ind w:left="0" w:right="1444"/>
        <w:jc w:val="both"/>
        <w:rPr>
          <w:rFonts w:ascii="Verdana" w:hAnsi="Verdana"/>
          <w:sz w:val="20"/>
          <w:szCs w:val="20"/>
          <w:lang w:val="es-CR"/>
        </w:rPr>
      </w:pPr>
    </w:p>
    <w:p w14:paraId="58328AB4" w14:textId="77777777" w:rsidR="00320559" w:rsidRDefault="00320559" w:rsidP="00AD5701">
      <w:pPr>
        <w:pStyle w:val="Heading3"/>
      </w:pPr>
      <w:bookmarkStart w:id="59" w:name="_Toc435778528"/>
      <w:bookmarkStart w:id="60" w:name="_Toc439248786"/>
      <w:r w:rsidRPr="00186119">
        <w:t>Caso</w:t>
      </w:r>
      <w:r w:rsidRPr="0032068E">
        <w:t xml:space="preserve"> Niños de la Calle</w:t>
      </w:r>
      <w:bookmarkEnd w:id="59"/>
      <w:bookmarkEnd w:id="60"/>
    </w:p>
    <w:p w14:paraId="29FB405A" w14:textId="77777777" w:rsidR="00C96B3F" w:rsidRPr="00C96B3F" w:rsidRDefault="00C96B3F" w:rsidP="00C96B3F"/>
    <w:p w14:paraId="78EFF5D1" w14:textId="29AE64E1" w:rsidR="00095EA1" w:rsidRPr="0032068E" w:rsidRDefault="00095EA1" w:rsidP="00095EA1">
      <w:pPr>
        <w:numPr>
          <w:ilvl w:val="0"/>
          <w:numId w:val="2"/>
        </w:numPr>
        <w:spacing w:after="0" w:line="240" w:lineRule="auto"/>
        <w:ind w:left="0" w:right="1444" w:firstLine="0"/>
        <w:contextualSpacing/>
        <w:jc w:val="both"/>
        <w:rPr>
          <w:rFonts w:ascii="Verdana" w:hAnsi="Verdana" w:cs="Verdana"/>
          <w:sz w:val="20"/>
          <w:szCs w:val="20"/>
          <w:lang w:val="es-ES"/>
        </w:rPr>
      </w:pPr>
      <w:bookmarkStart w:id="61" w:name="_Ref437937764"/>
      <w:r>
        <w:rPr>
          <w:rFonts w:ascii="Verdana" w:hAnsi="Verdana" w:cs="Verdana"/>
          <w:sz w:val="20"/>
          <w:szCs w:val="20"/>
          <w:lang w:val="es-ES"/>
        </w:rPr>
        <w:t>L</w:t>
      </w:r>
      <w:r w:rsidRPr="0032068E">
        <w:rPr>
          <w:rFonts w:ascii="Verdana" w:hAnsi="Verdana" w:cs="Verdana"/>
          <w:sz w:val="20"/>
          <w:szCs w:val="20"/>
          <w:lang w:val="es-ES"/>
        </w:rPr>
        <w:t xml:space="preserve">a Corte constató en su resolución </w:t>
      </w:r>
      <w:r>
        <w:rPr>
          <w:rFonts w:ascii="Verdana" w:hAnsi="Verdana" w:cs="Verdana"/>
          <w:sz w:val="20"/>
          <w:szCs w:val="20"/>
          <w:lang w:val="es-ES"/>
        </w:rPr>
        <w:t>de</w:t>
      </w:r>
      <w:r w:rsidRPr="0032068E">
        <w:rPr>
          <w:rFonts w:ascii="Verdana" w:hAnsi="Verdana" w:cs="Verdana"/>
          <w:sz w:val="20"/>
          <w:szCs w:val="20"/>
          <w:lang w:val="es-ES"/>
        </w:rPr>
        <w:t xml:space="preserve"> 2009, que “las violaciones declaradas en el presente caso se encuentran en la absoluta impunidad declarada por la Corte hace más de nueve años en su Sentencia de fondo, y trascurridos cerca de dieciocho años de los hechos”</w:t>
      </w:r>
      <w:r>
        <w:rPr>
          <w:rStyle w:val="FootnoteReference"/>
          <w:rFonts w:ascii="Verdana" w:hAnsi="Verdana" w:cs="Verdana"/>
          <w:sz w:val="20"/>
          <w:szCs w:val="20"/>
          <w:lang w:val="es-ES"/>
        </w:rPr>
        <w:footnoteReference w:id="51"/>
      </w:r>
      <w:r w:rsidRPr="0032068E">
        <w:rPr>
          <w:rFonts w:ascii="Verdana" w:hAnsi="Verdana" w:cs="Verdana"/>
          <w:sz w:val="20"/>
          <w:szCs w:val="20"/>
          <w:lang w:val="es-ES"/>
        </w:rPr>
        <w:t>. En efecto, para la fecha de dicha resolución, no existían personas imputadas por los hechos referidos en esta Sentencia</w:t>
      </w:r>
      <w:r>
        <w:rPr>
          <w:rStyle w:val="FootnoteReference"/>
          <w:rFonts w:ascii="Verdana" w:hAnsi="Verdana" w:cs="Verdana"/>
          <w:sz w:val="20"/>
          <w:szCs w:val="20"/>
          <w:lang w:val="es-ES"/>
        </w:rPr>
        <w:footnoteReference w:id="52"/>
      </w:r>
      <w:r w:rsidRPr="0032068E">
        <w:rPr>
          <w:rFonts w:ascii="Verdana" w:hAnsi="Verdana" w:cs="Verdana"/>
          <w:sz w:val="20"/>
          <w:szCs w:val="20"/>
          <w:lang w:val="es-ES"/>
        </w:rPr>
        <w:t xml:space="preserve">. </w:t>
      </w:r>
      <w:r w:rsidRPr="0032068E">
        <w:rPr>
          <w:rFonts w:ascii="Verdana" w:hAnsi="Verdana"/>
          <w:sz w:val="20"/>
          <w:szCs w:val="20"/>
          <w:lang w:val="es-CR"/>
        </w:rPr>
        <w:t xml:space="preserve">Por dicha razón, la Corte resolvió que el Estado debía informar sobre las gestiones realizadas para, </w:t>
      </w:r>
      <w:r w:rsidRPr="0032068E">
        <w:rPr>
          <w:rFonts w:ascii="Verdana" w:hAnsi="Verdana"/>
          <w:i/>
          <w:sz w:val="20"/>
          <w:szCs w:val="20"/>
          <w:lang w:val="es-CR"/>
        </w:rPr>
        <w:t>inter alia</w:t>
      </w:r>
      <w:r w:rsidRPr="0032068E">
        <w:rPr>
          <w:rFonts w:ascii="Verdana" w:hAnsi="Verdana"/>
          <w:sz w:val="20"/>
          <w:szCs w:val="20"/>
          <w:lang w:val="es-CR"/>
        </w:rPr>
        <w:t xml:space="preserve">, dar con los responsables de la tortura y secuestro de las víctimas e identificar a todos los responsables de los homicidios perpetrados. La Corte solicitó a Guatemala informar sobre las medidas dirigidas a corregir las deficiencias de la investigación y de la </w:t>
      </w:r>
      <w:r>
        <w:rPr>
          <w:rFonts w:ascii="Verdana" w:hAnsi="Verdana"/>
          <w:sz w:val="20"/>
          <w:szCs w:val="20"/>
          <w:lang w:val="es-CR"/>
        </w:rPr>
        <w:t>apreciación</w:t>
      </w:r>
      <w:r w:rsidRPr="0032068E">
        <w:rPr>
          <w:rFonts w:ascii="Verdana" w:hAnsi="Verdana"/>
          <w:sz w:val="20"/>
          <w:szCs w:val="20"/>
          <w:lang w:val="es-CR"/>
        </w:rPr>
        <w:t xml:space="preserve"> judicial de la prueba señaladas por el Tribunal en </w:t>
      </w:r>
      <w:r w:rsidR="00C96B3F">
        <w:rPr>
          <w:rFonts w:ascii="Verdana" w:hAnsi="Verdana"/>
          <w:sz w:val="20"/>
          <w:szCs w:val="20"/>
          <w:lang w:val="es-CR"/>
        </w:rPr>
        <w:t xml:space="preserve">los </w:t>
      </w:r>
      <w:r w:rsidRPr="0032068E">
        <w:rPr>
          <w:rFonts w:ascii="Verdana" w:hAnsi="Verdana"/>
          <w:sz w:val="20"/>
          <w:szCs w:val="20"/>
          <w:lang w:val="es-CR"/>
        </w:rPr>
        <w:t>párrafo</w:t>
      </w:r>
      <w:r w:rsidR="00C96B3F">
        <w:rPr>
          <w:rFonts w:ascii="Verdana" w:hAnsi="Verdana"/>
          <w:sz w:val="20"/>
          <w:szCs w:val="20"/>
          <w:lang w:val="es-CR"/>
        </w:rPr>
        <w:t>s</w:t>
      </w:r>
      <w:r w:rsidRPr="0032068E">
        <w:rPr>
          <w:rFonts w:ascii="Verdana" w:hAnsi="Verdana"/>
          <w:sz w:val="20"/>
          <w:szCs w:val="20"/>
          <w:lang w:val="es-CR"/>
        </w:rPr>
        <w:t xml:space="preserve"> 232 y 233 de la Sentencia de fondo, al pronunciarse sobre la violación a los artículos 8</w:t>
      </w:r>
      <w:r>
        <w:rPr>
          <w:rFonts w:ascii="Verdana" w:hAnsi="Verdana"/>
          <w:sz w:val="20"/>
          <w:szCs w:val="20"/>
          <w:lang w:val="es-CR"/>
        </w:rPr>
        <w:t>,</w:t>
      </w:r>
      <w:r w:rsidRPr="0032068E">
        <w:rPr>
          <w:rFonts w:ascii="Verdana" w:hAnsi="Verdana"/>
          <w:sz w:val="20"/>
          <w:szCs w:val="20"/>
          <w:lang w:val="es-CR"/>
        </w:rPr>
        <w:t xml:space="preserve"> 25 y 1.1 de la Convención, relativa a la </w:t>
      </w:r>
      <w:r>
        <w:rPr>
          <w:rFonts w:ascii="Verdana" w:hAnsi="Verdana"/>
          <w:sz w:val="20"/>
          <w:szCs w:val="20"/>
          <w:lang w:val="es-CR"/>
        </w:rPr>
        <w:t>valoración</w:t>
      </w:r>
      <w:r w:rsidRPr="0032068E">
        <w:rPr>
          <w:rFonts w:ascii="Verdana" w:hAnsi="Verdana"/>
          <w:sz w:val="20"/>
          <w:szCs w:val="20"/>
          <w:lang w:val="es-CR"/>
        </w:rPr>
        <w:t xml:space="preserve"> de varios testimonios, informes y de la prueba balística</w:t>
      </w:r>
      <w:bookmarkStart w:id="62" w:name="_Ref438139205"/>
      <w:r w:rsidRPr="0032068E">
        <w:rPr>
          <w:rStyle w:val="FootnoteReference"/>
          <w:rFonts w:ascii="Verdana" w:hAnsi="Verdana"/>
          <w:sz w:val="20"/>
          <w:szCs w:val="20"/>
          <w:lang w:val="es-CR"/>
        </w:rPr>
        <w:footnoteReference w:id="53"/>
      </w:r>
      <w:bookmarkEnd w:id="62"/>
      <w:r w:rsidRPr="0032068E">
        <w:rPr>
          <w:rFonts w:ascii="Verdana" w:hAnsi="Verdana"/>
          <w:sz w:val="20"/>
          <w:szCs w:val="20"/>
          <w:lang w:val="es-CR"/>
        </w:rPr>
        <w:t>.</w:t>
      </w:r>
      <w:bookmarkEnd w:id="61"/>
    </w:p>
    <w:p w14:paraId="28B63BFA" w14:textId="77777777" w:rsidR="00095EA1" w:rsidRPr="0032068E" w:rsidRDefault="00095EA1" w:rsidP="00095EA1">
      <w:pPr>
        <w:pStyle w:val="ListParagraph"/>
        <w:spacing w:after="0" w:line="240" w:lineRule="auto"/>
        <w:ind w:left="0" w:right="1444"/>
        <w:jc w:val="both"/>
        <w:rPr>
          <w:rFonts w:ascii="Verdana" w:hAnsi="Verdana"/>
          <w:sz w:val="20"/>
          <w:szCs w:val="20"/>
          <w:lang w:val="es-CR"/>
        </w:rPr>
      </w:pPr>
    </w:p>
    <w:p w14:paraId="7227B29E" w14:textId="0EAFD5A6" w:rsidR="00095EA1" w:rsidRDefault="00C52D55" w:rsidP="00095EA1">
      <w:pPr>
        <w:pStyle w:val="ListParagraph"/>
        <w:numPr>
          <w:ilvl w:val="0"/>
          <w:numId w:val="2"/>
        </w:numPr>
        <w:spacing w:after="0" w:line="240" w:lineRule="auto"/>
        <w:ind w:left="0" w:right="1444" w:firstLine="0"/>
        <w:jc w:val="both"/>
        <w:rPr>
          <w:rFonts w:ascii="Verdana" w:hAnsi="Verdana"/>
          <w:sz w:val="20"/>
          <w:szCs w:val="20"/>
          <w:lang w:val="es-CR"/>
        </w:rPr>
      </w:pPr>
      <w:bookmarkStart w:id="63" w:name="_Ref437867893"/>
      <w:r>
        <w:rPr>
          <w:rFonts w:ascii="Verdana" w:hAnsi="Verdana"/>
          <w:sz w:val="20"/>
          <w:szCs w:val="20"/>
          <w:lang w:val="es-CR"/>
        </w:rPr>
        <w:t>El Tribunal</w:t>
      </w:r>
      <w:r w:rsidR="00095EA1" w:rsidRPr="00CB6170">
        <w:rPr>
          <w:rFonts w:ascii="Verdana" w:hAnsi="Verdana"/>
          <w:sz w:val="20"/>
          <w:szCs w:val="20"/>
          <w:lang w:val="es-CR"/>
        </w:rPr>
        <w:t xml:space="preserve"> observa que, a la presente fecha, no existe alguna decisión relativa a la conclusión de la investigación penal ni alguna decisión sobre la determinación de responsabilidades penales de este caso.</w:t>
      </w:r>
      <w:r w:rsidR="00095EA1">
        <w:rPr>
          <w:rFonts w:ascii="Verdana" w:hAnsi="Verdana"/>
          <w:sz w:val="20"/>
          <w:szCs w:val="20"/>
          <w:lang w:val="es-CR"/>
        </w:rPr>
        <w:t xml:space="preserve"> </w:t>
      </w:r>
      <w:r w:rsidR="00095EA1" w:rsidRPr="00185561">
        <w:rPr>
          <w:rFonts w:ascii="Verdana" w:hAnsi="Verdana"/>
          <w:sz w:val="20"/>
          <w:szCs w:val="20"/>
          <w:lang w:val="es-CR"/>
        </w:rPr>
        <w:t xml:space="preserve">Al respecto, </w:t>
      </w:r>
      <w:r w:rsidR="00095EA1">
        <w:rPr>
          <w:rFonts w:ascii="Verdana" w:hAnsi="Verdana"/>
          <w:sz w:val="20"/>
          <w:szCs w:val="20"/>
          <w:lang w:val="es-CR"/>
        </w:rPr>
        <w:t>e</w:t>
      </w:r>
      <w:r w:rsidR="00095EA1" w:rsidRPr="00185561">
        <w:rPr>
          <w:rFonts w:ascii="Verdana" w:hAnsi="Verdana"/>
          <w:sz w:val="20"/>
          <w:szCs w:val="20"/>
          <w:lang w:val="es-CR"/>
        </w:rPr>
        <w:t xml:space="preserve">l Estado señaló en su informe de octubre de 2015 que “se logró establecer que uno de los sindicados falleció”. </w:t>
      </w:r>
      <w:r>
        <w:rPr>
          <w:rFonts w:ascii="Verdana" w:hAnsi="Verdana"/>
          <w:sz w:val="20"/>
          <w:szCs w:val="20"/>
          <w:lang w:val="es-CR"/>
        </w:rPr>
        <w:t xml:space="preserve">La </w:t>
      </w:r>
      <w:r w:rsidR="00095EA1" w:rsidRPr="00185561">
        <w:rPr>
          <w:rFonts w:ascii="Verdana" w:hAnsi="Verdana"/>
          <w:sz w:val="20"/>
          <w:szCs w:val="20"/>
          <w:lang w:val="es-CR"/>
        </w:rPr>
        <w:t>Corte nota que, con base en la información aportada por el Estado, no es posible determinar quiénes son las personas sindicadas, ni mucho menos cuál de ellas habría fallecido. Según</w:t>
      </w:r>
      <w:r w:rsidR="00095EA1" w:rsidRPr="00CB6170">
        <w:rPr>
          <w:rFonts w:ascii="Verdana" w:hAnsi="Verdana"/>
          <w:sz w:val="20"/>
          <w:szCs w:val="20"/>
          <w:lang w:val="es-CR"/>
        </w:rPr>
        <w:t xml:space="preserve"> los informes de 2011 y de abril de 2015 presentados por el Estado, y el del Ministerio Público</w:t>
      </w:r>
      <w:r w:rsidR="00095EA1">
        <w:rPr>
          <w:rFonts w:ascii="Verdana" w:hAnsi="Verdana"/>
          <w:sz w:val="20"/>
          <w:szCs w:val="20"/>
          <w:lang w:val="es-CR"/>
        </w:rPr>
        <w:t xml:space="preserve"> de mayo de 2014</w:t>
      </w:r>
      <w:r w:rsidR="00095EA1" w:rsidRPr="00CB6170">
        <w:rPr>
          <w:rFonts w:ascii="Verdana" w:hAnsi="Verdana"/>
          <w:sz w:val="20"/>
          <w:szCs w:val="20"/>
          <w:lang w:val="es-CR"/>
        </w:rPr>
        <w:t xml:space="preserve">, </w:t>
      </w:r>
      <w:r>
        <w:rPr>
          <w:rFonts w:ascii="Verdana" w:hAnsi="Verdana"/>
          <w:sz w:val="20"/>
          <w:szCs w:val="20"/>
          <w:lang w:val="es-CR"/>
        </w:rPr>
        <w:t xml:space="preserve">se afirma que </w:t>
      </w:r>
      <w:r w:rsidR="00095EA1" w:rsidRPr="00CB6170">
        <w:rPr>
          <w:rFonts w:ascii="Verdana" w:hAnsi="Verdana"/>
          <w:sz w:val="20"/>
          <w:szCs w:val="20"/>
          <w:lang w:val="es-CR"/>
        </w:rPr>
        <w:t>se habrían efectuado las siguientes actuaciones desde el año 2009: la declaración de autoejecutabilidad de la Sentencia de la Corte Interamericana para la reapertura del proceso</w:t>
      </w:r>
      <w:r w:rsidR="00095EA1" w:rsidRPr="0032068E">
        <w:rPr>
          <w:rStyle w:val="FootnoteReference"/>
          <w:rFonts w:ascii="Verdana" w:hAnsi="Verdana"/>
          <w:sz w:val="20"/>
          <w:szCs w:val="20"/>
          <w:lang w:val="es-CR"/>
        </w:rPr>
        <w:footnoteReference w:id="54"/>
      </w:r>
      <w:r w:rsidR="00095EA1" w:rsidRPr="00CB6170">
        <w:rPr>
          <w:rFonts w:ascii="Verdana" w:hAnsi="Verdana"/>
          <w:sz w:val="20"/>
          <w:szCs w:val="20"/>
          <w:lang w:val="es-CR"/>
        </w:rPr>
        <w:t xml:space="preserve">, </w:t>
      </w:r>
      <w:r w:rsidR="00095EA1">
        <w:rPr>
          <w:rFonts w:ascii="Verdana" w:hAnsi="Verdana"/>
          <w:sz w:val="20"/>
          <w:szCs w:val="20"/>
          <w:lang w:val="es-CR"/>
        </w:rPr>
        <w:t>el establecimiento de</w:t>
      </w:r>
      <w:r w:rsidR="00095EA1" w:rsidRPr="00CB6170">
        <w:rPr>
          <w:rFonts w:ascii="Verdana" w:hAnsi="Verdana"/>
          <w:sz w:val="20"/>
          <w:szCs w:val="20"/>
          <w:lang w:val="es-CR"/>
        </w:rPr>
        <w:t xml:space="preserve"> líneas de investigación, cuatro solicitudes de </w:t>
      </w:r>
      <w:r w:rsidR="00095EA1">
        <w:rPr>
          <w:rFonts w:ascii="Verdana" w:hAnsi="Verdana"/>
          <w:sz w:val="20"/>
          <w:szCs w:val="20"/>
          <w:lang w:val="es-CR"/>
        </w:rPr>
        <w:t>información a instituciones u órganos estatales</w:t>
      </w:r>
      <w:r w:rsidR="00095EA1" w:rsidRPr="0032068E">
        <w:rPr>
          <w:rStyle w:val="FootnoteReference"/>
          <w:rFonts w:ascii="Verdana" w:hAnsi="Verdana"/>
          <w:sz w:val="20"/>
          <w:szCs w:val="20"/>
          <w:lang w:val="es-CR"/>
        </w:rPr>
        <w:footnoteReference w:id="55"/>
      </w:r>
      <w:r w:rsidR="00095EA1" w:rsidRPr="00CB6170">
        <w:rPr>
          <w:rFonts w:ascii="Verdana" w:hAnsi="Verdana"/>
          <w:sz w:val="20"/>
          <w:szCs w:val="20"/>
          <w:lang w:val="es-CR"/>
        </w:rPr>
        <w:t>, una solicitud de documentación</w:t>
      </w:r>
      <w:r w:rsidR="00095EA1" w:rsidRPr="0032068E">
        <w:rPr>
          <w:rStyle w:val="FootnoteReference"/>
          <w:rFonts w:ascii="Verdana" w:hAnsi="Verdana"/>
          <w:sz w:val="20"/>
          <w:szCs w:val="20"/>
          <w:lang w:val="es-CR"/>
        </w:rPr>
        <w:footnoteReference w:id="56"/>
      </w:r>
      <w:r w:rsidR="00095EA1" w:rsidRPr="00CB6170">
        <w:rPr>
          <w:rFonts w:ascii="Verdana" w:hAnsi="Verdana"/>
          <w:sz w:val="20"/>
          <w:szCs w:val="20"/>
          <w:lang w:val="es-CR"/>
        </w:rPr>
        <w:t>, “</w:t>
      </w:r>
      <w:r w:rsidR="00095EA1">
        <w:rPr>
          <w:rFonts w:ascii="Verdana" w:hAnsi="Verdana"/>
          <w:sz w:val="20"/>
          <w:szCs w:val="20"/>
          <w:lang w:val="es-CR"/>
        </w:rPr>
        <w:t>[</w:t>
      </w:r>
      <w:r w:rsidR="00095EA1" w:rsidRPr="00CB6170">
        <w:rPr>
          <w:rFonts w:ascii="Verdana" w:hAnsi="Verdana"/>
          <w:sz w:val="20"/>
          <w:szCs w:val="20"/>
          <w:lang w:val="es-CR"/>
        </w:rPr>
        <w:t>c</w:t>
      </w:r>
      <w:r w:rsidR="00095EA1">
        <w:rPr>
          <w:rFonts w:ascii="Verdana" w:hAnsi="Verdana"/>
          <w:sz w:val="20"/>
          <w:szCs w:val="20"/>
          <w:lang w:val="es-CR"/>
        </w:rPr>
        <w:t>]</w:t>
      </w:r>
      <w:r w:rsidR="00095EA1" w:rsidRPr="00CB6170">
        <w:rPr>
          <w:rFonts w:ascii="Verdana" w:hAnsi="Verdana"/>
          <w:sz w:val="20"/>
          <w:szCs w:val="20"/>
          <w:lang w:val="es-CR"/>
        </w:rPr>
        <w:t>itaciones a testigos y familiares”, un peritaje balístico</w:t>
      </w:r>
      <w:r w:rsidR="00095EA1" w:rsidRPr="0032068E">
        <w:rPr>
          <w:rStyle w:val="FootnoteReference"/>
          <w:rFonts w:ascii="Verdana" w:hAnsi="Verdana"/>
          <w:sz w:val="20"/>
          <w:szCs w:val="20"/>
          <w:lang w:val="es-CR"/>
        </w:rPr>
        <w:footnoteReference w:id="57"/>
      </w:r>
      <w:r w:rsidR="00095EA1" w:rsidRPr="00CB6170">
        <w:rPr>
          <w:rFonts w:ascii="Verdana" w:hAnsi="Verdana"/>
          <w:sz w:val="20"/>
          <w:szCs w:val="20"/>
          <w:lang w:val="es-CR"/>
        </w:rPr>
        <w:t xml:space="preserve"> y la </w:t>
      </w:r>
      <w:r w:rsidR="00095EA1">
        <w:rPr>
          <w:rFonts w:ascii="Verdana" w:hAnsi="Verdana"/>
          <w:sz w:val="20"/>
          <w:szCs w:val="20"/>
          <w:lang w:val="es-CR"/>
        </w:rPr>
        <w:t>a</w:t>
      </w:r>
      <w:r w:rsidR="00095EA1" w:rsidRPr="00CB6170">
        <w:rPr>
          <w:rFonts w:ascii="Verdana" w:hAnsi="Verdana"/>
          <w:sz w:val="20"/>
          <w:szCs w:val="20"/>
          <w:lang w:val="es-CR"/>
        </w:rPr>
        <w:t xml:space="preserve">signación de “un equipo de </w:t>
      </w:r>
      <w:r w:rsidR="00095EA1">
        <w:rPr>
          <w:rFonts w:ascii="Verdana" w:hAnsi="Verdana"/>
          <w:sz w:val="20"/>
          <w:szCs w:val="20"/>
          <w:lang w:val="es-CR"/>
        </w:rPr>
        <w:t>[</w:t>
      </w:r>
      <w:r w:rsidR="00095EA1" w:rsidRPr="00CB6170">
        <w:rPr>
          <w:rFonts w:ascii="Verdana" w:hAnsi="Verdana"/>
          <w:sz w:val="20"/>
          <w:szCs w:val="20"/>
          <w:lang w:val="es-CR"/>
        </w:rPr>
        <w:t>a</w:t>
      </w:r>
      <w:r w:rsidR="00095EA1">
        <w:rPr>
          <w:rFonts w:ascii="Verdana" w:hAnsi="Verdana"/>
          <w:sz w:val="20"/>
          <w:szCs w:val="20"/>
          <w:lang w:val="es-CR"/>
        </w:rPr>
        <w:t>]</w:t>
      </w:r>
      <w:r w:rsidR="00095EA1" w:rsidRPr="00CB6170">
        <w:rPr>
          <w:rFonts w:ascii="Verdana" w:hAnsi="Verdana"/>
          <w:sz w:val="20"/>
          <w:szCs w:val="20"/>
          <w:lang w:val="es-CR"/>
        </w:rPr>
        <w:t xml:space="preserve">sesores y un consultor, contratados por el Programa de Acompañamiento a la Justicia de Transición […] del Programa de las Naciones Unidas para el Desarrollo […] quienes iniciaron analizando el </w:t>
      </w:r>
      <w:r w:rsidR="00095EA1">
        <w:rPr>
          <w:rFonts w:ascii="Verdana" w:hAnsi="Verdana"/>
          <w:sz w:val="20"/>
          <w:szCs w:val="20"/>
          <w:lang w:val="es-CR"/>
        </w:rPr>
        <w:t>[caso]</w:t>
      </w:r>
      <w:r w:rsidR="00095EA1" w:rsidRPr="00CB6170">
        <w:rPr>
          <w:rFonts w:ascii="Verdana" w:hAnsi="Verdana"/>
          <w:sz w:val="20"/>
          <w:szCs w:val="20"/>
          <w:lang w:val="es-CR"/>
        </w:rPr>
        <w:t xml:space="preserve">”. </w:t>
      </w:r>
      <w:r w:rsidR="00095EA1">
        <w:rPr>
          <w:rFonts w:ascii="Verdana" w:hAnsi="Verdana"/>
          <w:sz w:val="20"/>
          <w:szCs w:val="20"/>
          <w:lang w:val="es-CR"/>
        </w:rPr>
        <w:t xml:space="preserve">De </w:t>
      </w:r>
      <w:r w:rsidR="00095EA1" w:rsidRPr="00CB6170">
        <w:rPr>
          <w:rFonts w:ascii="Verdana" w:hAnsi="Verdana"/>
          <w:sz w:val="20"/>
          <w:szCs w:val="20"/>
          <w:lang w:val="es-CR"/>
        </w:rPr>
        <w:t xml:space="preserve">los informes </w:t>
      </w:r>
      <w:r w:rsidR="00095EA1">
        <w:rPr>
          <w:rFonts w:ascii="Verdana" w:hAnsi="Verdana"/>
          <w:sz w:val="20"/>
          <w:szCs w:val="20"/>
          <w:lang w:val="es-CR"/>
        </w:rPr>
        <w:t>de</w:t>
      </w:r>
      <w:r w:rsidR="001C06E7">
        <w:rPr>
          <w:rFonts w:ascii="Verdana" w:hAnsi="Verdana"/>
          <w:sz w:val="20"/>
          <w:szCs w:val="20"/>
          <w:lang w:val="es-CR"/>
        </w:rPr>
        <w:t>l</w:t>
      </w:r>
      <w:r w:rsidR="00095EA1">
        <w:rPr>
          <w:rFonts w:ascii="Verdana" w:hAnsi="Verdana"/>
          <w:sz w:val="20"/>
          <w:szCs w:val="20"/>
          <w:lang w:val="es-CR"/>
        </w:rPr>
        <w:t xml:space="preserve"> Estado </w:t>
      </w:r>
      <w:r w:rsidR="00095EA1" w:rsidRPr="00CB6170">
        <w:rPr>
          <w:rFonts w:ascii="Verdana" w:hAnsi="Verdana"/>
          <w:sz w:val="20"/>
          <w:szCs w:val="20"/>
          <w:lang w:val="es-CR"/>
        </w:rPr>
        <w:t>no se desprenden las fechas en las que se realizaron las actuaciones señaladas, ni los resultados obtenidos. Tampoco señala cómo dichas informaciones atienden a la solicitud de la Corte realizada mediante su última resolución</w:t>
      </w:r>
      <w:r w:rsidR="00C96B3F">
        <w:rPr>
          <w:rFonts w:ascii="Verdana" w:hAnsi="Verdana"/>
          <w:sz w:val="20"/>
          <w:szCs w:val="20"/>
          <w:lang w:val="es-CR"/>
        </w:rPr>
        <w:t xml:space="preserve"> (</w:t>
      </w:r>
      <w:r w:rsidR="00C96B3F" w:rsidRPr="00C96B3F">
        <w:rPr>
          <w:rFonts w:ascii="Verdana" w:hAnsi="Verdana"/>
          <w:i/>
          <w:sz w:val="20"/>
          <w:szCs w:val="20"/>
          <w:lang w:val="es-CR"/>
        </w:rPr>
        <w:t>supra</w:t>
      </w:r>
      <w:r w:rsidR="00C96B3F">
        <w:rPr>
          <w:rFonts w:ascii="Verdana" w:hAnsi="Verdana"/>
          <w:sz w:val="20"/>
          <w:szCs w:val="20"/>
          <w:lang w:val="es-CR"/>
        </w:rPr>
        <w:t xml:space="preserve"> Considerando 57)</w:t>
      </w:r>
      <w:r w:rsidR="00095EA1" w:rsidRPr="00CB6170">
        <w:rPr>
          <w:rFonts w:ascii="Verdana" w:hAnsi="Verdana"/>
          <w:sz w:val="20"/>
          <w:szCs w:val="20"/>
          <w:lang w:val="es-CR"/>
        </w:rPr>
        <w:t xml:space="preserve">. Al respecto, los representantes de las víctimas destacaron una “falta total de avances realizados por el Estado”, dirigidos al cumplimiento de dicha obligación. Igualmente, la Comisión observó que, salvo lo relacionado a la decisión de la autoejecutabilidad de la sentencia emitida por la Corte, “no ha aportado información que permita considerar que cuenta con líneas de investigación claramente establecidas para investigar lo ocurrido a las víctimas dentro del patrón común existente de acciones estatales en contra de los ‘niños de la calle’”. </w:t>
      </w:r>
      <w:bookmarkEnd w:id="63"/>
    </w:p>
    <w:p w14:paraId="77FC5E91" w14:textId="77777777" w:rsidR="00095EA1" w:rsidRPr="00CB6170" w:rsidRDefault="00095EA1" w:rsidP="00095EA1">
      <w:pPr>
        <w:pStyle w:val="ListParagraph"/>
        <w:spacing w:after="0" w:line="240" w:lineRule="auto"/>
        <w:ind w:left="0" w:right="1444"/>
        <w:jc w:val="both"/>
        <w:rPr>
          <w:rFonts w:ascii="Verdana" w:hAnsi="Verdana"/>
          <w:sz w:val="20"/>
          <w:szCs w:val="20"/>
          <w:lang w:val="es-CR"/>
        </w:rPr>
      </w:pPr>
    </w:p>
    <w:p w14:paraId="27C4D497" w14:textId="1B72B3D9" w:rsidR="00095EA1" w:rsidRPr="0032068E" w:rsidRDefault="00095EA1" w:rsidP="00095EA1">
      <w:pPr>
        <w:pStyle w:val="ListParagraph"/>
        <w:numPr>
          <w:ilvl w:val="0"/>
          <w:numId w:val="2"/>
        </w:numPr>
        <w:spacing w:after="0" w:line="240" w:lineRule="auto"/>
        <w:ind w:left="0" w:right="1444" w:firstLine="0"/>
        <w:jc w:val="both"/>
        <w:rPr>
          <w:rFonts w:ascii="Verdana" w:hAnsi="Verdana"/>
          <w:sz w:val="20"/>
          <w:szCs w:val="20"/>
          <w:lang w:val="es-CR"/>
        </w:rPr>
      </w:pPr>
      <w:bookmarkStart w:id="64" w:name="_Ref437867897"/>
      <w:r w:rsidRPr="0032068E">
        <w:rPr>
          <w:rFonts w:ascii="Verdana" w:hAnsi="Verdana"/>
          <w:sz w:val="20"/>
          <w:szCs w:val="20"/>
          <w:lang w:val="es-CR"/>
        </w:rPr>
        <w:t>No obstante lo anterior, la Corte destaca que en el informe que el Estado presentó de oficio a finales de octubre de 2015, señaló que habría iniciado una serie de diligencias dirigidas a la continuación de la investigación</w:t>
      </w:r>
      <w:r w:rsidRPr="0032068E">
        <w:rPr>
          <w:rStyle w:val="FootnoteReference"/>
          <w:rFonts w:ascii="Verdana" w:hAnsi="Verdana"/>
          <w:sz w:val="20"/>
          <w:szCs w:val="20"/>
          <w:lang w:val="es-CR"/>
        </w:rPr>
        <w:footnoteReference w:id="58"/>
      </w:r>
      <w:r w:rsidRPr="0032068E">
        <w:rPr>
          <w:rFonts w:ascii="Verdana" w:hAnsi="Verdana"/>
          <w:sz w:val="20"/>
          <w:szCs w:val="20"/>
          <w:lang w:val="es-CR"/>
        </w:rPr>
        <w:t>. Al respec</w:t>
      </w:r>
      <w:r w:rsidR="00C52D55">
        <w:rPr>
          <w:rFonts w:ascii="Verdana" w:hAnsi="Verdana"/>
          <w:sz w:val="20"/>
          <w:szCs w:val="20"/>
          <w:lang w:val="es-CR"/>
        </w:rPr>
        <w:t>to, los representantes afirmaron</w:t>
      </w:r>
      <w:r w:rsidRPr="0032068E">
        <w:rPr>
          <w:rFonts w:ascii="Verdana" w:hAnsi="Verdana"/>
          <w:sz w:val="20"/>
          <w:szCs w:val="20"/>
          <w:lang w:val="es-CR"/>
        </w:rPr>
        <w:t xml:space="preserve"> que no </w:t>
      </w:r>
      <w:r w:rsidRPr="0032068E">
        <w:rPr>
          <w:rFonts w:ascii="Verdana" w:hAnsi="Verdana"/>
          <w:sz w:val="20"/>
          <w:szCs w:val="20"/>
          <w:lang w:val="es-CR"/>
        </w:rPr>
        <w:lastRenderedPageBreak/>
        <w:t xml:space="preserve">habrían logrado establecer contacto con los familiares de las víctimas de este caso, por lo que no podrían confirmar la información brindada por el Estado, pero que “de ser ciertas </w:t>
      </w:r>
      <w:r>
        <w:rPr>
          <w:rFonts w:ascii="Verdana" w:hAnsi="Verdana"/>
          <w:sz w:val="20"/>
          <w:szCs w:val="20"/>
          <w:lang w:val="es-CR"/>
        </w:rPr>
        <w:t>las diligencia</w:t>
      </w:r>
      <w:r w:rsidR="00C52D55">
        <w:rPr>
          <w:rFonts w:ascii="Verdana" w:hAnsi="Verdana"/>
          <w:sz w:val="20"/>
          <w:szCs w:val="20"/>
          <w:lang w:val="es-CR"/>
        </w:rPr>
        <w:t xml:space="preserve">s realizadas con los </w:t>
      </w:r>
      <w:proofErr w:type="gramStart"/>
      <w:r w:rsidR="00C52D55">
        <w:rPr>
          <w:rFonts w:ascii="Verdana" w:hAnsi="Verdana"/>
          <w:sz w:val="20"/>
          <w:szCs w:val="20"/>
          <w:lang w:val="es-CR"/>
        </w:rPr>
        <w:t>familiares</w:t>
      </w:r>
      <w:r w:rsidRPr="0032068E">
        <w:rPr>
          <w:rFonts w:ascii="Verdana" w:hAnsi="Verdana"/>
          <w:sz w:val="20"/>
          <w:szCs w:val="20"/>
          <w:lang w:val="es-CR"/>
        </w:rPr>
        <w:t>[</w:t>
      </w:r>
      <w:proofErr w:type="gramEnd"/>
      <w:r w:rsidR="00C52D55">
        <w:rPr>
          <w:rFonts w:ascii="Verdana" w:hAnsi="Verdana"/>
          <w:sz w:val="20"/>
          <w:szCs w:val="20"/>
          <w:lang w:val="es-CR"/>
        </w:rPr>
        <w:t>,</w:t>
      </w:r>
      <w:r w:rsidRPr="0032068E">
        <w:rPr>
          <w:rFonts w:ascii="Verdana" w:hAnsi="Verdana"/>
          <w:sz w:val="20"/>
          <w:szCs w:val="20"/>
          <w:lang w:val="es-CR"/>
        </w:rPr>
        <w:t>] son pasos positivos para establecer un plan de investigación que permita reencauzar las investigaciones”</w:t>
      </w:r>
      <w:bookmarkEnd w:id="64"/>
      <w:r w:rsidRPr="00B36BE3">
        <w:rPr>
          <w:rFonts w:ascii="Verdana" w:hAnsi="Verdana"/>
          <w:sz w:val="20"/>
          <w:szCs w:val="20"/>
          <w:lang w:val="es-CR"/>
        </w:rPr>
        <w:t>.</w:t>
      </w:r>
    </w:p>
    <w:p w14:paraId="451C7EB2" w14:textId="77777777" w:rsidR="00095EA1" w:rsidRPr="0032068E" w:rsidRDefault="00095EA1" w:rsidP="00095EA1">
      <w:pPr>
        <w:pStyle w:val="ListParagraph"/>
        <w:rPr>
          <w:rFonts w:ascii="Verdana" w:hAnsi="Verdana"/>
          <w:sz w:val="20"/>
          <w:szCs w:val="20"/>
          <w:lang w:val="es-CR"/>
        </w:rPr>
      </w:pPr>
    </w:p>
    <w:p w14:paraId="71354455" w14:textId="24EBCAF7" w:rsidR="00095EA1" w:rsidRPr="0032068E" w:rsidRDefault="00095EA1" w:rsidP="00095EA1">
      <w:pPr>
        <w:pStyle w:val="ListParagraph"/>
        <w:numPr>
          <w:ilvl w:val="0"/>
          <w:numId w:val="2"/>
        </w:numPr>
        <w:spacing w:after="0" w:line="240" w:lineRule="auto"/>
        <w:ind w:left="0" w:right="1444" w:firstLine="0"/>
        <w:jc w:val="both"/>
        <w:rPr>
          <w:rFonts w:ascii="Verdana" w:hAnsi="Verdana"/>
          <w:sz w:val="20"/>
          <w:szCs w:val="20"/>
          <w:lang w:val="es-CR"/>
        </w:rPr>
      </w:pPr>
      <w:r w:rsidRPr="0032068E">
        <w:rPr>
          <w:rFonts w:ascii="Verdana" w:hAnsi="Verdana"/>
          <w:sz w:val="20"/>
          <w:szCs w:val="20"/>
          <w:lang w:val="es-CR"/>
        </w:rPr>
        <w:t xml:space="preserve">En lo que respecta a la reevaluación de la prueba balística, de acuerdo con la cual el proyectil que fue encontrado junto al cadáver de Anstraum Aman Villagrán Morales habría sido disparado por el arma de dotación de uno de los policías acusados </w:t>
      </w:r>
      <w:r w:rsidRPr="00C52D55">
        <w:rPr>
          <w:rFonts w:ascii="Verdana" w:hAnsi="Verdana"/>
          <w:sz w:val="20"/>
          <w:szCs w:val="20"/>
          <w:lang w:val="es-CR"/>
        </w:rPr>
        <w:t>(</w:t>
      </w:r>
      <w:r w:rsidRPr="00C52D55">
        <w:rPr>
          <w:rFonts w:ascii="Verdana" w:hAnsi="Verdana"/>
          <w:i/>
          <w:sz w:val="20"/>
          <w:szCs w:val="20"/>
          <w:lang w:val="es-CR"/>
        </w:rPr>
        <w:t>supra</w:t>
      </w:r>
      <w:r w:rsidRPr="00C52D55">
        <w:rPr>
          <w:rFonts w:ascii="Verdana" w:hAnsi="Verdana"/>
          <w:sz w:val="20"/>
          <w:szCs w:val="20"/>
          <w:lang w:val="es-CR"/>
        </w:rPr>
        <w:t xml:space="preserve"> Considerando </w:t>
      </w:r>
      <w:r w:rsidRPr="00C52D55">
        <w:rPr>
          <w:rFonts w:ascii="Verdana" w:hAnsi="Verdana"/>
          <w:sz w:val="20"/>
          <w:szCs w:val="20"/>
          <w:lang w:val="es-CR"/>
        </w:rPr>
        <w:fldChar w:fldCharType="begin"/>
      </w:r>
      <w:r w:rsidRPr="00C52D55">
        <w:rPr>
          <w:rFonts w:ascii="Verdana" w:hAnsi="Verdana"/>
          <w:sz w:val="20"/>
          <w:szCs w:val="20"/>
          <w:lang w:val="es-CR"/>
        </w:rPr>
        <w:instrText xml:space="preserve"> REF _Ref437937764 \r \h </w:instrText>
      </w:r>
      <w:r w:rsidR="004A422E" w:rsidRPr="00C52D55">
        <w:rPr>
          <w:rFonts w:ascii="Verdana" w:hAnsi="Verdana"/>
          <w:sz w:val="20"/>
          <w:szCs w:val="20"/>
          <w:lang w:val="es-CR"/>
        </w:rPr>
        <w:instrText xml:space="preserve"> \* MERGEFORMAT </w:instrText>
      </w:r>
      <w:r w:rsidRPr="00C52D55">
        <w:rPr>
          <w:rFonts w:ascii="Verdana" w:hAnsi="Verdana"/>
          <w:sz w:val="20"/>
          <w:szCs w:val="20"/>
          <w:lang w:val="es-CR"/>
        </w:rPr>
      </w:r>
      <w:r w:rsidRPr="00C52D55">
        <w:rPr>
          <w:rFonts w:ascii="Verdana" w:hAnsi="Verdana"/>
          <w:sz w:val="20"/>
          <w:szCs w:val="20"/>
          <w:lang w:val="es-CR"/>
        </w:rPr>
        <w:fldChar w:fldCharType="separate"/>
      </w:r>
      <w:r w:rsidR="007E3C4B">
        <w:rPr>
          <w:rFonts w:ascii="Verdana" w:hAnsi="Verdana"/>
          <w:sz w:val="20"/>
          <w:szCs w:val="20"/>
          <w:lang w:val="es-CR"/>
        </w:rPr>
        <w:t>57</w:t>
      </w:r>
      <w:r w:rsidRPr="00C52D55">
        <w:rPr>
          <w:rFonts w:ascii="Verdana" w:hAnsi="Verdana"/>
          <w:sz w:val="20"/>
          <w:szCs w:val="20"/>
          <w:lang w:val="es-CR"/>
        </w:rPr>
        <w:fldChar w:fldCharType="end"/>
      </w:r>
      <w:r w:rsidRPr="00C52D55">
        <w:rPr>
          <w:rFonts w:ascii="Verdana" w:hAnsi="Verdana"/>
          <w:sz w:val="20"/>
          <w:szCs w:val="20"/>
          <w:lang w:val="es-CR"/>
        </w:rPr>
        <w:t xml:space="preserve"> y nota al pie</w:t>
      </w:r>
      <w:r w:rsidR="007040D6">
        <w:rPr>
          <w:rFonts w:ascii="Verdana" w:hAnsi="Verdana"/>
          <w:sz w:val="20"/>
          <w:szCs w:val="20"/>
          <w:lang w:val="es-CR"/>
        </w:rPr>
        <w:t xml:space="preserve"> 53</w:t>
      </w:r>
      <w:r w:rsidRPr="00C52D55">
        <w:rPr>
          <w:rFonts w:ascii="Verdana" w:hAnsi="Verdana"/>
          <w:sz w:val="20"/>
          <w:szCs w:val="20"/>
          <w:lang w:val="es-CR"/>
        </w:rPr>
        <w:t>),</w:t>
      </w:r>
      <w:r w:rsidRPr="0032068E">
        <w:rPr>
          <w:rFonts w:ascii="Verdana" w:hAnsi="Verdana"/>
          <w:sz w:val="16"/>
          <w:szCs w:val="16"/>
          <w:lang w:val="es-CR"/>
        </w:rPr>
        <w:t xml:space="preserve"> </w:t>
      </w:r>
      <w:r w:rsidRPr="0032068E">
        <w:rPr>
          <w:rFonts w:ascii="Verdana" w:hAnsi="Verdana"/>
          <w:sz w:val="20"/>
          <w:szCs w:val="20"/>
          <w:lang w:val="es-CR"/>
        </w:rPr>
        <w:t xml:space="preserve">el Estado </w:t>
      </w:r>
      <w:r>
        <w:rPr>
          <w:rFonts w:ascii="Verdana" w:hAnsi="Verdana"/>
          <w:sz w:val="20"/>
          <w:szCs w:val="20"/>
          <w:lang w:val="es-CR"/>
        </w:rPr>
        <w:t>informó</w:t>
      </w:r>
      <w:r w:rsidRPr="0032068E">
        <w:rPr>
          <w:rFonts w:ascii="Verdana" w:hAnsi="Verdana"/>
          <w:sz w:val="20"/>
          <w:szCs w:val="20"/>
          <w:lang w:val="es-CR"/>
        </w:rPr>
        <w:t xml:space="preserve"> que “no se localizó la ojiva […], la cual estaba bajo custodia del Laboratorio del Gabinete de Identificación de la Policía Nacional Civil”</w:t>
      </w:r>
      <w:r w:rsidRPr="00B36BE3">
        <w:rPr>
          <w:rFonts w:ascii="Verdana" w:hAnsi="Verdana"/>
          <w:sz w:val="20"/>
          <w:szCs w:val="20"/>
          <w:lang w:val="es-CR"/>
        </w:rPr>
        <w:t>.</w:t>
      </w:r>
      <w:r>
        <w:rPr>
          <w:rFonts w:ascii="Verdana" w:hAnsi="Verdana"/>
          <w:sz w:val="20"/>
          <w:szCs w:val="20"/>
          <w:lang w:val="es-CR"/>
        </w:rPr>
        <w:t xml:space="preserve"> </w:t>
      </w:r>
      <w:r w:rsidRPr="0032068E">
        <w:rPr>
          <w:rFonts w:ascii="Verdana" w:hAnsi="Verdana"/>
          <w:sz w:val="20"/>
          <w:szCs w:val="20"/>
          <w:lang w:val="es-CR"/>
        </w:rPr>
        <w:t>Tal como hicieron notar los representantes</w:t>
      </w:r>
      <w:r w:rsidRPr="0032068E">
        <w:rPr>
          <w:rStyle w:val="FootnoteReference"/>
          <w:rFonts w:ascii="Verdana" w:hAnsi="Verdana"/>
          <w:sz w:val="20"/>
          <w:szCs w:val="20"/>
          <w:lang w:val="es-CR"/>
        </w:rPr>
        <w:footnoteReference w:id="59"/>
      </w:r>
      <w:r w:rsidRPr="0032068E">
        <w:rPr>
          <w:rFonts w:ascii="Verdana" w:hAnsi="Verdana"/>
          <w:sz w:val="20"/>
          <w:szCs w:val="20"/>
          <w:lang w:val="es-CR"/>
        </w:rPr>
        <w:t xml:space="preserve">, aun cuando Guatemala señaló en su informe de abril de 2015 que habría presentado una denuncia por dichos hechos, no ha aportado </w:t>
      </w:r>
      <w:r w:rsidR="00041A7C">
        <w:rPr>
          <w:rFonts w:ascii="Verdana" w:hAnsi="Verdana"/>
          <w:sz w:val="20"/>
          <w:szCs w:val="20"/>
          <w:lang w:val="es-CR"/>
        </w:rPr>
        <w:t>“</w:t>
      </w:r>
      <w:r>
        <w:rPr>
          <w:rFonts w:ascii="Verdana" w:hAnsi="Verdana"/>
          <w:sz w:val="20"/>
          <w:szCs w:val="20"/>
          <w:lang w:val="es-CR"/>
        </w:rPr>
        <w:t>mayores detalles sobre el estado de la investigación”</w:t>
      </w:r>
      <w:r w:rsidRPr="0032068E">
        <w:rPr>
          <w:rFonts w:ascii="Verdana" w:hAnsi="Verdana"/>
          <w:sz w:val="20"/>
          <w:szCs w:val="20"/>
          <w:lang w:val="es-CR"/>
        </w:rPr>
        <w:t>, y en su informe de octubre de 2015 omite referirse a la investigación por el extravío de la ojiva. En este sentido, la Corte ha señalado</w:t>
      </w:r>
      <w:r>
        <w:rPr>
          <w:rFonts w:ascii="Verdana" w:hAnsi="Verdana"/>
          <w:sz w:val="20"/>
          <w:szCs w:val="20"/>
          <w:lang w:val="es-CR"/>
        </w:rPr>
        <w:t>,</w:t>
      </w:r>
      <w:r w:rsidRPr="0032068E">
        <w:rPr>
          <w:rFonts w:ascii="Verdana" w:hAnsi="Verdana"/>
          <w:sz w:val="20"/>
          <w:szCs w:val="20"/>
          <w:lang w:val="es-CR"/>
        </w:rPr>
        <w:t xml:space="preserve"> al referirse al deber del Estado de resguardar la prueba, que la debida diligencia en la investigación </w:t>
      </w:r>
      <w:r>
        <w:rPr>
          <w:rFonts w:ascii="Verdana" w:hAnsi="Verdana"/>
          <w:sz w:val="20"/>
          <w:szCs w:val="20"/>
          <w:lang w:val="es-CR"/>
        </w:rPr>
        <w:t>médi</w:t>
      </w:r>
      <w:r w:rsidR="001C06E7">
        <w:rPr>
          <w:rFonts w:ascii="Verdana" w:hAnsi="Verdana"/>
          <w:sz w:val="20"/>
          <w:szCs w:val="20"/>
          <w:lang w:val="es-CR"/>
        </w:rPr>
        <w:t>c</w:t>
      </w:r>
      <w:r>
        <w:rPr>
          <w:rFonts w:ascii="Verdana" w:hAnsi="Verdana"/>
          <w:sz w:val="20"/>
          <w:szCs w:val="20"/>
          <w:lang w:val="es-CR"/>
        </w:rPr>
        <w:t xml:space="preserve">o-legal </w:t>
      </w:r>
      <w:r w:rsidRPr="0032068E">
        <w:rPr>
          <w:rFonts w:ascii="Verdana" w:hAnsi="Verdana"/>
          <w:sz w:val="20"/>
          <w:szCs w:val="20"/>
          <w:lang w:val="es-CR"/>
        </w:rPr>
        <w:t>de una muerte exige el mantenimiento de la cadena de custodia de todo elemento de prueba forense</w:t>
      </w:r>
      <w:r w:rsidRPr="0032068E">
        <w:rPr>
          <w:rStyle w:val="FootnoteReference"/>
          <w:rFonts w:ascii="Verdana" w:hAnsi="Verdana"/>
          <w:sz w:val="20"/>
          <w:szCs w:val="20"/>
          <w:lang w:val="es-CR"/>
        </w:rPr>
        <w:footnoteReference w:id="60"/>
      </w:r>
      <w:r w:rsidRPr="0032068E">
        <w:rPr>
          <w:rFonts w:ascii="Verdana" w:hAnsi="Verdana"/>
          <w:sz w:val="20"/>
          <w:szCs w:val="20"/>
          <w:lang w:val="es-CR"/>
        </w:rPr>
        <w:t xml:space="preserve">. El extravío de la ojiva encontrada </w:t>
      </w:r>
      <w:r>
        <w:rPr>
          <w:rFonts w:ascii="Verdana" w:hAnsi="Verdana"/>
          <w:sz w:val="20"/>
          <w:szCs w:val="20"/>
          <w:lang w:val="es-CR"/>
        </w:rPr>
        <w:t>junto</w:t>
      </w:r>
      <w:r w:rsidRPr="0032068E">
        <w:rPr>
          <w:rFonts w:ascii="Verdana" w:hAnsi="Verdana"/>
          <w:sz w:val="20"/>
          <w:szCs w:val="20"/>
          <w:lang w:val="es-CR"/>
        </w:rPr>
        <w:t xml:space="preserve"> </w:t>
      </w:r>
      <w:r>
        <w:rPr>
          <w:rFonts w:ascii="Verdana" w:hAnsi="Verdana"/>
          <w:sz w:val="20"/>
          <w:szCs w:val="20"/>
          <w:lang w:val="es-CR"/>
        </w:rPr>
        <w:t>a</w:t>
      </w:r>
      <w:r w:rsidRPr="0032068E">
        <w:rPr>
          <w:rFonts w:ascii="Verdana" w:hAnsi="Verdana"/>
          <w:sz w:val="20"/>
          <w:szCs w:val="20"/>
          <w:lang w:val="es-CR"/>
        </w:rPr>
        <w:t xml:space="preserve">l cadáver de la víctima, al ser parte fundamental de la prueba, constituye en sí mismo un incumplimiento con el deber de investigar, que además obstaculiza el desarrollo de la investigación. La Corte recuerda que ya se había practicado un </w:t>
      </w:r>
      <w:r w:rsidRPr="0032068E">
        <w:rPr>
          <w:rFonts w:ascii="Verdana" w:hAnsi="Verdana"/>
          <w:sz w:val="20"/>
          <w:lang w:val="es-ES_tradnl"/>
        </w:rPr>
        <w:t>peritaje balístico a esa ojiva, que concluía que provenía del arma de dotación de uno de los policías acusados</w:t>
      </w:r>
      <w:r>
        <w:rPr>
          <w:rStyle w:val="FootnoteReference"/>
          <w:rFonts w:ascii="Verdana" w:hAnsi="Verdana"/>
          <w:sz w:val="20"/>
          <w:lang w:val="es-ES_tradnl"/>
        </w:rPr>
        <w:footnoteReference w:id="61"/>
      </w:r>
      <w:r w:rsidRPr="0032068E">
        <w:rPr>
          <w:rFonts w:ascii="Verdana" w:hAnsi="Verdana"/>
          <w:sz w:val="20"/>
          <w:lang w:val="es-ES_tradnl"/>
        </w:rPr>
        <w:t>.</w:t>
      </w:r>
    </w:p>
    <w:p w14:paraId="238B70A2" w14:textId="77777777" w:rsidR="00095EA1" w:rsidRPr="0032068E" w:rsidRDefault="00095EA1" w:rsidP="00095EA1">
      <w:pPr>
        <w:pStyle w:val="ListParagraph"/>
        <w:rPr>
          <w:rFonts w:ascii="Verdana" w:hAnsi="Verdana"/>
          <w:sz w:val="20"/>
          <w:szCs w:val="20"/>
          <w:lang w:val="es-CR"/>
        </w:rPr>
      </w:pPr>
    </w:p>
    <w:p w14:paraId="376CC527" w14:textId="4FEF95BD" w:rsidR="00095EA1" w:rsidRPr="0032068E" w:rsidRDefault="00095EA1" w:rsidP="00095EA1">
      <w:pPr>
        <w:pStyle w:val="ListParagraph"/>
        <w:numPr>
          <w:ilvl w:val="0"/>
          <w:numId w:val="2"/>
        </w:numPr>
        <w:spacing w:after="0" w:line="240" w:lineRule="auto"/>
        <w:ind w:left="0" w:right="1444" w:firstLine="0"/>
        <w:jc w:val="both"/>
        <w:rPr>
          <w:rFonts w:ascii="Verdana" w:hAnsi="Verdana"/>
          <w:sz w:val="20"/>
          <w:szCs w:val="20"/>
          <w:lang w:val="es-CR"/>
        </w:rPr>
      </w:pPr>
      <w:bookmarkStart w:id="65" w:name="_Ref437962513"/>
      <w:r w:rsidRPr="0032068E">
        <w:rPr>
          <w:rFonts w:ascii="Verdana" w:hAnsi="Verdana"/>
          <w:sz w:val="20"/>
          <w:szCs w:val="20"/>
          <w:lang w:val="es-CR"/>
        </w:rPr>
        <w:t xml:space="preserve">La Corte destaca que aun cuando se realizaron algunas actuaciones dirigidas a remover obstáculos que impedían la investigación penal, como lo fue la decisión de la </w:t>
      </w:r>
      <w:r>
        <w:rPr>
          <w:rFonts w:ascii="Verdana" w:hAnsi="Verdana"/>
          <w:sz w:val="20"/>
          <w:szCs w:val="20"/>
          <w:lang w:val="es-CR"/>
        </w:rPr>
        <w:t xml:space="preserve">Cámara Penal de la </w:t>
      </w:r>
      <w:r w:rsidRPr="0032068E">
        <w:rPr>
          <w:rFonts w:ascii="Verdana" w:hAnsi="Verdana"/>
          <w:sz w:val="20"/>
          <w:szCs w:val="20"/>
          <w:lang w:val="es-CR"/>
        </w:rPr>
        <w:t>Corte Suprema de Justicia de determinar la autoejecutabilidad de la sentencia emitida por la Corte, y la formación de un equipo contratado por el Programa de Acompañamiento a la Justicia de Transición para el análisis del expediente</w:t>
      </w:r>
      <w:r w:rsidRPr="0032068E">
        <w:rPr>
          <w:rStyle w:val="FootnoteReference"/>
          <w:rFonts w:ascii="Verdana" w:hAnsi="Verdana"/>
          <w:sz w:val="20"/>
          <w:szCs w:val="20"/>
          <w:lang w:val="es-CR"/>
        </w:rPr>
        <w:footnoteReference w:id="62"/>
      </w:r>
      <w:r w:rsidRPr="0032068E">
        <w:rPr>
          <w:rFonts w:ascii="Verdana" w:hAnsi="Verdana"/>
          <w:sz w:val="20"/>
          <w:szCs w:val="20"/>
          <w:lang w:val="es-CR"/>
        </w:rPr>
        <w:t xml:space="preserve">, entre otras, a la fecha </w:t>
      </w:r>
      <w:r>
        <w:rPr>
          <w:rFonts w:ascii="Verdana" w:hAnsi="Verdana"/>
          <w:sz w:val="20"/>
          <w:szCs w:val="20"/>
          <w:lang w:val="es-CR"/>
        </w:rPr>
        <w:t xml:space="preserve">no </w:t>
      </w:r>
      <w:r w:rsidRPr="0032068E">
        <w:rPr>
          <w:rFonts w:ascii="Verdana" w:hAnsi="Verdana"/>
          <w:sz w:val="20"/>
          <w:szCs w:val="20"/>
          <w:lang w:val="es-CR"/>
        </w:rPr>
        <w:t>se ha adoptado decisión alguna con respecto al resultado de la investigación. La Corte valora positivamente los esfuerzos indicados por el Estado en su informe de octubre de 2015</w:t>
      </w:r>
      <w:r w:rsidRPr="0032068E">
        <w:rPr>
          <w:rStyle w:val="FootnoteReference"/>
          <w:rFonts w:ascii="Verdana" w:hAnsi="Verdana"/>
          <w:sz w:val="20"/>
          <w:szCs w:val="20"/>
          <w:lang w:val="es-CR"/>
        </w:rPr>
        <w:footnoteReference w:id="63"/>
      </w:r>
      <w:r>
        <w:rPr>
          <w:rFonts w:ascii="Verdana" w:hAnsi="Verdana"/>
          <w:sz w:val="20"/>
          <w:szCs w:val="20"/>
          <w:lang w:val="es-CR"/>
        </w:rPr>
        <w:t>;</w:t>
      </w:r>
      <w:r w:rsidRPr="0032068E">
        <w:rPr>
          <w:rFonts w:ascii="Verdana" w:hAnsi="Verdana"/>
          <w:sz w:val="20"/>
          <w:szCs w:val="20"/>
          <w:lang w:val="es-CR"/>
        </w:rPr>
        <w:t xml:space="preserve"> sin embargo, hace notar que </w:t>
      </w:r>
      <w:r>
        <w:rPr>
          <w:rFonts w:ascii="Verdana" w:hAnsi="Verdana"/>
          <w:sz w:val="20"/>
          <w:szCs w:val="20"/>
          <w:lang w:val="es-CR"/>
        </w:rPr>
        <w:t>las acciones</w:t>
      </w:r>
      <w:r w:rsidRPr="0032068E">
        <w:rPr>
          <w:rFonts w:ascii="Verdana" w:hAnsi="Verdana"/>
          <w:sz w:val="20"/>
          <w:szCs w:val="20"/>
          <w:lang w:val="es-CR"/>
        </w:rPr>
        <w:t xml:space="preserve"> son presentad</w:t>
      </w:r>
      <w:r>
        <w:rPr>
          <w:rFonts w:ascii="Verdana" w:hAnsi="Verdana"/>
          <w:sz w:val="20"/>
          <w:szCs w:val="20"/>
          <w:lang w:val="es-CR"/>
        </w:rPr>
        <w:t>a</w:t>
      </w:r>
      <w:r w:rsidRPr="0032068E">
        <w:rPr>
          <w:rFonts w:ascii="Verdana" w:hAnsi="Verdana"/>
          <w:sz w:val="20"/>
          <w:szCs w:val="20"/>
          <w:lang w:val="es-CR"/>
        </w:rPr>
        <w:t xml:space="preserve">s </w:t>
      </w:r>
      <w:r>
        <w:rPr>
          <w:rFonts w:ascii="Verdana" w:hAnsi="Verdana"/>
          <w:sz w:val="20"/>
          <w:szCs w:val="20"/>
          <w:lang w:val="es-CR"/>
        </w:rPr>
        <w:t xml:space="preserve">sin </w:t>
      </w:r>
      <w:r w:rsidRPr="0032068E">
        <w:rPr>
          <w:rFonts w:ascii="Verdana" w:hAnsi="Verdana"/>
          <w:sz w:val="20"/>
          <w:szCs w:val="20"/>
          <w:lang w:val="es-CR"/>
        </w:rPr>
        <w:t xml:space="preserve">que denoten que </w:t>
      </w:r>
      <w:r>
        <w:rPr>
          <w:rFonts w:ascii="Verdana" w:hAnsi="Verdana"/>
          <w:sz w:val="20"/>
          <w:szCs w:val="20"/>
          <w:lang w:val="es-CR"/>
        </w:rPr>
        <w:t>forman parte de un</w:t>
      </w:r>
      <w:r w:rsidRPr="0032068E">
        <w:rPr>
          <w:rFonts w:ascii="Verdana" w:hAnsi="Verdana"/>
          <w:sz w:val="20"/>
          <w:szCs w:val="20"/>
          <w:lang w:val="es-CR"/>
        </w:rPr>
        <w:t xml:space="preserve"> plan de investigación</w:t>
      </w:r>
      <w:r w:rsidRPr="0032068E">
        <w:rPr>
          <w:rStyle w:val="FootnoteReference"/>
          <w:rFonts w:ascii="Verdana" w:hAnsi="Verdana"/>
          <w:sz w:val="20"/>
          <w:szCs w:val="20"/>
          <w:lang w:val="es-CR"/>
        </w:rPr>
        <w:footnoteReference w:id="64"/>
      </w:r>
      <w:r>
        <w:rPr>
          <w:rFonts w:ascii="Verdana" w:hAnsi="Verdana"/>
          <w:sz w:val="20"/>
          <w:szCs w:val="20"/>
          <w:lang w:val="es-CR"/>
        </w:rPr>
        <w:t xml:space="preserve"> ni que exista un cronograma del mismo, de manera que</w:t>
      </w:r>
      <w:r w:rsidRPr="0032068E">
        <w:rPr>
          <w:rFonts w:ascii="Verdana" w:hAnsi="Verdana"/>
          <w:sz w:val="20"/>
          <w:szCs w:val="20"/>
          <w:lang w:val="es-CR"/>
        </w:rPr>
        <w:t xml:space="preserve"> se pueda prever que prontamente habrán avances significativos que permita</w:t>
      </w:r>
      <w:r>
        <w:rPr>
          <w:rFonts w:ascii="Verdana" w:hAnsi="Verdana"/>
          <w:sz w:val="20"/>
          <w:szCs w:val="20"/>
          <w:lang w:val="es-CR"/>
        </w:rPr>
        <w:t>n</w:t>
      </w:r>
      <w:r w:rsidRPr="0032068E">
        <w:rPr>
          <w:rFonts w:ascii="Verdana" w:hAnsi="Verdana"/>
          <w:sz w:val="20"/>
          <w:szCs w:val="20"/>
          <w:lang w:val="es-CR"/>
        </w:rPr>
        <w:t xml:space="preserve"> continuar con las siguientes etapas del proceso penal. La Corte observa que, habiendo transcurrido aproximadamente 25 años </w:t>
      </w:r>
      <w:r>
        <w:rPr>
          <w:rFonts w:ascii="Verdana" w:hAnsi="Verdana"/>
          <w:sz w:val="20"/>
          <w:szCs w:val="20"/>
          <w:lang w:val="es-CR"/>
        </w:rPr>
        <w:t>desde que se dieron</w:t>
      </w:r>
      <w:r w:rsidRPr="0032068E">
        <w:rPr>
          <w:rFonts w:ascii="Verdana" w:hAnsi="Verdana"/>
          <w:sz w:val="20"/>
          <w:szCs w:val="20"/>
          <w:lang w:val="es-CR"/>
        </w:rPr>
        <w:t xml:space="preserve"> las violaciones en este caso, y 16 años desde que emitió su </w:t>
      </w:r>
      <w:r>
        <w:rPr>
          <w:rFonts w:ascii="Verdana" w:hAnsi="Verdana"/>
          <w:sz w:val="20"/>
          <w:szCs w:val="20"/>
          <w:lang w:val="es-CR"/>
        </w:rPr>
        <w:t>S</w:t>
      </w:r>
      <w:r w:rsidRPr="0032068E">
        <w:rPr>
          <w:rFonts w:ascii="Verdana" w:hAnsi="Verdana"/>
          <w:sz w:val="20"/>
          <w:szCs w:val="20"/>
          <w:lang w:val="es-CR"/>
        </w:rPr>
        <w:t xml:space="preserve">entencia de fondo, siguen sin existir avances sustanciales en el cumplimiento de la obligación de investigar los hechos referidos. </w:t>
      </w:r>
      <w:r>
        <w:rPr>
          <w:rFonts w:ascii="Verdana" w:hAnsi="Verdana"/>
          <w:sz w:val="20"/>
          <w:szCs w:val="20"/>
          <w:lang w:val="es-CR"/>
        </w:rPr>
        <w:t>D</w:t>
      </w:r>
      <w:r w:rsidRPr="0032068E">
        <w:rPr>
          <w:rFonts w:ascii="Verdana" w:hAnsi="Verdana"/>
          <w:sz w:val="20"/>
          <w:szCs w:val="20"/>
          <w:lang w:val="es-CR"/>
        </w:rPr>
        <w:t>e la información proporcionada por el Estado no se desprende</w:t>
      </w:r>
      <w:r>
        <w:rPr>
          <w:rFonts w:ascii="Verdana" w:hAnsi="Verdana"/>
          <w:sz w:val="20"/>
          <w:szCs w:val="20"/>
          <w:lang w:val="es-CR"/>
        </w:rPr>
        <w:t xml:space="preserve"> la individualización </w:t>
      </w:r>
      <w:r w:rsidRPr="0032068E">
        <w:rPr>
          <w:rFonts w:ascii="Verdana" w:hAnsi="Verdana"/>
          <w:sz w:val="20"/>
          <w:szCs w:val="20"/>
          <w:lang w:val="es-CR"/>
        </w:rPr>
        <w:t>de personas relacionadas con l</w:t>
      </w:r>
      <w:r>
        <w:rPr>
          <w:rFonts w:ascii="Verdana" w:hAnsi="Verdana"/>
          <w:sz w:val="20"/>
          <w:szCs w:val="20"/>
          <w:lang w:val="es-CR"/>
        </w:rPr>
        <w:t>os hechos a ser investigados</w:t>
      </w:r>
      <w:r w:rsidRPr="0032068E">
        <w:rPr>
          <w:rFonts w:ascii="Verdana" w:hAnsi="Verdana"/>
          <w:sz w:val="20"/>
          <w:szCs w:val="20"/>
          <w:lang w:val="es-CR"/>
        </w:rPr>
        <w:t>, ni las líneas de investigación a ser seguidas.</w:t>
      </w:r>
      <w:bookmarkEnd w:id="65"/>
      <w:r w:rsidRPr="0032068E">
        <w:rPr>
          <w:rFonts w:ascii="Verdana" w:hAnsi="Verdana"/>
          <w:sz w:val="20"/>
          <w:szCs w:val="20"/>
          <w:lang w:val="es-CR"/>
        </w:rPr>
        <w:t xml:space="preserve">  </w:t>
      </w:r>
    </w:p>
    <w:p w14:paraId="62D43BE3" w14:textId="77777777" w:rsidR="00095EA1" w:rsidRPr="0032068E" w:rsidRDefault="00095EA1" w:rsidP="00095EA1">
      <w:pPr>
        <w:pStyle w:val="ListParagraph"/>
        <w:rPr>
          <w:rFonts w:ascii="Verdana" w:hAnsi="Verdana"/>
          <w:sz w:val="20"/>
          <w:szCs w:val="20"/>
          <w:lang w:val="es-CR"/>
        </w:rPr>
      </w:pPr>
    </w:p>
    <w:p w14:paraId="030A61B0" w14:textId="355057FD" w:rsidR="00095EA1" w:rsidRPr="0032068E" w:rsidRDefault="00095EA1" w:rsidP="00095EA1">
      <w:pPr>
        <w:pStyle w:val="ListParagraph"/>
        <w:numPr>
          <w:ilvl w:val="0"/>
          <w:numId w:val="2"/>
        </w:numPr>
        <w:spacing w:after="0" w:line="240" w:lineRule="auto"/>
        <w:ind w:left="0" w:right="1444" w:firstLine="0"/>
        <w:jc w:val="both"/>
        <w:rPr>
          <w:rFonts w:ascii="Verdana" w:hAnsi="Verdana"/>
          <w:sz w:val="20"/>
          <w:szCs w:val="20"/>
          <w:lang w:val="es-CR"/>
        </w:rPr>
      </w:pPr>
      <w:bookmarkStart w:id="66" w:name="_Ref437964357"/>
      <w:r w:rsidRPr="0032068E">
        <w:rPr>
          <w:rFonts w:ascii="Verdana" w:hAnsi="Verdana"/>
          <w:sz w:val="20"/>
          <w:szCs w:val="20"/>
          <w:lang w:val="es-CR"/>
        </w:rPr>
        <w:lastRenderedPageBreak/>
        <w:t>Por lo tanto, la Corte requiere al Estado que aporte información actualizada sobre el estado del proceso, las líneas de investigación y la</w:t>
      </w:r>
      <w:r>
        <w:rPr>
          <w:rFonts w:ascii="Verdana" w:hAnsi="Verdana"/>
          <w:sz w:val="20"/>
          <w:szCs w:val="20"/>
          <w:lang w:val="es-CR"/>
        </w:rPr>
        <w:t xml:space="preserve"> individualización de las</w:t>
      </w:r>
      <w:r w:rsidRPr="0032068E">
        <w:rPr>
          <w:rFonts w:ascii="Verdana" w:hAnsi="Verdana"/>
          <w:sz w:val="20"/>
          <w:szCs w:val="20"/>
          <w:lang w:val="es-CR"/>
        </w:rPr>
        <w:t xml:space="preserve"> personas que se encontrarían vinculadas con dicha investigación, al igual que </w:t>
      </w:r>
      <w:r w:rsidRPr="0032068E">
        <w:rPr>
          <w:rFonts w:ascii="Verdana" w:hAnsi="Verdana"/>
          <w:sz w:val="20"/>
          <w:szCs w:val="20"/>
          <w:lang w:val="es-UY"/>
        </w:rPr>
        <w:t>informe acerca de</w:t>
      </w:r>
      <w:r>
        <w:rPr>
          <w:rFonts w:ascii="Verdana" w:hAnsi="Verdana"/>
          <w:sz w:val="20"/>
          <w:szCs w:val="20"/>
          <w:lang w:val="es-UY"/>
        </w:rPr>
        <w:t xml:space="preserve">l resultado de la investigación del equipo </w:t>
      </w:r>
      <w:r w:rsidRPr="0032068E">
        <w:rPr>
          <w:rFonts w:ascii="Verdana" w:hAnsi="Verdana"/>
          <w:sz w:val="20"/>
          <w:szCs w:val="20"/>
          <w:lang w:val="es-CR"/>
        </w:rPr>
        <w:t>contratado por el Programa de Acompañamiento a la Justicia de Transición</w:t>
      </w:r>
      <w:r>
        <w:rPr>
          <w:rFonts w:ascii="Verdana" w:hAnsi="Verdana"/>
          <w:sz w:val="20"/>
          <w:szCs w:val="20"/>
          <w:lang w:val="es-UY"/>
        </w:rPr>
        <w:t xml:space="preserve"> y de</w:t>
      </w:r>
      <w:r w:rsidRPr="0032068E">
        <w:rPr>
          <w:rFonts w:ascii="Verdana" w:hAnsi="Verdana"/>
          <w:sz w:val="20"/>
          <w:szCs w:val="20"/>
          <w:lang w:val="es-UY"/>
        </w:rPr>
        <w:t xml:space="preserve"> las medidas adoptadas para resolver los obstáculos en la preservación de la prueba relevante para esta investigación y</w:t>
      </w:r>
      <w:r>
        <w:rPr>
          <w:rFonts w:ascii="Verdana" w:hAnsi="Verdana"/>
          <w:sz w:val="20"/>
          <w:szCs w:val="20"/>
          <w:lang w:val="es-UY"/>
        </w:rPr>
        <w:t>,</w:t>
      </w:r>
      <w:r w:rsidRPr="0032068E">
        <w:rPr>
          <w:rFonts w:ascii="Verdana" w:hAnsi="Verdana"/>
          <w:sz w:val="20"/>
          <w:szCs w:val="20"/>
          <w:lang w:val="es-UY"/>
        </w:rPr>
        <w:t xml:space="preserve"> en particular, la pérdida de la ojiva identificada como fundamental para </w:t>
      </w:r>
      <w:r>
        <w:rPr>
          <w:rFonts w:ascii="Verdana" w:hAnsi="Verdana"/>
          <w:sz w:val="20"/>
          <w:szCs w:val="20"/>
          <w:lang w:val="es-UY"/>
        </w:rPr>
        <w:t>el avance de la</w:t>
      </w:r>
      <w:r w:rsidRPr="0032068E">
        <w:rPr>
          <w:rFonts w:ascii="Verdana" w:hAnsi="Verdana"/>
          <w:sz w:val="20"/>
          <w:szCs w:val="20"/>
          <w:lang w:val="es-UY"/>
        </w:rPr>
        <w:t xml:space="preserve"> misma</w:t>
      </w:r>
      <w:r w:rsidRPr="0032068E">
        <w:rPr>
          <w:rFonts w:ascii="Verdana" w:hAnsi="Verdana"/>
          <w:sz w:val="20"/>
          <w:szCs w:val="20"/>
          <w:lang w:val="es-CR"/>
        </w:rPr>
        <w:t>.</w:t>
      </w:r>
      <w:bookmarkEnd w:id="66"/>
    </w:p>
    <w:p w14:paraId="707A7822" w14:textId="77777777" w:rsidR="00320559" w:rsidRPr="0032068E" w:rsidRDefault="00320559" w:rsidP="00320559">
      <w:pPr>
        <w:pStyle w:val="ListParagraph"/>
        <w:spacing w:after="0" w:line="240" w:lineRule="auto"/>
        <w:ind w:left="0" w:right="1444"/>
        <w:jc w:val="both"/>
        <w:rPr>
          <w:rFonts w:ascii="Verdana" w:hAnsi="Verdana"/>
          <w:sz w:val="20"/>
          <w:szCs w:val="20"/>
          <w:lang w:val="es-CR"/>
        </w:rPr>
      </w:pPr>
    </w:p>
    <w:p w14:paraId="255F9954" w14:textId="77777777" w:rsidR="00320559" w:rsidRPr="0032068E" w:rsidRDefault="00320559" w:rsidP="00AD5701">
      <w:pPr>
        <w:pStyle w:val="Heading3"/>
      </w:pPr>
      <w:bookmarkStart w:id="67" w:name="_Toc435778529"/>
      <w:bookmarkStart w:id="68" w:name="_Toc439248787"/>
      <w:r w:rsidRPr="0032068E">
        <w:t>Caso Bámaca Velásquez</w:t>
      </w:r>
      <w:bookmarkEnd w:id="67"/>
      <w:bookmarkEnd w:id="68"/>
    </w:p>
    <w:p w14:paraId="5F89F16C" w14:textId="77777777" w:rsidR="00320559" w:rsidRPr="0032068E" w:rsidRDefault="00320559" w:rsidP="00320559">
      <w:pPr>
        <w:pStyle w:val="ListParagraph"/>
        <w:spacing w:after="0" w:line="240" w:lineRule="auto"/>
        <w:ind w:left="1080" w:right="1444" w:hanging="360"/>
        <w:jc w:val="both"/>
        <w:rPr>
          <w:rFonts w:ascii="Verdana" w:hAnsi="Verdana"/>
          <w:sz w:val="20"/>
          <w:szCs w:val="20"/>
          <w:lang w:val="es-CR"/>
        </w:rPr>
      </w:pPr>
    </w:p>
    <w:p w14:paraId="111F86FD" w14:textId="2D15B5CF" w:rsidR="00BC7740" w:rsidRDefault="00886F01" w:rsidP="00320559">
      <w:pPr>
        <w:numPr>
          <w:ilvl w:val="0"/>
          <w:numId w:val="2"/>
        </w:numPr>
        <w:spacing w:after="0" w:line="240" w:lineRule="auto"/>
        <w:ind w:left="0" w:right="1444" w:firstLine="0"/>
        <w:contextualSpacing/>
        <w:jc w:val="both"/>
        <w:rPr>
          <w:rFonts w:ascii="Verdana" w:hAnsi="Verdana" w:cs="Verdana"/>
          <w:sz w:val="20"/>
          <w:szCs w:val="20"/>
          <w:lang w:val="es-ES"/>
        </w:rPr>
      </w:pPr>
      <w:bookmarkStart w:id="69" w:name="_Ref437938969"/>
      <w:r>
        <w:rPr>
          <w:rFonts w:ascii="Verdana" w:hAnsi="Verdana" w:cs="Verdana"/>
          <w:sz w:val="20"/>
          <w:szCs w:val="20"/>
          <w:lang w:val="es-ES"/>
        </w:rPr>
        <w:t xml:space="preserve">La Corte recuerda que en la Sentencia de fondo se tuvo por probado que </w:t>
      </w:r>
      <w:r w:rsidR="005768E5">
        <w:rPr>
          <w:rFonts w:ascii="Verdana" w:hAnsi="Verdana" w:cs="Verdana"/>
          <w:sz w:val="20"/>
          <w:szCs w:val="20"/>
          <w:lang w:val="es-ES"/>
        </w:rPr>
        <w:t>“[</w:t>
      </w:r>
      <w:r>
        <w:rPr>
          <w:rFonts w:ascii="Verdana" w:hAnsi="Verdana" w:cs="Verdana"/>
          <w:sz w:val="20"/>
          <w:szCs w:val="20"/>
          <w:lang w:val="es-ES"/>
        </w:rPr>
        <w:t>c</w:t>
      </w:r>
      <w:r w:rsidR="005768E5">
        <w:rPr>
          <w:rFonts w:ascii="Verdana" w:hAnsi="Verdana" w:cs="Verdana"/>
          <w:sz w:val="20"/>
          <w:szCs w:val="20"/>
          <w:lang w:val="es-ES"/>
        </w:rPr>
        <w:t>]</w:t>
      </w:r>
      <w:r>
        <w:rPr>
          <w:rFonts w:ascii="Verdana" w:hAnsi="Verdana" w:cs="Verdana"/>
          <w:sz w:val="20"/>
          <w:szCs w:val="20"/>
          <w:lang w:val="es-ES"/>
        </w:rPr>
        <w:t>omo resultado de los hechos del presente caso se iniciaron varios procesos judiciales</w:t>
      </w:r>
      <w:r w:rsidR="005768E5">
        <w:rPr>
          <w:rFonts w:ascii="Verdana" w:hAnsi="Verdana" w:cs="Verdana"/>
          <w:sz w:val="20"/>
          <w:szCs w:val="20"/>
          <w:lang w:val="es-ES"/>
        </w:rPr>
        <w:t>”</w:t>
      </w:r>
      <w:r>
        <w:rPr>
          <w:rFonts w:ascii="Verdana" w:hAnsi="Verdana" w:cs="Verdana"/>
          <w:sz w:val="20"/>
          <w:szCs w:val="20"/>
          <w:lang w:val="es-ES"/>
        </w:rPr>
        <w:t xml:space="preserve">, entre ellos una causa penal instruida en contra de “trece militares” por los </w:t>
      </w:r>
      <w:r w:rsidR="002A579B">
        <w:rPr>
          <w:rFonts w:ascii="Verdana" w:hAnsi="Verdana" w:cs="Verdana"/>
          <w:sz w:val="20"/>
          <w:szCs w:val="20"/>
          <w:lang w:val="es-ES"/>
        </w:rPr>
        <w:t>delitos de “detención ilegal, homicidio, asesinato, lesiones [en diversos grados], coacción, amenazas, delitos contra los deberes de humanidad, abuso de autoridad y abuso contra particulares” en perjuicio del señor Bámaca Velásquez</w:t>
      </w:r>
      <w:r w:rsidR="002A579B">
        <w:rPr>
          <w:rStyle w:val="FootnoteReference"/>
          <w:rFonts w:ascii="Verdana" w:hAnsi="Verdana" w:cs="Verdana"/>
          <w:sz w:val="20"/>
          <w:szCs w:val="20"/>
          <w:lang w:val="es-ES"/>
        </w:rPr>
        <w:footnoteReference w:id="65"/>
      </w:r>
      <w:r w:rsidR="002A579B">
        <w:rPr>
          <w:rFonts w:ascii="Verdana" w:hAnsi="Verdana" w:cs="Verdana"/>
          <w:sz w:val="20"/>
          <w:szCs w:val="20"/>
          <w:lang w:val="es-ES"/>
        </w:rPr>
        <w:t>.</w:t>
      </w:r>
      <w:r>
        <w:rPr>
          <w:rFonts w:ascii="Verdana" w:hAnsi="Verdana" w:cs="Verdana"/>
          <w:sz w:val="20"/>
          <w:szCs w:val="20"/>
          <w:lang w:val="es-ES"/>
        </w:rPr>
        <w:t xml:space="preserve"> </w:t>
      </w:r>
      <w:r w:rsidR="00D111E7">
        <w:rPr>
          <w:rFonts w:ascii="Verdana" w:hAnsi="Verdana" w:cs="Verdana"/>
          <w:sz w:val="20"/>
          <w:szCs w:val="20"/>
          <w:lang w:val="es-ES"/>
        </w:rPr>
        <w:t>La Corte también constató que en abril de 1995 “el Juzgado Militar de Primera Instancia de Retalhuleu sobreseyó [dicha] causa”, la cual fue abierta nuevamente</w:t>
      </w:r>
      <w:r w:rsidR="004251DF">
        <w:rPr>
          <w:rFonts w:ascii="Verdana" w:hAnsi="Verdana" w:cs="Verdana"/>
          <w:sz w:val="20"/>
          <w:szCs w:val="20"/>
          <w:lang w:val="es-ES"/>
        </w:rPr>
        <w:t xml:space="preserve"> en</w:t>
      </w:r>
      <w:r w:rsidR="00D111E7">
        <w:rPr>
          <w:rFonts w:ascii="Verdana" w:hAnsi="Verdana" w:cs="Verdana"/>
          <w:sz w:val="20"/>
          <w:szCs w:val="20"/>
          <w:lang w:val="es-ES"/>
        </w:rPr>
        <w:t xml:space="preserve"> </w:t>
      </w:r>
      <w:r w:rsidR="004251DF">
        <w:rPr>
          <w:rFonts w:ascii="Verdana" w:hAnsi="Verdana" w:cs="Verdana"/>
          <w:sz w:val="20"/>
          <w:szCs w:val="20"/>
          <w:lang w:val="es-ES"/>
        </w:rPr>
        <w:t xml:space="preserve">noviembre de 1995, </w:t>
      </w:r>
      <w:r w:rsidR="00D111E7">
        <w:rPr>
          <w:rFonts w:ascii="Verdana" w:hAnsi="Verdana" w:cs="Verdana"/>
          <w:sz w:val="20"/>
          <w:szCs w:val="20"/>
          <w:lang w:val="es-ES"/>
        </w:rPr>
        <w:t>por decisión de la Sala Undécima de Apelaciones de Retalh</w:t>
      </w:r>
      <w:r w:rsidR="00417122">
        <w:rPr>
          <w:rFonts w:ascii="Verdana" w:hAnsi="Verdana" w:cs="Verdana"/>
          <w:sz w:val="20"/>
          <w:szCs w:val="20"/>
          <w:lang w:val="es-ES"/>
        </w:rPr>
        <w:t>ul</w:t>
      </w:r>
      <w:r w:rsidR="00D111E7">
        <w:rPr>
          <w:rFonts w:ascii="Verdana" w:hAnsi="Verdana" w:cs="Verdana"/>
          <w:sz w:val="20"/>
          <w:szCs w:val="20"/>
          <w:lang w:val="es-ES"/>
        </w:rPr>
        <w:t>eu, al pronunciarse sobre la improcedencia de dicho sobreseimiento</w:t>
      </w:r>
      <w:r w:rsidR="00D111E7">
        <w:rPr>
          <w:rStyle w:val="FootnoteReference"/>
          <w:rFonts w:ascii="Verdana" w:hAnsi="Verdana" w:cs="Verdana"/>
          <w:sz w:val="20"/>
          <w:szCs w:val="20"/>
          <w:lang w:val="es-ES"/>
        </w:rPr>
        <w:footnoteReference w:id="66"/>
      </w:r>
      <w:r w:rsidR="00D111E7">
        <w:rPr>
          <w:rFonts w:ascii="Verdana" w:hAnsi="Verdana" w:cs="Verdana"/>
          <w:sz w:val="20"/>
          <w:szCs w:val="20"/>
          <w:lang w:val="es-ES"/>
        </w:rPr>
        <w:t xml:space="preserve">. </w:t>
      </w:r>
      <w:r w:rsidR="004251DF">
        <w:rPr>
          <w:rFonts w:ascii="Verdana" w:hAnsi="Verdana" w:cs="Verdana"/>
          <w:sz w:val="20"/>
          <w:szCs w:val="20"/>
          <w:lang w:val="es-ES"/>
        </w:rPr>
        <w:t>D</w:t>
      </w:r>
      <w:r w:rsidR="00D111E7">
        <w:rPr>
          <w:rFonts w:ascii="Verdana" w:hAnsi="Verdana" w:cs="Verdana"/>
          <w:sz w:val="20"/>
          <w:szCs w:val="20"/>
          <w:lang w:val="es-ES"/>
        </w:rPr>
        <w:t xml:space="preserve">urante la etapa de supervisión de cumplimiento, este Tribunal recibió información del Estado en relación con el auto de sobreseimiento dictado en marzo de 1999 por el Juzgado de Primera Instancia Penal, Narcoactividad y Delitos contra el Ambiente, del Departamento de </w:t>
      </w:r>
      <w:r w:rsidR="00417122">
        <w:rPr>
          <w:rFonts w:ascii="Verdana" w:hAnsi="Verdana" w:cs="Verdana"/>
          <w:sz w:val="20"/>
          <w:szCs w:val="20"/>
          <w:lang w:val="es-ES"/>
        </w:rPr>
        <w:t>Retalhuleu a favor de trece imputados</w:t>
      </w:r>
      <w:r w:rsidR="00417122">
        <w:rPr>
          <w:rStyle w:val="FootnoteReference"/>
          <w:rFonts w:ascii="Verdana" w:hAnsi="Verdana" w:cs="Verdana"/>
          <w:sz w:val="20"/>
          <w:szCs w:val="20"/>
          <w:lang w:val="es-ES"/>
        </w:rPr>
        <w:footnoteReference w:id="67"/>
      </w:r>
      <w:r w:rsidR="00417122">
        <w:rPr>
          <w:rFonts w:ascii="Verdana" w:hAnsi="Verdana" w:cs="Verdana"/>
          <w:sz w:val="20"/>
          <w:szCs w:val="20"/>
          <w:lang w:val="es-ES"/>
        </w:rPr>
        <w:t>.</w:t>
      </w:r>
      <w:r w:rsidR="00450165">
        <w:rPr>
          <w:rFonts w:ascii="Verdana" w:hAnsi="Verdana" w:cs="Verdana"/>
          <w:sz w:val="20"/>
          <w:szCs w:val="20"/>
          <w:lang w:val="es-ES"/>
        </w:rPr>
        <w:t xml:space="preserve"> </w:t>
      </w:r>
      <w:r w:rsidR="004251DF">
        <w:rPr>
          <w:rFonts w:ascii="Verdana" w:hAnsi="Verdana" w:cs="Verdana"/>
          <w:sz w:val="20"/>
          <w:szCs w:val="20"/>
          <w:lang w:val="es-ES"/>
        </w:rPr>
        <w:t>Además, e</w:t>
      </w:r>
      <w:r w:rsidR="00BC7740">
        <w:rPr>
          <w:rFonts w:ascii="Verdana" w:hAnsi="Verdana" w:cs="Verdana"/>
          <w:sz w:val="20"/>
          <w:szCs w:val="20"/>
          <w:lang w:val="es-ES"/>
        </w:rPr>
        <w:t xml:space="preserve">l Estado informó que </w:t>
      </w:r>
      <w:r w:rsidR="009A5232">
        <w:rPr>
          <w:rFonts w:ascii="Verdana" w:hAnsi="Verdana" w:cs="Verdana"/>
          <w:sz w:val="20"/>
          <w:szCs w:val="20"/>
          <w:lang w:val="es-ES"/>
        </w:rPr>
        <w:t>entre el 2004 y el 2006</w:t>
      </w:r>
      <w:r w:rsidR="00BC7740">
        <w:rPr>
          <w:rFonts w:ascii="Verdana" w:hAnsi="Verdana" w:cs="Verdana"/>
          <w:sz w:val="20"/>
          <w:szCs w:val="20"/>
          <w:lang w:val="es-ES"/>
        </w:rPr>
        <w:t xml:space="preserve"> </w:t>
      </w:r>
      <w:r w:rsidR="009A5232">
        <w:rPr>
          <w:rFonts w:ascii="Verdana" w:hAnsi="Verdana" w:cs="Verdana"/>
          <w:sz w:val="20"/>
          <w:szCs w:val="20"/>
          <w:lang w:val="es-ES"/>
        </w:rPr>
        <w:t xml:space="preserve">se solicitó al Ministerio Público que continuara y reactivara </w:t>
      </w:r>
      <w:r w:rsidR="004251DF">
        <w:rPr>
          <w:rFonts w:ascii="Verdana" w:hAnsi="Verdana" w:cs="Verdana"/>
          <w:sz w:val="20"/>
          <w:szCs w:val="20"/>
          <w:lang w:val="es-ES"/>
        </w:rPr>
        <w:t xml:space="preserve">con la investigación </w:t>
      </w:r>
      <w:r w:rsidR="009A5232">
        <w:rPr>
          <w:rFonts w:ascii="Verdana" w:hAnsi="Verdana" w:cs="Verdana"/>
          <w:sz w:val="20"/>
          <w:szCs w:val="20"/>
          <w:lang w:val="es-ES"/>
        </w:rPr>
        <w:t>para establecer quienes son los responsables de los hechos cometidos en perjuicio del señor Bámaca Velásquez</w:t>
      </w:r>
      <w:r w:rsidR="009A5232">
        <w:rPr>
          <w:rStyle w:val="FootnoteReference"/>
          <w:rFonts w:ascii="Verdana" w:hAnsi="Verdana" w:cs="Verdana"/>
          <w:sz w:val="20"/>
          <w:szCs w:val="20"/>
          <w:lang w:val="es-ES"/>
        </w:rPr>
        <w:footnoteReference w:id="68"/>
      </w:r>
      <w:r w:rsidR="009A5232">
        <w:rPr>
          <w:rFonts w:ascii="Verdana" w:hAnsi="Verdana" w:cs="Verdana"/>
          <w:sz w:val="20"/>
          <w:szCs w:val="20"/>
          <w:lang w:val="es-ES"/>
        </w:rPr>
        <w:t>.</w:t>
      </w:r>
      <w:r w:rsidR="004251DF">
        <w:rPr>
          <w:rFonts w:ascii="Verdana" w:hAnsi="Verdana" w:cs="Verdana"/>
          <w:sz w:val="20"/>
          <w:szCs w:val="20"/>
          <w:lang w:val="es-ES"/>
        </w:rPr>
        <w:t xml:space="preserve"> Asimismo, informó que</w:t>
      </w:r>
      <w:r w:rsidR="0010481F">
        <w:rPr>
          <w:rFonts w:ascii="Verdana" w:hAnsi="Verdana" w:cs="Verdana"/>
          <w:sz w:val="20"/>
          <w:szCs w:val="20"/>
          <w:lang w:val="es-ES"/>
        </w:rPr>
        <w:t xml:space="preserve"> </w:t>
      </w:r>
      <w:r w:rsidR="004251DF">
        <w:rPr>
          <w:rFonts w:ascii="Verdana" w:hAnsi="Verdana" w:cs="Verdana"/>
          <w:sz w:val="20"/>
          <w:szCs w:val="20"/>
          <w:lang w:val="es-ES"/>
        </w:rPr>
        <w:t xml:space="preserve">la investigación de los hechos del presente caso sería trasladada de </w:t>
      </w:r>
      <w:r w:rsidR="006F23F5">
        <w:rPr>
          <w:rFonts w:ascii="Verdana" w:hAnsi="Verdana" w:cs="Verdana"/>
          <w:sz w:val="20"/>
          <w:szCs w:val="20"/>
          <w:lang w:val="es-ES"/>
        </w:rPr>
        <w:t>la Fiscalía de Retalhuleu a la U</w:t>
      </w:r>
      <w:r w:rsidR="004251DF">
        <w:rPr>
          <w:rFonts w:ascii="Verdana" w:hAnsi="Verdana" w:cs="Verdana"/>
          <w:sz w:val="20"/>
          <w:szCs w:val="20"/>
          <w:lang w:val="es-ES"/>
        </w:rPr>
        <w:t>nidad de la Fiscalía de Derechos Humanos especializada en casos que ocurrieron durante el conflicto armado interno</w:t>
      </w:r>
      <w:r w:rsidR="004251DF">
        <w:rPr>
          <w:rStyle w:val="FootnoteReference"/>
          <w:rFonts w:ascii="Verdana" w:hAnsi="Verdana" w:cs="Verdana"/>
          <w:sz w:val="20"/>
          <w:szCs w:val="20"/>
          <w:lang w:val="es-ES"/>
        </w:rPr>
        <w:footnoteReference w:id="69"/>
      </w:r>
      <w:r w:rsidR="004251DF">
        <w:rPr>
          <w:rFonts w:ascii="Verdana" w:hAnsi="Verdana" w:cs="Verdana"/>
          <w:sz w:val="20"/>
          <w:szCs w:val="20"/>
          <w:lang w:val="es-ES"/>
        </w:rPr>
        <w:t xml:space="preserve">. </w:t>
      </w:r>
    </w:p>
    <w:p w14:paraId="32B158AC" w14:textId="77777777" w:rsidR="00BC7740" w:rsidRDefault="00BC7740" w:rsidP="00BC7740">
      <w:pPr>
        <w:spacing w:after="0" w:line="240" w:lineRule="auto"/>
        <w:ind w:right="1444"/>
        <w:contextualSpacing/>
        <w:jc w:val="both"/>
        <w:rPr>
          <w:rFonts w:ascii="Verdana" w:hAnsi="Verdana" w:cs="Verdana"/>
          <w:sz w:val="20"/>
          <w:szCs w:val="20"/>
          <w:lang w:val="es-ES"/>
        </w:rPr>
      </w:pPr>
    </w:p>
    <w:p w14:paraId="394C5CB5" w14:textId="58209A13" w:rsidR="006C7859" w:rsidRDefault="00320559" w:rsidP="00320559">
      <w:pPr>
        <w:numPr>
          <w:ilvl w:val="0"/>
          <w:numId w:val="2"/>
        </w:numPr>
        <w:spacing w:after="0" w:line="240" w:lineRule="auto"/>
        <w:ind w:left="0" w:right="1444" w:firstLine="0"/>
        <w:contextualSpacing/>
        <w:jc w:val="both"/>
        <w:rPr>
          <w:rFonts w:ascii="Verdana" w:hAnsi="Verdana" w:cs="Verdana"/>
          <w:sz w:val="20"/>
          <w:szCs w:val="20"/>
          <w:lang w:val="es-ES"/>
        </w:rPr>
      </w:pPr>
      <w:r w:rsidRPr="0032068E">
        <w:rPr>
          <w:rFonts w:ascii="Verdana" w:hAnsi="Verdana" w:cs="Verdana"/>
          <w:sz w:val="20"/>
          <w:szCs w:val="20"/>
          <w:lang w:val="es-ES"/>
        </w:rPr>
        <w:t xml:space="preserve">En </w:t>
      </w:r>
      <w:r w:rsidR="000F1B26">
        <w:rPr>
          <w:rFonts w:ascii="Verdana" w:hAnsi="Verdana" w:cs="Verdana"/>
          <w:sz w:val="20"/>
          <w:szCs w:val="20"/>
          <w:lang w:val="es-ES"/>
        </w:rPr>
        <w:t>la</w:t>
      </w:r>
      <w:r w:rsidRPr="0032068E">
        <w:rPr>
          <w:rFonts w:ascii="Verdana" w:hAnsi="Verdana" w:cs="Verdana"/>
          <w:sz w:val="20"/>
          <w:szCs w:val="20"/>
          <w:lang w:val="es-ES"/>
        </w:rPr>
        <w:t xml:space="preserve"> Resolución </w:t>
      </w:r>
      <w:r w:rsidR="000F1B26">
        <w:rPr>
          <w:rFonts w:ascii="Verdana" w:hAnsi="Verdana" w:cs="Verdana"/>
          <w:sz w:val="20"/>
          <w:szCs w:val="20"/>
          <w:lang w:val="es-ES"/>
        </w:rPr>
        <w:t>d</w:t>
      </w:r>
      <w:r w:rsidRPr="0032068E">
        <w:rPr>
          <w:rFonts w:ascii="Verdana" w:hAnsi="Verdana" w:cs="Verdana"/>
          <w:sz w:val="20"/>
          <w:szCs w:val="20"/>
          <w:lang w:val="es-ES"/>
        </w:rPr>
        <w:t xml:space="preserve">e </w:t>
      </w:r>
      <w:r w:rsidR="0010481F">
        <w:rPr>
          <w:rFonts w:ascii="Verdana" w:hAnsi="Verdana" w:cs="Verdana"/>
          <w:sz w:val="20"/>
          <w:szCs w:val="20"/>
          <w:lang w:val="es-ES"/>
        </w:rPr>
        <w:t xml:space="preserve">noviembre de </w:t>
      </w:r>
      <w:r w:rsidRPr="0032068E">
        <w:rPr>
          <w:rFonts w:ascii="Verdana" w:hAnsi="Verdana" w:cs="Verdana"/>
          <w:sz w:val="20"/>
          <w:szCs w:val="20"/>
          <w:lang w:val="es-ES"/>
        </w:rPr>
        <w:t>2010</w:t>
      </w:r>
      <w:r w:rsidR="00981007">
        <w:rPr>
          <w:rStyle w:val="FootnoteReference"/>
          <w:rFonts w:ascii="Verdana" w:hAnsi="Verdana" w:cs="Verdana"/>
          <w:sz w:val="20"/>
          <w:szCs w:val="20"/>
          <w:lang w:val="es-ES"/>
        </w:rPr>
        <w:footnoteReference w:id="70"/>
      </w:r>
      <w:r w:rsidRPr="0032068E">
        <w:rPr>
          <w:rFonts w:ascii="Verdana" w:hAnsi="Verdana" w:cs="Verdana"/>
          <w:sz w:val="20"/>
          <w:szCs w:val="20"/>
          <w:lang w:val="es-ES"/>
        </w:rPr>
        <w:t xml:space="preserve">, la Corte </w:t>
      </w:r>
      <w:r w:rsidR="0010481F">
        <w:rPr>
          <w:rFonts w:ascii="Verdana" w:hAnsi="Verdana" w:cs="Verdana"/>
          <w:sz w:val="20"/>
          <w:szCs w:val="20"/>
          <w:lang w:val="es-ES"/>
        </w:rPr>
        <w:t>hizo constar</w:t>
      </w:r>
      <w:r w:rsidR="0010481F" w:rsidRPr="0032068E">
        <w:rPr>
          <w:rFonts w:ascii="Verdana" w:hAnsi="Verdana" w:cs="Verdana"/>
          <w:sz w:val="20"/>
          <w:szCs w:val="20"/>
          <w:lang w:val="es-ES"/>
        </w:rPr>
        <w:t xml:space="preserve"> </w:t>
      </w:r>
      <w:r w:rsidRPr="0032068E">
        <w:rPr>
          <w:rFonts w:ascii="Verdana" w:hAnsi="Verdana" w:cs="Verdana"/>
          <w:sz w:val="20"/>
          <w:szCs w:val="20"/>
          <w:lang w:val="es-ES"/>
        </w:rPr>
        <w:t>que</w:t>
      </w:r>
      <w:r w:rsidR="0010481F">
        <w:rPr>
          <w:rFonts w:ascii="Verdana" w:hAnsi="Verdana" w:cs="Verdana"/>
          <w:sz w:val="20"/>
          <w:szCs w:val="20"/>
          <w:lang w:val="es-ES"/>
        </w:rPr>
        <w:t xml:space="preserve"> en diciembre de 2009 “el Ministerio Público […] solicitó ante la Cámara Penal de la Corte Suprema de Justicia la ejecución de las Sentencias emitidas por la Corte Interamericana en el presente caso, y en consecuencia solicitó […] la nulidad del sobreseimiento establecido a favor de los trece procesados [en] marzo de 1999</w:t>
      </w:r>
      <w:r w:rsidR="0010481F" w:rsidRPr="006F23F5">
        <w:rPr>
          <w:rFonts w:ascii="Verdana" w:hAnsi="Verdana" w:cs="Verdana"/>
          <w:sz w:val="20"/>
          <w:szCs w:val="20"/>
          <w:lang w:val="es-ES"/>
        </w:rPr>
        <w:t>” (</w:t>
      </w:r>
      <w:r w:rsidR="0010481F" w:rsidRPr="006F23F5">
        <w:rPr>
          <w:rFonts w:ascii="Verdana" w:hAnsi="Verdana" w:cs="Verdana"/>
          <w:i/>
          <w:sz w:val="20"/>
          <w:szCs w:val="20"/>
          <w:lang w:val="es-ES"/>
        </w:rPr>
        <w:t>supra</w:t>
      </w:r>
      <w:r w:rsidR="0010481F" w:rsidRPr="006F23F5">
        <w:rPr>
          <w:rFonts w:ascii="Verdana" w:hAnsi="Verdana" w:cs="Verdana"/>
          <w:sz w:val="20"/>
          <w:szCs w:val="20"/>
          <w:lang w:val="es-ES"/>
        </w:rPr>
        <w:t xml:space="preserve"> Considerando 63).</w:t>
      </w:r>
      <w:r w:rsidR="0010481F">
        <w:rPr>
          <w:rFonts w:ascii="Verdana" w:hAnsi="Verdana" w:cs="Verdana"/>
          <w:sz w:val="20"/>
          <w:szCs w:val="20"/>
          <w:lang w:val="es-ES"/>
        </w:rPr>
        <w:t xml:space="preserve"> La Cámara Penal </w:t>
      </w:r>
      <w:r w:rsidR="00981007">
        <w:rPr>
          <w:rFonts w:ascii="Verdana" w:hAnsi="Verdana" w:cs="Verdana"/>
          <w:sz w:val="20"/>
          <w:szCs w:val="20"/>
          <w:lang w:val="es-ES"/>
        </w:rPr>
        <w:t>resolvió la nulidad de dicho sobreseimiento y de las actuaciones judiciales llevadas a cabo dentro del proceso, y ordenó “iniciar un nuevo procesamiento”, declarando la “autoejecutabilidad de la Sentencia emitida por la Corte Interamericana”.</w:t>
      </w:r>
      <w:r w:rsidR="0010481F">
        <w:rPr>
          <w:rFonts w:ascii="Verdana" w:hAnsi="Verdana" w:cs="Verdana"/>
          <w:sz w:val="20"/>
          <w:szCs w:val="20"/>
          <w:lang w:val="es-ES"/>
        </w:rPr>
        <w:t xml:space="preserve"> </w:t>
      </w:r>
      <w:r w:rsidR="00981007">
        <w:rPr>
          <w:rFonts w:ascii="Verdana" w:hAnsi="Verdana" w:cs="Verdana"/>
          <w:sz w:val="20"/>
          <w:szCs w:val="20"/>
          <w:lang w:val="es-ES"/>
        </w:rPr>
        <w:t xml:space="preserve">Como consecuencia de la reapertura de la investigación, uno de los militares imputados “presentó un recurso de amparo ante la Corte de Constitucionalidad alegando que al existir un sobreseimiento a su favor ‘el proceso no </w:t>
      </w:r>
      <w:proofErr w:type="gramStart"/>
      <w:r w:rsidR="00981007">
        <w:rPr>
          <w:rFonts w:ascii="Verdana" w:hAnsi="Verdana" w:cs="Verdana"/>
          <w:sz w:val="20"/>
          <w:szCs w:val="20"/>
          <w:lang w:val="es-ES"/>
        </w:rPr>
        <w:t>p[</w:t>
      </w:r>
      <w:proofErr w:type="gramEnd"/>
      <w:r w:rsidR="00981007">
        <w:rPr>
          <w:rFonts w:ascii="Verdana" w:hAnsi="Verdana" w:cs="Verdana"/>
          <w:sz w:val="20"/>
          <w:szCs w:val="20"/>
          <w:lang w:val="es-ES"/>
        </w:rPr>
        <w:t>odía] reabrir[se] y [no podía] ser sometido a una nueva persecución penal’”. Al resolver dicho recurso de amparo</w:t>
      </w:r>
      <w:r w:rsidR="006F23F5">
        <w:rPr>
          <w:rFonts w:ascii="Verdana" w:hAnsi="Verdana" w:cs="Verdana"/>
          <w:sz w:val="20"/>
          <w:szCs w:val="20"/>
          <w:lang w:val="es-ES"/>
        </w:rPr>
        <w:t xml:space="preserve"> </w:t>
      </w:r>
      <w:r w:rsidR="006F23F5" w:rsidRPr="0032068E">
        <w:rPr>
          <w:rFonts w:ascii="Verdana" w:hAnsi="Verdana" w:cs="Verdana"/>
          <w:sz w:val="20"/>
          <w:szCs w:val="20"/>
          <w:lang w:val="es-ES"/>
        </w:rPr>
        <w:t>el 25 de agosto de 2010</w:t>
      </w:r>
      <w:r w:rsidR="00981007">
        <w:rPr>
          <w:rFonts w:ascii="Verdana" w:hAnsi="Verdana" w:cs="Verdana"/>
          <w:sz w:val="20"/>
          <w:szCs w:val="20"/>
          <w:lang w:val="es-ES"/>
        </w:rPr>
        <w:t xml:space="preserve">, </w:t>
      </w:r>
      <w:r w:rsidR="006F23F5">
        <w:rPr>
          <w:rFonts w:ascii="Verdana" w:hAnsi="Verdana" w:cs="Verdana"/>
          <w:sz w:val="20"/>
          <w:szCs w:val="20"/>
          <w:lang w:val="es-ES"/>
        </w:rPr>
        <w:t>la Corte de Constitucionalidad</w:t>
      </w:r>
      <w:r w:rsidRPr="0032068E">
        <w:rPr>
          <w:rFonts w:ascii="Verdana" w:hAnsi="Verdana" w:cs="Verdana"/>
          <w:sz w:val="20"/>
          <w:szCs w:val="20"/>
          <w:lang w:val="es-ES"/>
        </w:rPr>
        <w:t xml:space="preserve"> </w:t>
      </w:r>
      <w:r w:rsidR="005D39D4">
        <w:rPr>
          <w:rFonts w:ascii="Verdana" w:hAnsi="Verdana" w:cs="Verdana"/>
          <w:sz w:val="20"/>
          <w:szCs w:val="20"/>
          <w:lang w:val="es-ES"/>
        </w:rPr>
        <w:t>ordenó</w:t>
      </w:r>
      <w:r w:rsidRPr="0032068E">
        <w:rPr>
          <w:rFonts w:ascii="Verdana" w:hAnsi="Verdana" w:cs="Verdana"/>
          <w:sz w:val="20"/>
          <w:szCs w:val="20"/>
          <w:lang w:val="es-ES"/>
        </w:rPr>
        <w:t xml:space="preserve"> </w:t>
      </w:r>
      <w:r w:rsidRPr="0032068E">
        <w:rPr>
          <w:rFonts w:ascii="Verdana" w:hAnsi="Verdana" w:cs="Verdana"/>
          <w:sz w:val="20"/>
          <w:szCs w:val="20"/>
          <w:lang w:val="es-ES"/>
        </w:rPr>
        <w:lastRenderedPageBreak/>
        <w:t xml:space="preserve">suspender los efectos de la </w:t>
      </w:r>
      <w:r w:rsidR="005D39D4">
        <w:rPr>
          <w:rFonts w:ascii="Verdana" w:hAnsi="Verdana" w:cs="Verdana"/>
          <w:sz w:val="20"/>
          <w:szCs w:val="20"/>
          <w:lang w:val="es-ES"/>
        </w:rPr>
        <w:t xml:space="preserve">referida </w:t>
      </w:r>
      <w:r w:rsidRPr="0032068E">
        <w:rPr>
          <w:rFonts w:ascii="Verdana" w:hAnsi="Verdana" w:cs="Verdana"/>
          <w:sz w:val="20"/>
          <w:szCs w:val="20"/>
          <w:lang w:val="es-ES"/>
        </w:rPr>
        <w:t xml:space="preserve">decisión de la </w:t>
      </w:r>
      <w:r w:rsidR="005D39D4">
        <w:rPr>
          <w:rFonts w:ascii="Verdana" w:hAnsi="Verdana" w:cs="Verdana"/>
          <w:sz w:val="20"/>
          <w:szCs w:val="20"/>
          <w:lang w:val="es-ES"/>
        </w:rPr>
        <w:t xml:space="preserve">Cámara Penal de la </w:t>
      </w:r>
      <w:r w:rsidRPr="0032068E">
        <w:rPr>
          <w:rFonts w:ascii="Verdana" w:hAnsi="Verdana" w:cs="Verdana"/>
          <w:sz w:val="20"/>
          <w:szCs w:val="20"/>
          <w:lang w:val="es-ES"/>
        </w:rPr>
        <w:t>Corte Suprema de Justicia</w:t>
      </w:r>
      <w:r w:rsidR="00ED3592">
        <w:rPr>
          <w:rFonts w:ascii="Verdana" w:hAnsi="Verdana" w:cs="Verdana"/>
          <w:sz w:val="20"/>
          <w:szCs w:val="20"/>
          <w:lang w:val="es-ES"/>
        </w:rPr>
        <w:t xml:space="preserve"> para el accionante del amparo</w:t>
      </w:r>
      <w:r w:rsidR="005D39D4">
        <w:rPr>
          <w:rFonts w:ascii="Verdana" w:hAnsi="Verdana" w:cs="Verdana"/>
          <w:sz w:val="20"/>
          <w:szCs w:val="20"/>
          <w:lang w:val="es-ES"/>
        </w:rPr>
        <w:t xml:space="preserve">, </w:t>
      </w:r>
      <w:r w:rsidR="00ED3592">
        <w:rPr>
          <w:rFonts w:ascii="Verdana" w:hAnsi="Verdana" w:cs="Verdana"/>
          <w:sz w:val="20"/>
          <w:szCs w:val="20"/>
          <w:lang w:val="es-ES"/>
        </w:rPr>
        <w:t xml:space="preserve">al </w:t>
      </w:r>
      <w:r w:rsidR="005D39D4">
        <w:rPr>
          <w:rFonts w:ascii="Verdana" w:hAnsi="Verdana" w:cs="Verdana"/>
          <w:sz w:val="20"/>
          <w:szCs w:val="20"/>
          <w:lang w:val="es-ES"/>
        </w:rPr>
        <w:t>considerar</w:t>
      </w:r>
      <w:r w:rsidR="006C7859">
        <w:rPr>
          <w:rFonts w:ascii="Verdana" w:hAnsi="Verdana" w:cs="Verdana"/>
          <w:sz w:val="20"/>
          <w:szCs w:val="20"/>
          <w:lang w:val="es-ES"/>
        </w:rPr>
        <w:t xml:space="preserve">, </w:t>
      </w:r>
      <w:r w:rsidR="006C7859" w:rsidRPr="006C7859">
        <w:rPr>
          <w:rFonts w:ascii="Verdana" w:hAnsi="Verdana" w:cs="Verdana"/>
          <w:i/>
          <w:sz w:val="20"/>
          <w:szCs w:val="20"/>
          <w:lang w:val="es-ES"/>
        </w:rPr>
        <w:t>inter alia</w:t>
      </w:r>
      <w:r w:rsidR="006C7859">
        <w:rPr>
          <w:rFonts w:ascii="Verdana" w:hAnsi="Verdana" w:cs="Verdana"/>
          <w:sz w:val="20"/>
          <w:szCs w:val="20"/>
          <w:lang w:val="es-ES"/>
        </w:rPr>
        <w:t>,</w:t>
      </w:r>
      <w:r w:rsidR="005D39D4">
        <w:rPr>
          <w:rFonts w:ascii="Verdana" w:hAnsi="Verdana" w:cs="Verdana"/>
          <w:sz w:val="20"/>
          <w:szCs w:val="20"/>
          <w:lang w:val="es-ES"/>
        </w:rPr>
        <w:t xml:space="preserve"> que</w:t>
      </w:r>
      <w:r w:rsidR="00ED3592">
        <w:rPr>
          <w:rFonts w:ascii="Verdana" w:hAnsi="Verdana" w:cs="Verdana"/>
          <w:sz w:val="20"/>
          <w:szCs w:val="20"/>
          <w:lang w:val="es-ES"/>
        </w:rPr>
        <w:t>: “no surge noción cierta que permita percibir la fraudulencia del auto de sobreseimiento que acusa el Ministerio Público”, y que para la anulación del sobreseimiento “es necesario un procedimiento que conduzca a la probatoria suficiente en relación con la ineficacia de aquella figura procesal otorgada, lo cual […] no [fue] practicado; el ‘autoejecutar’</w:t>
      </w:r>
      <w:r w:rsidR="006C7859">
        <w:rPr>
          <w:rFonts w:ascii="Verdana" w:hAnsi="Verdana" w:cs="Verdana"/>
          <w:sz w:val="20"/>
          <w:szCs w:val="20"/>
          <w:lang w:val="es-ES"/>
        </w:rPr>
        <w:t xml:space="preserve"> la anulación del sobreseimiento, sin mediar orden expresa, privilegia la acusación en vulneración de los postulados del derecho de defensa”</w:t>
      </w:r>
      <w:r w:rsidRPr="0032068E">
        <w:rPr>
          <w:rFonts w:ascii="Verdana" w:hAnsi="Verdana" w:cs="Verdana"/>
          <w:sz w:val="20"/>
          <w:szCs w:val="20"/>
          <w:lang w:val="es-ES"/>
        </w:rPr>
        <w:t xml:space="preserve">. </w:t>
      </w:r>
      <w:r w:rsidR="006C7859">
        <w:rPr>
          <w:rFonts w:ascii="Verdana" w:hAnsi="Verdana" w:cs="Verdana"/>
          <w:sz w:val="20"/>
          <w:szCs w:val="20"/>
          <w:lang w:val="es-ES"/>
        </w:rPr>
        <w:t>Además, la Corte de Constitucionalidad ordenó a la Cámara Penal emitir una nueva resolución, tomando en cuenta lo resuelto en el recurso de amparo. Dicha Cámara de la Corte Suprema emitió una resolución “</w:t>
      </w:r>
      <w:proofErr w:type="gramStart"/>
      <w:r w:rsidR="006C7859">
        <w:rPr>
          <w:rFonts w:ascii="Verdana" w:hAnsi="Verdana" w:cs="Verdana"/>
          <w:sz w:val="20"/>
          <w:szCs w:val="20"/>
          <w:lang w:val="es-ES"/>
        </w:rPr>
        <w:t>anul[</w:t>
      </w:r>
      <w:proofErr w:type="gramEnd"/>
      <w:r w:rsidR="006C7859">
        <w:rPr>
          <w:rFonts w:ascii="Verdana" w:hAnsi="Verdana" w:cs="Verdana"/>
          <w:sz w:val="20"/>
          <w:szCs w:val="20"/>
          <w:lang w:val="es-ES"/>
        </w:rPr>
        <w:t>ando]” su decisión de diciembre de 2009 y declarando “[s]in lugar la solicitud de ejecución de Sentencia de la Corte Interamericana for</w:t>
      </w:r>
      <w:r w:rsidR="006F23F5">
        <w:rPr>
          <w:rFonts w:ascii="Verdana" w:hAnsi="Verdana" w:cs="Verdana"/>
          <w:sz w:val="20"/>
          <w:szCs w:val="20"/>
          <w:lang w:val="es-ES"/>
        </w:rPr>
        <w:t>mulada por el Ministerio Pú</w:t>
      </w:r>
      <w:r w:rsidR="006C7859">
        <w:rPr>
          <w:rFonts w:ascii="Verdana" w:hAnsi="Verdana" w:cs="Verdana"/>
          <w:sz w:val="20"/>
          <w:szCs w:val="20"/>
          <w:lang w:val="es-ES"/>
        </w:rPr>
        <w:t>blico”</w:t>
      </w:r>
      <w:r w:rsidR="00081FDD">
        <w:rPr>
          <w:rFonts w:ascii="Verdana" w:hAnsi="Verdana" w:cs="Verdana"/>
          <w:sz w:val="20"/>
          <w:szCs w:val="20"/>
          <w:lang w:val="es-ES"/>
        </w:rPr>
        <w:t>, con lo cual se cerró la investigación</w:t>
      </w:r>
      <w:r w:rsidR="006C7859">
        <w:rPr>
          <w:rFonts w:ascii="Verdana" w:hAnsi="Verdana" w:cs="Verdana"/>
          <w:sz w:val="20"/>
          <w:szCs w:val="20"/>
          <w:lang w:val="es-ES"/>
        </w:rPr>
        <w:t>.</w:t>
      </w:r>
    </w:p>
    <w:p w14:paraId="6A1D3744" w14:textId="77777777" w:rsidR="006C7859" w:rsidRDefault="006C7859" w:rsidP="006C7859">
      <w:pPr>
        <w:spacing w:after="0" w:line="240" w:lineRule="auto"/>
        <w:ind w:right="1444"/>
        <w:contextualSpacing/>
        <w:jc w:val="both"/>
        <w:rPr>
          <w:rFonts w:ascii="Verdana" w:hAnsi="Verdana" w:cs="Verdana"/>
          <w:sz w:val="20"/>
          <w:szCs w:val="20"/>
          <w:lang w:val="es-ES"/>
        </w:rPr>
      </w:pPr>
    </w:p>
    <w:p w14:paraId="49FFA821" w14:textId="384E9859" w:rsidR="00320559" w:rsidRPr="0032068E" w:rsidRDefault="006C7859" w:rsidP="00320559">
      <w:pPr>
        <w:numPr>
          <w:ilvl w:val="0"/>
          <w:numId w:val="2"/>
        </w:numPr>
        <w:spacing w:after="0" w:line="240" w:lineRule="auto"/>
        <w:ind w:left="0" w:right="1444" w:firstLine="0"/>
        <w:contextualSpacing/>
        <w:jc w:val="both"/>
        <w:rPr>
          <w:rFonts w:ascii="Verdana" w:hAnsi="Verdana" w:cs="Verdana"/>
          <w:sz w:val="20"/>
          <w:szCs w:val="20"/>
          <w:lang w:val="es-ES"/>
        </w:rPr>
      </w:pPr>
      <w:r>
        <w:rPr>
          <w:rFonts w:ascii="Verdana" w:hAnsi="Verdana"/>
          <w:sz w:val="20"/>
          <w:szCs w:val="20"/>
          <w:lang w:val="es-CR"/>
        </w:rPr>
        <w:t>Al re</w:t>
      </w:r>
      <w:r w:rsidR="006F23F5">
        <w:rPr>
          <w:rFonts w:ascii="Verdana" w:hAnsi="Verdana"/>
          <w:sz w:val="20"/>
          <w:szCs w:val="20"/>
          <w:lang w:val="es-CR"/>
        </w:rPr>
        <w:t xml:space="preserve">specto de la situación descrita, </w:t>
      </w:r>
      <w:r>
        <w:rPr>
          <w:rFonts w:ascii="Verdana" w:hAnsi="Verdana"/>
          <w:sz w:val="20"/>
          <w:szCs w:val="20"/>
          <w:lang w:val="es-CR"/>
        </w:rPr>
        <w:t>l</w:t>
      </w:r>
      <w:r w:rsidR="00320559" w:rsidRPr="0032068E">
        <w:rPr>
          <w:rFonts w:ascii="Verdana" w:hAnsi="Verdana"/>
          <w:sz w:val="20"/>
          <w:szCs w:val="20"/>
          <w:lang w:val="es-CR"/>
        </w:rPr>
        <w:t>a Corte Interamericana consideró</w:t>
      </w:r>
      <w:r>
        <w:rPr>
          <w:rFonts w:ascii="Verdana" w:hAnsi="Verdana"/>
          <w:sz w:val="20"/>
          <w:szCs w:val="20"/>
          <w:lang w:val="es-CR"/>
        </w:rPr>
        <w:t xml:space="preserve"> en su Resolución de noviembre de 2010</w:t>
      </w:r>
      <w:r w:rsidR="00081FDD">
        <w:rPr>
          <w:rStyle w:val="FootnoteReference"/>
          <w:rFonts w:ascii="Verdana" w:hAnsi="Verdana"/>
          <w:sz w:val="20"/>
          <w:szCs w:val="20"/>
          <w:lang w:val="es-CR"/>
        </w:rPr>
        <w:footnoteReference w:id="71"/>
      </w:r>
      <w:r>
        <w:rPr>
          <w:rFonts w:ascii="Verdana" w:hAnsi="Verdana"/>
          <w:sz w:val="20"/>
          <w:szCs w:val="20"/>
          <w:lang w:val="es-CR"/>
        </w:rPr>
        <w:t xml:space="preserve"> que </w:t>
      </w:r>
      <w:r w:rsidR="006F23F5">
        <w:rPr>
          <w:rFonts w:ascii="Verdana" w:hAnsi="Verdana"/>
          <w:sz w:val="20"/>
          <w:szCs w:val="20"/>
          <w:lang w:val="es-CR"/>
        </w:rPr>
        <w:t>“</w:t>
      </w:r>
      <w:r>
        <w:rPr>
          <w:rFonts w:ascii="Verdana" w:hAnsi="Verdana"/>
          <w:sz w:val="20"/>
          <w:szCs w:val="20"/>
          <w:lang w:val="es-CR"/>
        </w:rPr>
        <w:t xml:space="preserve">las actuaciones del Ministerio Público y de la [Cámara Penal] de la Corte Suprema </w:t>
      </w:r>
      <w:proofErr w:type="gramStart"/>
      <w:r>
        <w:rPr>
          <w:rFonts w:ascii="Verdana" w:hAnsi="Verdana"/>
          <w:sz w:val="20"/>
          <w:szCs w:val="20"/>
          <w:lang w:val="es-CR"/>
        </w:rPr>
        <w:t>constitu[</w:t>
      </w:r>
      <w:proofErr w:type="gramEnd"/>
      <w:r>
        <w:rPr>
          <w:rFonts w:ascii="Verdana" w:hAnsi="Verdana"/>
          <w:sz w:val="20"/>
          <w:szCs w:val="20"/>
          <w:lang w:val="es-CR"/>
        </w:rPr>
        <w:t>ían] un primer avance […] respecto al impulso de las investigaciones […] del presente caso”</w:t>
      </w:r>
      <w:r w:rsidR="0053686F">
        <w:rPr>
          <w:rFonts w:ascii="Verdana" w:hAnsi="Verdana"/>
          <w:sz w:val="20"/>
          <w:szCs w:val="20"/>
          <w:lang w:val="es-CR"/>
        </w:rPr>
        <w:t xml:space="preserve"> pues </w:t>
      </w:r>
      <w:r w:rsidR="00320559" w:rsidRPr="0032068E">
        <w:rPr>
          <w:rFonts w:ascii="Verdana" w:hAnsi="Verdana"/>
          <w:sz w:val="20"/>
          <w:szCs w:val="20"/>
          <w:lang w:val="es-CR"/>
        </w:rPr>
        <w:t>“se encontraban entre los limitados pasos para combatir la impunidad luego de casi diez años de emitida la Sentencia”</w:t>
      </w:r>
      <w:r w:rsidR="0053686F">
        <w:rPr>
          <w:rFonts w:ascii="Verdana" w:hAnsi="Verdana"/>
          <w:sz w:val="20"/>
          <w:szCs w:val="20"/>
          <w:lang w:val="es-CR"/>
        </w:rPr>
        <w:t>.</w:t>
      </w:r>
      <w:r w:rsidR="00320559" w:rsidRPr="0032068E">
        <w:rPr>
          <w:rFonts w:ascii="Verdana" w:hAnsi="Verdana"/>
          <w:sz w:val="20"/>
          <w:szCs w:val="20"/>
          <w:lang w:val="es-CR"/>
        </w:rPr>
        <w:t xml:space="preserve"> </w:t>
      </w:r>
      <w:r w:rsidR="0053686F">
        <w:rPr>
          <w:rFonts w:ascii="Verdana" w:hAnsi="Verdana"/>
          <w:sz w:val="20"/>
          <w:szCs w:val="20"/>
          <w:lang w:val="es-CR"/>
        </w:rPr>
        <w:t>A</w:t>
      </w:r>
      <w:r w:rsidR="00320559" w:rsidRPr="0032068E">
        <w:rPr>
          <w:rFonts w:ascii="Verdana" w:hAnsi="Verdana"/>
          <w:sz w:val="20"/>
          <w:szCs w:val="20"/>
          <w:lang w:val="es-CR"/>
        </w:rPr>
        <w:t>demás</w:t>
      </w:r>
      <w:r w:rsidR="0053686F">
        <w:rPr>
          <w:rFonts w:ascii="Verdana" w:hAnsi="Verdana"/>
          <w:sz w:val="20"/>
          <w:szCs w:val="20"/>
          <w:lang w:val="es-CR"/>
        </w:rPr>
        <w:t>, este Tribunal</w:t>
      </w:r>
      <w:r w:rsidR="00320559" w:rsidRPr="0032068E">
        <w:rPr>
          <w:rFonts w:ascii="Verdana" w:hAnsi="Verdana"/>
          <w:sz w:val="20"/>
          <w:szCs w:val="20"/>
          <w:lang w:val="es-CR"/>
        </w:rPr>
        <w:t xml:space="preserve"> determinó que</w:t>
      </w:r>
      <w:r w:rsidR="0053686F">
        <w:rPr>
          <w:rFonts w:ascii="Verdana" w:hAnsi="Verdana"/>
          <w:sz w:val="20"/>
          <w:szCs w:val="20"/>
          <w:lang w:val="es-CR"/>
        </w:rPr>
        <w:t xml:space="preserve"> por tratarse este caso de graves violaciones de derechos humanos, “al sobreseimiento ocurrido en el presente caso aplica lo que ha Corte ha dicho respecto a los diversos excluyentes de responsabilidad y demás institutos procesales que impedirían proseguir con la investigación”</w:t>
      </w:r>
      <w:r w:rsidR="001F0829">
        <w:rPr>
          <w:rFonts w:ascii="Verdana" w:hAnsi="Verdana"/>
          <w:sz w:val="20"/>
          <w:szCs w:val="20"/>
          <w:lang w:val="es-CR"/>
        </w:rPr>
        <w:t xml:space="preserve">, siendo “posible establecer limitaciones al derecho al </w:t>
      </w:r>
      <w:r w:rsidR="001F0829" w:rsidRPr="00485324">
        <w:rPr>
          <w:rFonts w:ascii="Verdana" w:hAnsi="Verdana"/>
          <w:i/>
          <w:sz w:val="20"/>
          <w:szCs w:val="20"/>
          <w:lang w:val="es-CR"/>
        </w:rPr>
        <w:t>ne bis in ídem</w:t>
      </w:r>
      <w:r w:rsidR="001F0829">
        <w:rPr>
          <w:rFonts w:ascii="Verdana" w:hAnsi="Verdana"/>
          <w:sz w:val="20"/>
          <w:szCs w:val="20"/>
          <w:lang w:val="es-CR"/>
        </w:rPr>
        <w:t xml:space="preserve"> [del imputado] a fin de </w:t>
      </w:r>
      <w:r w:rsidR="001E148B">
        <w:rPr>
          <w:rFonts w:ascii="Verdana" w:hAnsi="Verdana"/>
          <w:sz w:val="20"/>
          <w:szCs w:val="20"/>
          <w:lang w:val="es-CR"/>
        </w:rPr>
        <w:t>desarrollar</w:t>
      </w:r>
      <w:r w:rsidR="001F0829">
        <w:rPr>
          <w:rFonts w:ascii="Verdana" w:hAnsi="Verdana"/>
          <w:sz w:val="20"/>
          <w:szCs w:val="20"/>
          <w:lang w:val="es-CR"/>
        </w:rPr>
        <w:t xml:space="preserve"> otros valores y derechos que, en un caso concreto lleguen a ser de mayor trascendencia”, como los derechos de las víctimas y el acceso a la justicia. En ese sentido, la Corte estimó </w:t>
      </w:r>
      <w:r w:rsidR="00D62C3B">
        <w:rPr>
          <w:rFonts w:ascii="Verdana" w:hAnsi="Verdana"/>
          <w:sz w:val="20"/>
          <w:szCs w:val="20"/>
          <w:lang w:val="es-CR"/>
        </w:rPr>
        <w:t xml:space="preserve">que </w:t>
      </w:r>
      <w:r w:rsidR="00320559" w:rsidRPr="0032068E">
        <w:rPr>
          <w:rFonts w:ascii="Verdana" w:hAnsi="Verdana"/>
          <w:sz w:val="20"/>
          <w:szCs w:val="20"/>
          <w:lang w:val="es-CR"/>
        </w:rPr>
        <w:t>“la prevalencia de un sobreseimiento por encima de los derechos de las víctimas genera que el proceso continúe con manifiestas violaciones del acceso a la justicia, proyectando la impunidad en el tiempo y haciendo ilusorio lo ordenado por esta Corte”.</w:t>
      </w:r>
      <w:r w:rsidR="006F23F5">
        <w:rPr>
          <w:rFonts w:ascii="Verdana" w:hAnsi="Verdana" w:cs="Verdana"/>
          <w:sz w:val="20"/>
          <w:szCs w:val="20"/>
          <w:lang w:val="es-ES"/>
        </w:rPr>
        <w:t xml:space="preserve"> Además, este Tribunal</w:t>
      </w:r>
      <w:r w:rsidR="00320559" w:rsidRPr="0032068E">
        <w:rPr>
          <w:rFonts w:ascii="Verdana" w:hAnsi="Verdana" w:cs="Verdana"/>
          <w:sz w:val="20"/>
          <w:szCs w:val="20"/>
          <w:lang w:val="es-ES"/>
        </w:rPr>
        <w:t xml:space="preserve"> </w:t>
      </w:r>
      <w:r w:rsidR="001F0829">
        <w:rPr>
          <w:rFonts w:ascii="Verdana" w:hAnsi="Verdana" w:cs="Verdana"/>
          <w:sz w:val="20"/>
          <w:szCs w:val="20"/>
          <w:lang w:val="es-ES"/>
        </w:rPr>
        <w:t xml:space="preserve">se refirió a lo alegado por </w:t>
      </w:r>
      <w:r w:rsidR="00320559" w:rsidRPr="0032068E">
        <w:rPr>
          <w:rFonts w:ascii="Verdana" w:hAnsi="Verdana" w:cs="Verdana"/>
          <w:sz w:val="20"/>
          <w:szCs w:val="20"/>
          <w:lang w:val="es-ES"/>
        </w:rPr>
        <w:t xml:space="preserve">los representantes </w:t>
      </w:r>
      <w:r w:rsidR="00485324">
        <w:rPr>
          <w:rFonts w:ascii="Verdana" w:hAnsi="Verdana" w:cs="Verdana"/>
          <w:sz w:val="20"/>
          <w:szCs w:val="20"/>
          <w:lang w:val="es-ES"/>
        </w:rPr>
        <w:t>sobre</w:t>
      </w:r>
      <w:r w:rsidR="00320559" w:rsidRPr="0032068E">
        <w:rPr>
          <w:rFonts w:ascii="Verdana" w:hAnsi="Verdana" w:cs="Verdana"/>
          <w:sz w:val="20"/>
          <w:szCs w:val="20"/>
          <w:lang w:val="es-ES"/>
        </w:rPr>
        <w:t xml:space="preserve"> </w:t>
      </w:r>
      <w:r w:rsidR="00485324">
        <w:rPr>
          <w:rFonts w:ascii="Verdana" w:hAnsi="Verdana" w:cs="Verdana"/>
          <w:sz w:val="20"/>
          <w:szCs w:val="20"/>
          <w:lang w:val="es-ES"/>
        </w:rPr>
        <w:t>“</w:t>
      </w:r>
      <w:r w:rsidR="00320559" w:rsidRPr="0032068E">
        <w:rPr>
          <w:rFonts w:ascii="Verdana" w:hAnsi="Verdana" w:cs="Verdana"/>
          <w:sz w:val="20"/>
          <w:szCs w:val="20"/>
          <w:lang w:val="es-ES"/>
        </w:rPr>
        <w:t>hostigamientos</w:t>
      </w:r>
      <w:r w:rsidR="00485324">
        <w:rPr>
          <w:rFonts w:ascii="Verdana" w:hAnsi="Verdana" w:cs="Verdana"/>
          <w:sz w:val="20"/>
          <w:szCs w:val="20"/>
          <w:lang w:val="es-ES"/>
        </w:rPr>
        <w:t xml:space="preserve"> y amenazas”</w:t>
      </w:r>
      <w:r w:rsidR="00320559" w:rsidRPr="0032068E">
        <w:rPr>
          <w:rFonts w:ascii="Verdana" w:hAnsi="Verdana" w:cs="Verdana"/>
          <w:sz w:val="20"/>
          <w:szCs w:val="20"/>
          <w:lang w:val="es-ES"/>
        </w:rPr>
        <w:t xml:space="preserve"> en contra de víctimas, testigos y fiscales, relacionados con los hechos correspondientes a este caso</w:t>
      </w:r>
      <w:r w:rsidR="00320559" w:rsidRPr="0032068E">
        <w:rPr>
          <w:rStyle w:val="FootnoteReference"/>
          <w:rFonts w:ascii="Verdana" w:hAnsi="Verdana" w:cs="Verdana"/>
          <w:sz w:val="20"/>
          <w:szCs w:val="20"/>
          <w:lang w:val="es-ES"/>
        </w:rPr>
        <w:footnoteReference w:id="72"/>
      </w:r>
      <w:r w:rsidR="00320559" w:rsidRPr="0032068E">
        <w:rPr>
          <w:rFonts w:ascii="Verdana" w:hAnsi="Verdana" w:cs="Verdana"/>
          <w:sz w:val="20"/>
          <w:szCs w:val="20"/>
          <w:lang w:val="es-ES"/>
        </w:rPr>
        <w:t>.</w:t>
      </w:r>
      <w:bookmarkEnd w:id="69"/>
    </w:p>
    <w:p w14:paraId="6FE1E967" w14:textId="77777777" w:rsidR="00320559" w:rsidRPr="0032068E" w:rsidRDefault="00320559" w:rsidP="00320559">
      <w:pPr>
        <w:pStyle w:val="ListParagraph"/>
        <w:spacing w:after="0" w:line="240" w:lineRule="auto"/>
        <w:ind w:left="0" w:right="1444"/>
        <w:jc w:val="both"/>
        <w:rPr>
          <w:rFonts w:ascii="Verdana" w:hAnsi="Verdana"/>
          <w:sz w:val="20"/>
          <w:szCs w:val="20"/>
          <w:lang w:val="es-CR"/>
        </w:rPr>
      </w:pPr>
    </w:p>
    <w:p w14:paraId="48C41871" w14:textId="0B667D00" w:rsidR="00320559" w:rsidRPr="0032068E" w:rsidRDefault="00320559" w:rsidP="00320559">
      <w:pPr>
        <w:pStyle w:val="ListParagraph"/>
        <w:numPr>
          <w:ilvl w:val="0"/>
          <w:numId w:val="2"/>
        </w:numPr>
        <w:spacing w:after="0" w:line="240" w:lineRule="auto"/>
        <w:ind w:left="0" w:right="1444" w:firstLine="0"/>
        <w:jc w:val="both"/>
        <w:rPr>
          <w:rFonts w:ascii="Verdana" w:hAnsi="Verdana"/>
          <w:sz w:val="20"/>
          <w:szCs w:val="20"/>
          <w:lang w:val="es-CR"/>
        </w:rPr>
      </w:pPr>
      <w:bookmarkStart w:id="70" w:name="_Ref437867912"/>
      <w:r w:rsidRPr="0032068E">
        <w:rPr>
          <w:rFonts w:ascii="Verdana" w:hAnsi="Verdana"/>
          <w:sz w:val="20"/>
          <w:szCs w:val="20"/>
          <w:lang w:val="es-CR"/>
        </w:rPr>
        <w:t xml:space="preserve">Al respecto, la Corte </w:t>
      </w:r>
      <w:r w:rsidR="006B15D0">
        <w:rPr>
          <w:rFonts w:ascii="Verdana" w:hAnsi="Verdana"/>
          <w:sz w:val="20"/>
          <w:szCs w:val="20"/>
          <w:lang w:val="es-CR"/>
        </w:rPr>
        <w:t>observa</w:t>
      </w:r>
      <w:r w:rsidRPr="0032068E">
        <w:rPr>
          <w:rFonts w:ascii="Verdana" w:hAnsi="Verdana"/>
          <w:sz w:val="20"/>
          <w:szCs w:val="20"/>
          <w:lang w:val="es-CR"/>
        </w:rPr>
        <w:t xml:space="preserve"> </w:t>
      </w:r>
      <w:r w:rsidR="006F23F5">
        <w:rPr>
          <w:rFonts w:ascii="Verdana" w:hAnsi="Verdana"/>
          <w:sz w:val="20"/>
          <w:szCs w:val="20"/>
          <w:lang w:val="es-CR"/>
        </w:rPr>
        <w:t>que en el</w:t>
      </w:r>
      <w:r w:rsidRPr="0032068E">
        <w:rPr>
          <w:rFonts w:ascii="Verdana" w:hAnsi="Verdana"/>
          <w:sz w:val="20"/>
          <w:szCs w:val="20"/>
          <w:lang w:val="es-CR"/>
        </w:rPr>
        <w:t xml:space="preserve"> Informe del Ministerio Público de</w:t>
      </w:r>
      <w:r w:rsidR="009041CF">
        <w:rPr>
          <w:rFonts w:ascii="Verdana" w:hAnsi="Verdana"/>
          <w:sz w:val="20"/>
          <w:szCs w:val="20"/>
          <w:lang w:val="es-CR"/>
        </w:rPr>
        <w:t xml:space="preserve"> mayo de</w:t>
      </w:r>
      <w:r w:rsidRPr="0032068E">
        <w:rPr>
          <w:rFonts w:ascii="Verdana" w:hAnsi="Verdana"/>
          <w:sz w:val="20"/>
          <w:szCs w:val="20"/>
          <w:lang w:val="es-CR"/>
        </w:rPr>
        <w:t xml:space="preserve"> 2014</w:t>
      </w:r>
      <w:r w:rsidR="000C60AD">
        <w:rPr>
          <w:rFonts w:ascii="Verdana" w:hAnsi="Verdana"/>
          <w:sz w:val="20"/>
          <w:szCs w:val="20"/>
          <w:lang w:val="es-CR"/>
        </w:rPr>
        <w:t xml:space="preserve"> se indicó que existen trece</w:t>
      </w:r>
      <w:r w:rsidRPr="0032068E">
        <w:rPr>
          <w:rFonts w:ascii="Verdana" w:hAnsi="Verdana"/>
          <w:sz w:val="20"/>
          <w:szCs w:val="20"/>
          <w:lang w:val="es-CR"/>
        </w:rPr>
        <w:t xml:space="preserve"> </w:t>
      </w:r>
      <w:r w:rsidR="00BB7C1B">
        <w:rPr>
          <w:rFonts w:ascii="Verdana" w:hAnsi="Verdana"/>
          <w:sz w:val="20"/>
          <w:szCs w:val="20"/>
          <w:lang w:val="es-CR"/>
        </w:rPr>
        <w:t xml:space="preserve"> “sindicados”</w:t>
      </w:r>
      <w:r w:rsidRPr="0032068E">
        <w:rPr>
          <w:rStyle w:val="FootnoteReference"/>
          <w:rFonts w:ascii="Verdana" w:hAnsi="Verdana"/>
          <w:sz w:val="20"/>
          <w:szCs w:val="20"/>
          <w:lang w:val="es-CR"/>
        </w:rPr>
        <w:footnoteReference w:id="73"/>
      </w:r>
      <w:r w:rsidR="000C60AD">
        <w:rPr>
          <w:rFonts w:ascii="Verdana" w:hAnsi="Verdana"/>
          <w:sz w:val="20"/>
          <w:szCs w:val="20"/>
          <w:lang w:val="es-CR"/>
        </w:rPr>
        <w:t xml:space="preserve"> por los hechos del presente caso y que la investigación se encuentra en “[e]tapa preparatoria”. Del referido informe del Ministerio Público y de los informes estatales de 2015</w:t>
      </w:r>
      <w:r w:rsidRPr="0032068E">
        <w:rPr>
          <w:rFonts w:ascii="Verdana" w:hAnsi="Verdana"/>
          <w:sz w:val="20"/>
          <w:szCs w:val="20"/>
          <w:lang w:val="es-CR"/>
        </w:rPr>
        <w:t>,</w:t>
      </w:r>
      <w:r w:rsidR="000C60AD">
        <w:rPr>
          <w:rFonts w:ascii="Verdana" w:hAnsi="Verdana"/>
          <w:sz w:val="20"/>
          <w:szCs w:val="20"/>
          <w:lang w:val="es-CR"/>
        </w:rPr>
        <w:t xml:space="preserve"> se desprende que no se ha emitido</w:t>
      </w:r>
      <w:r w:rsidRPr="0032068E">
        <w:rPr>
          <w:rFonts w:ascii="Verdana" w:hAnsi="Verdana"/>
          <w:sz w:val="20"/>
          <w:szCs w:val="20"/>
          <w:lang w:val="es-CR"/>
        </w:rPr>
        <w:t xml:space="preserve"> decisión judicial </w:t>
      </w:r>
      <w:r w:rsidR="000F1B26">
        <w:rPr>
          <w:rFonts w:ascii="Verdana" w:hAnsi="Verdana"/>
          <w:sz w:val="20"/>
          <w:szCs w:val="20"/>
          <w:lang w:val="es-CR"/>
        </w:rPr>
        <w:t xml:space="preserve">alguna </w:t>
      </w:r>
      <w:r w:rsidRPr="0032068E">
        <w:rPr>
          <w:rFonts w:ascii="Verdana" w:hAnsi="Verdana"/>
          <w:sz w:val="20"/>
          <w:szCs w:val="20"/>
          <w:lang w:val="es-CR"/>
        </w:rPr>
        <w:t>que se refiera a la determinación de responsabilidades penales</w:t>
      </w:r>
      <w:r w:rsidRPr="00476569">
        <w:rPr>
          <w:rFonts w:ascii="Verdana" w:hAnsi="Verdana"/>
          <w:sz w:val="20"/>
          <w:szCs w:val="20"/>
          <w:lang w:val="es-CR"/>
        </w:rPr>
        <w:t>.</w:t>
      </w:r>
      <w:r w:rsidRPr="0032068E">
        <w:rPr>
          <w:rFonts w:ascii="Verdana" w:hAnsi="Verdana"/>
          <w:b/>
          <w:sz w:val="20"/>
          <w:szCs w:val="20"/>
          <w:lang w:val="es-CR"/>
        </w:rPr>
        <w:t xml:space="preserve"> </w:t>
      </w:r>
      <w:r w:rsidRPr="0032068E">
        <w:rPr>
          <w:rFonts w:ascii="Verdana" w:hAnsi="Verdana"/>
          <w:sz w:val="20"/>
          <w:szCs w:val="20"/>
          <w:lang w:val="es-CR"/>
        </w:rPr>
        <w:t>Aunado a ello, la Corte hace notar que, según información brindada por el Estado en</w:t>
      </w:r>
      <w:r w:rsidR="000F1B26">
        <w:rPr>
          <w:rFonts w:ascii="Verdana" w:hAnsi="Verdana"/>
          <w:sz w:val="20"/>
          <w:szCs w:val="20"/>
          <w:lang w:val="es-CR"/>
        </w:rPr>
        <w:t xml:space="preserve"> su informe de marzo de 2012, mediante decisión judicial se</w:t>
      </w:r>
      <w:r w:rsidRPr="0032068E">
        <w:rPr>
          <w:rFonts w:ascii="Verdana" w:hAnsi="Verdana"/>
          <w:sz w:val="20"/>
          <w:szCs w:val="20"/>
          <w:lang w:val="es-CR"/>
        </w:rPr>
        <w:t xml:space="preserve"> “autorizó la desestimación de la denuncia” en contra de los señores César Corzantes Alvarado y Otto Pérez Molina por los hechos </w:t>
      </w:r>
      <w:r w:rsidR="000C60AD">
        <w:rPr>
          <w:rFonts w:ascii="Verdana" w:hAnsi="Verdana"/>
          <w:sz w:val="20"/>
          <w:szCs w:val="20"/>
          <w:lang w:val="es-CR"/>
        </w:rPr>
        <w:t>d</w:t>
      </w:r>
      <w:r w:rsidRPr="0032068E">
        <w:rPr>
          <w:rFonts w:ascii="Verdana" w:hAnsi="Verdana"/>
          <w:sz w:val="20"/>
          <w:szCs w:val="20"/>
          <w:lang w:val="es-CR"/>
        </w:rPr>
        <w:t>el presente caso, “con base en un dictamen” elaborado por un “asesor militar del Ministerio Público”</w:t>
      </w:r>
      <w:r w:rsidR="00E20D6B">
        <w:rPr>
          <w:rFonts w:ascii="Verdana" w:hAnsi="Verdana"/>
          <w:sz w:val="20"/>
          <w:szCs w:val="20"/>
          <w:lang w:val="es-CR"/>
        </w:rPr>
        <w:t>, después de realizarse una audiencia al respecto</w:t>
      </w:r>
      <w:r w:rsidRPr="0032068E">
        <w:rPr>
          <w:rStyle w:val="FootnoteReference"/>
          <w:rFonts w:ascii="Verdana" w:hAnsi="Verdana"/>
          <w:sz w:val="20"/>
          <w:szCs w:val="20"/>
          <w:lang w:val="es-CR"/>
        </w:rPr>
        <w:footnoteReference w:id="74"/>
      </w:r>
      <w:r w:rsidRPr="0032068E">
        <w:rPr>
          <w:rFonts w:ascii="Verdana" w:hAnsi="Verdana"/>
          <w:sz w:val="20"/>
          <w:szCs w:val="20"/>
          <w:lang w:val="es-CR"/>
        </w:rPr>
        <w:t xml:space="preserve">. </w:t>
      </w:r>
      <w:bookmarkEnd w:id="70"/>
    </w:p>
    <w:p w14:paraId="25EA82D7" w14:textId="77777777" w:rsidR="00320559" w:rsidRPr="0032068E" w:rsidRDefault="00320559" w:rsidP="00320559">
      <w:pPr>
        <w:pStyle w:val="ListParagraph"/>
        <w:rPr>
          <w:rFonts w:ascii="Verdana" w:hAnsi="Verdana"/>
          <w:b/>
          <w:sz w:val="20"/>
          <w:szCs w:val="20"/>
          <w:lang w:val="es-CR"/>
        </w:rPr>
      </w:pPr>
    </w:p>
    <w:p w14:paraId="30AA3924" w14:textId="1B0DEED6" w:rsidR="00320559" w:rsidRPr="006F23F5" w:rsidRDefault="006F23F5" w:rsidP="00320559">
      <w:pPr>
        <w:pStyle w:val="ListParagraph"/>
        <w:numPr>
          <w:ilvl w:val="0"/>
          <w:numId w:val="2"/>
        </w:numPr>
        <w:spacing w:after="0" w:line="240" w:lineRule="auto"/>
        <w:ind w:left="0" w:right="1444" w:firstLine="0"/>
        <w:jc w:val="both"/>
        <w:rPr>
          <w:rFonts w:ascii="Verdana" w:hAnsi="Verdana"/>
          <w:sz w:val="20"/>
          <w:szCs w:val="20"/>
          <w:lang w:val="es-CR"/>
        </w:rPr>
      </w:pPr>
      <w:bookmarkStart w:id="71" w:name="_Ref437962547"/>
      <w:r w:rsidRPr="006F23F5">
        <w:rPr>
          <w:rFonts w:ascii="Verdana" w:hAnsi="Verdana"/>
          <w:sz w:val="20"/>
          <w:szCs w:val="20"/>
          <w:lang w:val="es-CR"/>
        </w:rPr>
        <w:t>Además, en</w:t>
      </w:r>
      <w:r w:rsidR="00BB7C1B" w:rsidRPr="006F23F5">
        <w:rPr>
          <w:rFonts w:ascii="Verdana" w:hAnsi="Verdana"/>
          <w:sz w:val="20"/>
          <w:szCs w:val="20"/>
          <w:lang w:val="es-CR"/>
        </w:rPr>
        <w:t xml:space="preserve"> </w:t>
      </w:r>
      <w:r w:rsidR="000C60AD" w:rsidRPr="006F23F5">
        <w:rPr>
          <w:rFonts w:ascii="Verdana" w:hAnsi="Verdana"/>
          <w:sz w:val="20"/>
          <w:szCs w:val="20"/>
          <w:lang w:val="es-CR"/>
        </w:rPr>
        <w:t>l</w:t>
      </w:r>
      <w:r w:rsidR="00BB7C1B" w:rsidRPr="006F23F5">
        <w:rPr>
          <w:rFonts w:ascii="Verdana" w:hAnsi="Verdana"/>
          <w:sz w:val="20"/>
          <w:szCs w:val="20"/>
          <w:lang w:val="es-CR"/>
        </w:rPr>
        <w:t>os</w:t>
      </w:r>
      <w:r w:rsidR="000C60AD" w:rsidRPr="006F23F5">
        <w:rPr>
          <w:rFonts w:ascii="Verdana" w:hAnsi="Verdana"/>
          <w:sz w:val="20"/>
          <w:szCs w:val="20"/>
          <w:lang w:val="es-CR"/>
        </w:rPr>
        <w:t xml:space="preserve"> referido</w:t>
      </w:r>
      <w:r w:rsidR="00BB7C1B" w:rsidRPr="006F23F5">
        <w:rPr>
          <w:rFonts w:ascii="Verdana" w:hAnsi="Verdana"/>
          <w:sz w:val="20"/>
          <w:szCs w:val="20"/>
          <w:lang w:val="es-CR"/>
        </w:rPr>
        <w:t>s</w:t>
      </w:r>
      <w:r w:rsidR="000C60AD" w:rsidRPr="006F23F5">
        <w:rPr>
          <w:rFonts w:ascii="Verdana" w:hAnsi="Verdana"/>
          <w:sz w:val="20"/>
          <w:szCs w:val="20"/>
          <w:lang w:val="es-CR"/>
        </w:rPr>
        <w:t xml:space="preserve"> informes del Ministerio Público y del Estado se hace un recuento de lo actuado en la investigación entre el 2006 y el 2015. </w:t>
      </w:r>
      <w:r w:rsidR="00BB7C1B" w:rsidRPr="006F23F5">
        <w:rPr>
          <w:rFonts w:ascii="Verdana" w:hAnsi="Verdana"/>
          <w:sz w:val="20"/>
          <w:szCs w:val="20"/>
          <w:lang w:val="es-CR"/>
        </w:rPr>
        <w:t>E</w:t>
      </w:r>
      <w:r w:rsidR="00320559" w:rsidRPr="006F23F5">
        <w:rPr>
          <w:rFonts w:ascii="Verdana" w:hAnsi="Verdana"/>
          <w:sz w:val="20"/>
          <w:szCs w:val="20"/>
          <w:lang w:val="es-CR"/>
        </w:rPr>
        <w:t xml:space="preserve">ntre los años 2010 y 2014, las actuaciones señaladas en el expediente son: la creación de un perfil de posibles victimarios, reuniones periódicas con la querellante adhesiva, 27 oficios recibidos de distintas instituciones estatales, </w:t>
      </w:r>
      <w:r w:rsidR="00476569" w:rsidRPr="006F23F5">
        <w:rPr>
          <w:rFonts w:ascii="Verdana" w:hAnsi="Verdana"/>
          <w:sz w:val="20"/>
          <w:szCs w:val="20"/>
          <w:lang w:val="es-CR"/>
        </w:rPr>
        <w:t>20</w:t>
      </w:r>
      <w:r w:rsidR="00320559" w:rsidRPr="006F23F5">
        <w:rPr>
          <w:rFonts w:ascii="Verdana" w:hAnsi="Verdana"/>
          <w:sz w:val="20"/>
          <w:szCs w:val="20"/>
          <w:lang w:val="es-CR"/>
        </w:rPr>
        <w:t xml:space="preserve"> actas con entrevistas e información brindada por distintas personas, y la obtención de varias conversaciones telefónicas.</w:t>
      </w:r>
      <w:r w:rsidR="00320559" w:rsidRPr="006F23F5">
        <w:rPr>
          <w:rFonts w:ascii="Verdana" w:hAnsi="Verdana"/>
          <w:b/>
          <w:sz w:val="20"/>
          <w:szCs w:val="20"/>
          <w:lang w:val="es-CR"/>
        </w:rPr>
        <w:t xml:space="preserve"> </w:t>
      </w:r>
      <w:r w:rsidR="00320559" w:rsidRPr="006F23F5">
        <w:rPr>
          <w:rFonts w:ascii="Verdana" w:hAnsi="Verdana"/>
          <w:sz w:val="20"/>
          <w:szCs w:val="20"/>
          <w:lang w:val="es-CR"/>
        </w:rPr>
        <w:t xml:space="preserve">Por su parte, en su informe de octubre de 2015, el Estado señaló como actuaciones nuevas realizadas durante el año 2015: (i) la solicitud de información a la </w:t>
      </w:r>
      <w:r w:rsidR="00CD5D84" w:rsidRPr="006F23F5">
        <w:rPr>
          <w:rFonts w:ascii="Verdana" w:hAnsi="Verdana"/>
          <w:sz w:val="20"/>
          <w:szCs w:val="20"/>
          <w:lang w:val="es-CR"/>
        </w:rPr>
        <w:t>“</w:t>
      </w:r>
      <w:r w:rsidR="00320559" w:rsidRPr="006F23F5">
        <w:rPr>
          <w:rFonts w:ascii="Verdana" w:hAnsi="Verdana"/>
          <w:sz w:val="20"/>
          <w:szCs w:val="20"/>
          <w:lang w:val="es-CR"/>
        </w:rPr>
        <w:t xml:space="preserve">Dirección General de la Policía Nacional Civil sobre los antecedentes policiacos </w:t>
      </w:r>
      <w:r w:rsidR="00CD5D84" w:rsidRPr="006F23F5">
        <w:rPr>
          <w:rFonts w:ascii="Verdana" w:hAnsi="Verdana"/>
          <w:sz w:val="20"/>
          <w:szCs w:val="20"/>
          <w:lang w:val="es-CR"/>
        </w:rPr>
        <w:t xml:space="preserve">y arraigos </w:t>
      </w:r>
      <w:r w:rsidR="00320559" w:rsidRPr="006F23F5">
        <w:rPr>
          <w:rFonts w:ascii="Verdana" w:hAnsi="Verdana"/>
          <w:sz w:val="20"/>
          <w:szCs w:val="20"/>
          <w:lang w:val="es-CR"/>
        </w:rPr>
        <w:t xml:space="preserve">de los </w:t>
      </w:r>
      <w:r w:rsidR="00CD5D84" w:rsidRPr="006F23F5">
        <w:rPr>
          <w:rFonts w:ascii="Verdana" w:hAnsi="Verdana"/>
          <w:sz w:val="20"/>
          <w:szCs w:val="20"/>
          <w:lang w:val="es-CR"/>
        </w:rPr>
        <w:t xml:space="preserve">[trece] </w:t>
      </w:r>
      <w:r w:rsidR="00320559" w:rsidRPr="006F23F5">
        <w:rPr>
          <w:rFonts w:ascii="Verdana" w:hAnsi="Verdana"/>
          <w:sz w:val="20"/>
          <w:szCs w:val="20"/>
          <w:lang w:val="es-CR"/>
        </w:rPr>
        <w:t>sindicados</w:t>
      </w:r>
      <w:r w:rsidR="00CD5D84" w:rsidRPr="006F23F5">
        <w:rPr>
          <w:rFonts w:ascii="Verdana" w:hAnsi="Verdana"/>
          <w:sz w:val="20"/>
          <w:szCs w:val="20"/>
          <w:lang w:val="es-CR"/>
        </w:rPr>
        <w:t>”</w:t>
      </w:r>
      <w:r w:rsidR="00320559" w:rsidRPr="006F23F5">
        <w:rPr>
          <w:rFonts w:ascii="Verdana" w:hAnsi="Verdana"/>
          <w:sz w:val="20"/>
          <w:szCs w:val="20"/>
          <w:lang w:val="es-CR"/>
        </w:rPr>
        <w:t xml:space="preserve">; (ii) la recepción de información de </w:t>
      </w:r>
      <w:r w:rsidR="00CD5D84" w:rsidRPr="006F23F5">
        <w:rPr>
          <w:rFonts w:ascii="Verdana" w:hAnsi="Verdana"/>
          <w:sz w:val="20"/>
          <w:szCs w:val="20"/>
          <w:lang w:val="es-CR"/>
        </w:rPr>
        <w:t>“</w:t>
      </w:r>
      <w:r w:rsidR="00320559" w:rsidRPr="006F23F5">
        <w:rPr>
          <w:rFonts w:ascii="Verdana" w:hAnsi="Verdana"/>
          <w:sz w:val="20"/>
          <w:szCs w:val="20"/>
          <w:lang w:val="es-CR"/>
        </w:rPr>
        <w:t xml:space="preserve">la Dirección General de Migración </w:t>
      </w:r>
      <w:r w:rsidR="00CD5D84" w:rsidRPr="006F23F5">
        <w:rPr>
          <w:rFonts w:ascii="Verdana" w:hAnsi="Verdana"/>
          <w:sz w:val="20"/>
          <w:szCs w:val="20"/>
          <w:lang w:val="es-CR"/>
        </w:rPr>
        <w:t xml:space="preserve">[…] </w:t>
      </w:r>
      <w:r w:rsidR="00320559" w:rsidRPr="006F23F5">
        <w:rPr>
          <w:rFonts w:ascii="Verdana" w:hAnsi="Verdana"/>
          <w:sz w:val="20"/>
          <w:szCs w:val="20"/>
          <w:lang w:val="es-CR"/>
        </w:rPr>
        <w:t>sobre pasaportes y movimientos migratorios de los posibles sindicados</w:t>
      </w:r>
      <w:r w:rsidR="00CD5D84" w:rsidRPr="006F23F5">
        <w:rPr>
          <w:rFonts w:ascii="Verdana" w:hAnsi="Verdana"/>
          <w:sz w:val="20"/>
          <w:szCs w:val="20"/>
          <w:lang w:val="es-CR"/>
        </w:rPr>
        <w:t xml:space="preserve"> a fin de establecer su permanencia y/o localización</w:t>
      </w:r>
      <w:r w:rsidR="00320559" w:rsidRPr="006F23F5">
        <w:rPr>
          <w:rFonts w:ascii="Verdana" w:hAnsi="Verdana"/>
          <w:sz w:val="20"/>
          <w:szCs w:val="20"/>
          <w:lang w:val="es-CR"/>
        </w:rPr>
        <w:t xml:space="preserve">”, y (iii) la obtención de información </w:t>
      </w:r>
      <w:r w:rsidR="00476569" w:rsidRPr="006F23F5">
        <w:rPr>
          <w:rFonts w:ascii="Verdana" w:hAnsi="Verdana"/>
          <w:sz w:val="20"/>
          <w:szCs w:val="20"/>
          <w:lang w:val="es-CR"/>
        </w:rPr>
        <w:t>“</w:t>
      </w:r>
      <w:r w:rsidR="00CD5D84" w:rsidRPr="006F23F5">
        <w:rPr>
          <w:rFonts w:ascii="Verdana" w:hAnsi="Verdana"/>
          <w:sz w:val="20"/>
          <w:szCs w:val="20"/>
          <w:lang w:val="es-CR"/>
        </w:rPr>
        <w:t xml:space="preserve">de los supuestos sindicados” </w:t>
      </w:r>
      <w:r w:rsidR="00320559" w:rsidRPr="006F23F5">
        <w:rPr>
          <w:rFonts w:ascii="Verdana" w:hAnsi="Verdana"/>
          <w:sz w:val="20"/>
          <w:szCs w:val="20"/>
          <w:lang w:val="es-CR"/>
        </w:rPr>
        <w:t xml:space="preserve">por parte de </w:t>
      </w:r>
      <w:r w:rsidR="00CD5D84" w:rsidRPr="006F23F5">
        <w:rPr>
          <w:rFonts w:ascii="Verdana" w:hAnsi="Verdana"/>
          <w:sz w:val="20"/>
          <w:szCs w:val="20"/>
          <w:lang w:val="es-CR"/>
        </w:rPr>
        <w:t>“</w:t>
      </w:r>
      <w:r w:rsidR="00320559" w:rsidRPr="006F23F5">
        <w:rPr>
          <w:rFonts w:ascii="Verdana" w:hAnsi="Verdana"/>
          <w:sz w:val="20"/>
          <w:szCs w:val="20"/>
          <w:lang w:val="es-CR"/>
        </w:rPr>
        <w:t xml:space="preserve">la Dirección de Catastro y </w:t>
      </w:r>
      <w:r w:rsidR="00476569" w:rsidRPr="006F23F5">
        <w:rPr>
          <w:rFonts w:ascii="Verdana" w:hAnsi="Verdana"/>
          <w:sz w:val="20"/>
          <w:szCs w:val="20"/>
          <w:lang w:val="es-CR"/>
        </w:rPr>
        <w:t>A</w:t>
      </w:r>
      <w:r w:rsidR="00320559" w:rsidRPr="006F23F5">
        <w:rPr>
          <w:rFonts w:ascii="Verdana" w:hAnsi="Verdana"/>
          <w:sz w:val="20"/>
          <w:szCs w:val="20"/>
          <w:lang w:val="es-CR"/>
        </w:rPr>
        <w:t>valúo de Bienes Inmuebles a fin de garantizar eventuales medidas de reparación digna”</w:t>
      </w:r>
      <w:r w:rsidR="00CD5D84" w:rsidRPr="006F23F5">
        <w:rPr>
          <w:rFonts w:ascii="Verdana" w:hAnsi="Verdana"/>
          <w:sz w:val="20"/>
          <w:szCs w:val="20"/>
          <w:lang w:val="es-CR"/>
        </w:rPr>
        <w:t>, así como del “Registro Tributario Unificado […] y vehículos registrados a su nombre para establecer medidas precautorias y movimientos de bienes”</w:t>
      </w:r>
      <w:r w:rsidR="00476569" w:rsidRPr="006F23F5">
        <w:rPr>
          <w:rFonts w:ascii="Verdana" w:hAnsi="Verdana"/>
          <w:sz w:val="20"/>
          <w:szCs w:val="20"/>
          <w:lang w:val="es-CR"/>
        </w:rPr>
        <w:t>.</w:t>
      </w:r>
      <w:r w:rsidR="00320559" w:rsidRPr="006F23F5">
        <w:rPr>
          <w:rFonts w:ascii="Verdana" w:hAnsi="Verdana"/>
          <w:sz w:val="20"/>
          <w:szCs w:val="20"/>
          <w:lang w:val="es-CR"/>
        </w:rPr>
        <w:t xml:space="preserve"> Los representantes y la Comisión coinciden en</w:t>
      </w:r>
      <w:r w:rsidR="006D685D" w:rsidRPr="006F23F5">
        <w:rPr>
          <w:rFonts w:ascii="Verdana" w:hAnsi="Verdana"/>
          <w:sz w:val="20"/>
          <w:szCs w:val="20"/>
          <w:lang w:val="es-CR"/>
        </w:rPr>
        <w:t xml:space="preserve"> las referidas actuaciones son “de mero trámite” y</w:t>
      </w:r>
      <w:r w:rsidR="00320559" w:rsidRPr="006F23F5">
        <w:rPr>
          <w:rFonts w:ascii="Verdana" w:hAnsi="Verdana"/>
          <w:sz w:val="20"/>
          <w:szCs w:val="20"/>
          <w:lang w:val="es-CR"/>
        </w:rPr>
        <w:t xml:space="preserve"> </w:t>
      </w:r>
      <w:r w:rsidR="006D685D" w:rsidRPr="006F23F5">
        <w:rPr>
          <w:rFonts w:ascii="Verdana" w:hAnsi="Verdana"/>
          <w:sz w:val="20"/>
          <w:szCs w:val="20"/>
          <w:lang w:val="es-CR"/>
        </w:rPr>
        <w:t>“no se traducen en avances signifi</w:t>
      </w:r>
      <w:r>
        <w:rPr>
          <w:rFonts w:ascii="Verdana" w:hAnsi="Verdana"/>
          <w:sz w:val="20"/>
          <w:szCs w:val="20"/>
          <w:lang w:val="es-CR"/>
        </w:rPr>
        <w:t>cativos”, y tampoco comprenden</w:t>
      </w:r>
      <w:r w:rsidR="00320559" w:rsidRPr="006F23F5">
        <w:rPr>
          <w:rFonts w:ascii="Verdana" w:hAnsi="Verdana"/>
          <w:sz w:val="20"/>
          <w:szCs w:val="20"/>
          <w:lang w:val="es-CR"/>
        </w:rPr>
        <w:t xml:space="preserve"> </w:t>
      </w:r>
      <w:r w:rsidR="006D685D" w:rsidRPr="006F23F5">
        <w:rPr>
          <w:rFonts w:ascii="Verdana" w:hAnsi="Verdana"/>
          <w:sz w:val="20"/>
          <w:szCs w:val="20"/>
          <w:lang w:val="es-CR"/>
        </w:rPr>
        <w:t>“</w:t>
      </w:r>
      <w:r w:rsidR="00320559" w:rsidRPr="006F23F5">
        <w:rPr>
          <w:rFonts w:ascii="Verdana" w:hAnsi="Verdana"/>
          <w:sz w:val="20"/>
          <w:szCs w:val="20"/>
          <w:lang w:val="es-CR"/>
        </w:rPr>
        <w:t xml:space="preserve">cuál es </w:t>
      </w:r>
      <w:r w:rsidR="006D685D" w:rsidRPr="006F23F5">
        <w:rPr>
          <w:rFonts w:ascii="Verdana" w:hAnsi="Verdana"/>
          <w:sz w:val="20"/>
          <w:szCs w:val="20"/>
          <w:lang w:val="es-CR"/>
        </w:rPr>
        <w:t>su utilidad” en la investigación.</w:t>
      </w:r>
      <w:bookmarkEnd w:id="71"/>
      <w:r w:rsidR="00320559" w:rsidRPr="006F23F5">
        <w:rPr>
          <w:rFonts w:ascii="Verdana" w:hAnsi="Verdana"/>
          <w:sz w:val="20"/>
          <w:szCs w:val="20"/>
          <w:lang w:val="es-CR"/>
        </w:rPr>
        <w:t xml:space="preserve"> </w:t>
      </w:r>
    </w:p>
    <w:p w14:paraId="0D5ED50D" w14:textId="77777777" w:rsidR="00320559" w:rsidRPr="0032068E" w:rsidRDefault="00320559" w:rsidP="00320559">
      <w:pPr>
        <w:pStyle w:val="ListParagraph"/>
        <w:spacing w:after="0" w:line="240" w:lineRule="auto"/>
        <w:ind w:left="0" w:right="1444"/>
        <w:jc w:val="both"/>
        <w:rPr>
          <w:rFonts w:ascii="Verdana" w:hAnsi="Verdana"/>
          <w:sz w:val="20"/>
          <w:szCs w:val="20"/>
          <w:lang w:val="es-CR"/>
        </w:rPr>
      </w:pPr>
    </w:p>
    <w:p w14:paraId="0A200554" w14:textId="4E08C3B1" w:rsidR="00320559" w:rsidRPr="002E1E87" w:rsidRDefault="006F23F5" w:rsidP="00063305">
      <w:pPr>
        <w:pStyle w:val="ListParagraph"/>
        <w:numPr>
          <w:ilvl w:val="0"/>
          <w:numId w:val="2"/>
        </w:numPr>
        <w:spacing w:after="0" w:line="240" w:lineRule="auto"/>
        <w:ind w:left="0" w:right="1444" w:firstLine="0"/>
        <w:jc w:val="both"/>
        <w:rPr>
          <w:rFonts w:ascii="Verdana" w:hAnsi="Verdana"/>
          <w:sz w:val="20"/>
          <w:szCs w:val="20"/>
          <w:lang w:val="es-CR"/>
        </w:rPr>
      </w:pPr>
      <w:bookmarkStart w:id="72" w:name="_Ref437960628"/>
      <w:r w:rsidRPr="002E1E87">
        <w:rPr>
          <w:rFonts w:ascii="Verdana" w:hAnsi="Verdana"/>
          <w:sz w:val="20"/>
          <w:szCs w:val="20"/>
          <w:lang w:val="es-CR"/>
        </w:rPr>
        <w:t>También</w:t>
      </w:r>
      <w:r w:rsidR="00850953" w:rsidRPr="002E1E87">
        <w:rPr>
          <w:rFonts w:ascii="Verdana" w:hAnsi="Verdana"/>
          <w:sz w:val="20"/>
          <w:szCs w:val="20"/>
          <w:lang w:val="es-CR"/>
        </w:rPr>
        <w:t xml:space="preserve"> consta en los referidos informes que el 21 de diciembre de 2010 el Ministerio Público solicitó nuevamente a la Cámara Penal de la Corte Suprema </w:t>
      </w:r>
      <w:r w:rsidR="00106309" w:rsidRPr="002E1E87">
        <w:rPr>
          <w:rFonts w:ascii="Verdana" w:hAnsi="Verdana"/>
          <w:sz w:val="20"/>
          <w:szCs w:val="20"/>
          <w:lang w:val="es-CR"/>
        </w:rPr>
        <w:t xml:space="preserve">de Justicia </w:t>
      </w:r>
      <w:r w:rsidR="00850953" w:rsidRPr="002E1E87">
        <w:rPr>
          <w:rFonts w:ascii="Verdana" w:hAnsi="Verdana"/>
          <w:sz w:val="20"/>
          <w:szCs w:val="20"/>
          <w:lang w:val="es-CR"/>
        </w:rPr>
        <w:t>la ejecución de la Sentencia emitida en este caso por la Corte Interamericana, con el efecto de anular el sobreseimiento dictado en marzo de 1999</w:t>
      </w:r>
      <w:r w:rsidR="00106309" w:rsidRPr="002E1E87">
        <w:rPr>
          <w:rFonts w:ascii="Verdana" w:hAnsi="Verdana"/>
          <w:sz w:val="20"/>
          <w:szCs w:val="20"/>
          <w:lang w:val="es-CR"/>
        </w:rPr>
        <w:t xml:space="preserve"> (</w:t>
      </w:r>
      <w:r w:rsidR="00106309" w:rsidRPr="002E1E87">
        <w:rPr>
          <w:rFonts w:ascii="Verdana" w:hAnsi="Verdana"/>
          <w:i/>
          <w:sz w:val="20"/>
          <w:szCs w:val="20"/>
          <w:lang w:val="es-CR"/>
        </w:rPr>
        <w:t>supra</w:t>
      </w:r>
      <w:r w:rsidR="00106309" w:rsidRPr="002E1E87">
        <w:rPr>
          <w:rFonts w:ascii="Verdana" w:hAnsi="Verdana"/>
          <w:sz w:val="20"/>
          <w:szCs w:val="20"/>
          <w:lang w:val="es-CR"/>
        </w:rPr>
        <w:t xml:space="preserve"> Considerandos 63 y 64)</w:t>
      </w:r>
      <w:r w:rsidR="00850953" w:rsidRPr="002E1E87">
        <w:rPr>
          <w:rFonts w:ascii="Verdana" w:hAnsi="Verdana"/>
          <w:sz w:val="20"/>
          <w:szCs w:val="20"/>
          <w:lang w:val="es-CR"/>
        </w:rPr>
        <w:t xml:space="preserve">. </w:t>
      </w:r>
      <w:r w:rsidR="00FD656A" w:rsidRPr="002E1E87">
        <w:rPr>
          <w:rFonts w:ascii="Verdana" w:hAnsi="Verdana"/>
          <w:sz w:val="20"/>
          <w:szCs w:val="20"/>
          <w:lang w:val="es-CR"/>
        </w:rPr>
        <w:t>E</w:t>
      </w:r>
      <w:r w:rsidR="004B1B7E" w:rsidRPr="002E1E87">
        <w:rPr>
          <w:rFonts w:ascii="Verdana" w:hAnsi="Verdana"/>
          <w:sz w:val="20"/>
          <w:szCs w:val="20"/>
          <w:lang w:val="es-CR"/>
        </w:rPr>
        <w:t xml:space="preserve">l 18 de enero de 2011 la </w:t>
      </w:r>
      <w:r w:rsidR="00106309" w:rsidRPr="002E1E87">
        <w:rPr>
          <w:rFonts w:ascii="Verdana" w:hAnsi="Verdana"/>
          <w:sz w:val="20"/>
          <w:szCs w:val="20"/>
          <w:lang w:val="es-CR"/>
        </w:rPr>
        <w:t xml:space="preserve">referida </w:t>
      </w:r>
      <w:r w:rsidR="004B1B7E" w:rsidRPr="002E1E87">
        <w:rPr>
          <w:rFonts w:ascii="Verdana" w:hAnsi="Verdana"/>
          <w:sz w:val="20"/>
          <w:szCs w:val="20"/>
          <w:lang w:val="es-CR"/>
        </w:rPr>
        <w:t xml:space="preserve">Cámara Penal dictó una decisión mediante la cual declaró </w:t>
      </w:r>
      <w:r w:rsidR="00106309" w:rsidRPr="002E1E87">
        <w:rPr>
          <w:rFonts w:ascii="Verdana" w:hAnsi="Verdana"/>
          <w:sz w:val="20"/>
          <w:szCs w:val="20"/>
          <w:lang w:val="es-CR"/>
        </w:rPr>
        <w:t xml:space="preserve">nuevamente </w:t>
      </w:r>
      <w:r w:rsidR="004B1B7E" w:rsidRPr="002E1E87">
        <w:rPr>
          <w:rFonts w:ascii="Verdana" w:hAnsi="Verdana"/>
          <w:sz w:val="20"/>
          <w:szCs w:val="20"/>
          <w:lang w:val="es-CR"/>
        </w:rPr>
        <w:t xml:space="preserve">la </w:t>
      </w:r>
      <w:r w:rsidR="00106309" w:rsidRPr="002E1E87">
        <w:rPr>
          <w:rFonts w:ascii="Verdana" w:hAnsi="Verdana"/>
          <w:sz w:val="20"/>
          <w:szCs w:val="20"/>
          <w:lang w:val="es-CR"/>
        </w:rPr>
        <w:t>“</w:t>
      </w:r>
      <w:r w:rsidR="004B1B7E" w:rsidRPr="002E1E87">
        <w:rPr>
          <w:rFonts w:ascii="Verdana" w:hAnsi="Verdana"/>
          <w:sz w:val="20"/>
          <w:szCs w:val="20"/>
          <w:lang w:val="es-CR"/>
        </w:rPr>
        <w:t>autoejecutabilidad</w:t>
      </w:r>
      <w:r w:rsidR="00106309" w:rsidRPr="002E1E87">
        <w:rPr>
          <w:rFonts w:ascii="Verdana" w:hAnsi="Verdana"/>
          <w:sz w:val="20"/>
          <w:szCs w:val="20"/>
          <w:lang w:val="es-CR"/>
        </w:rPr>
        <w:t>”</w:t>
      </w:r>
      <w:r w:rsidR="004B1B7E" w:rsidRPr="002E1E87">
        <w:rPr>
          <w:rFonts w:ascii="Verdana" w:hAnsi="Verdana"/>
          <w:sz w:val="20"/>
          <w:szCs w:val="20"/>
          <w:lang w:val="es-CR"/>
        </w:rPr>
        <w:t xml:space="preserve"> de la Sentencia de la Corte Interamericana</w:t>
      </w:r>
      <w:r w:rsidR="00106309" w:rsidRPr="002E1E87">
        <w:rPr>
          <w:rFonts w:ascii="Verdana" w:hAnsi="Verdana"/>
          <w:sz w:val="20"/>
          <w:szCs w:val="20"/>
          <w:lang w:val="es-CR"/>
        </w:rPr>
        <w:t xml:space="preserve"> y la anulación del auto de sobreseimiento de marzo de 1999</w:t>
      </w:r>
      <w:r w:rsidR="004B1B7E" w:rsidRPr="002E1E87">
        <w:rPr>
          <w:rFonts w:ascii="Verdana" w:hAnsi="Verdana"/>
          <w:sz w:val="20"/>
          <w:szCs w:val="20"/>
          <w:lang w:val="es-CR"/>
        </w:rPr>
        <w:t>. Sin embargo, el 3 de abril de 2011, mediante decisión de amparo,</w:t>
      </w:r>
      <w:r w:rsidR="00106309" w:rsidRPr="002E1E87">
        <w:rPr>
          <w:rFonts w:ascii="Verdana" w:hAnsi="Verdana"/>
          <w:sz w:val="20"/>
          <w:szCs w:val="20"/>
          <w:lang w:val="es-CR"/>
        </w:rPr>
        <w:t xml:space="preserve"> resuelto a favor del imputado accionante,</w:t>
      </w:r>
      <w:r w:rsidR="004B1B7E" w:rsidRPr="002E1E87">
        <w:rPr>
          <w:rFonts w:ascii="Verdana" w:hAnsi="Verdana"/>
          <w:sz w:val="20"/>
          <w:szCs w:val="20"/>
          <w:lang w:val="es-CR"/>
        </w:rPr>
        <w:t xml:space="preserve"> la Corte de Constitucionalidad dejó en suspenso la</w:t>
      </w:r>
      <w:r w:rsidR="00106309" w:rsidRPr="002E1E87">
        <w:rPr>
          <w:rFonts w:ascii="Verdana" w:hAnsi="Verdana"/>
          <w:sz w:val="20"/>
          <w:szCs w:val="20"/>
          <w:lang w:val="es-CR"/>
        </w:rPr>
        <w:t xml:space="preserve"> referida</w:t>
      </w:r>
      <w:r w:rsidR="004B1B7E" w:rsidRPr="002E1E87">
        <w:rPr>
          <w:rFonts w:ascii="Verdana" w:hAnsi="Verdana"/>
          <w:sz w:val="20"/>
          <w:szCs w:val="20"/>
          <w:lang w:val="es-CR"/>
        </w:rPr>
        <w:t xml:space="preserve"> resolución </w:t>
      </w:r>
      <w:r w:rsidR="00106309" w:rsidRPr="002E1E87">
        <w:rPr>
          <w:rFonts w:ascii="Verdana" w:hAnsi="Verdana"/>
          <w:sz w:val="20"/>
          <w:szCs w:val="20"/>
          <w:lang w:val="es-CR"/>
        </w:rPr>
        <w:t xml:space="preserve">de la Cámara Penal </w:t>
      </w:r>
      <w:r w:rsidR="004B1B7E" w:rsidRPr="002E1E87">
        <w:rPr>
          <w:rFonts w:ascii="Verdana" w:hAnsi="Verdana"/>
          <w:sz w:val="20"/>
          <w:szCs w:val="20"/>
          <w:lang w:val="es-CR"/>
        </w:rPr>
        <w:t>de 18 de enero de 2011. Además,</w:t>
      </w:r>
      <w:r w:rsidR="00320559" w:rsidRPr="002E1E87">
        <w:rPr>
          <w:rFonts w:ascii="Verdana" w:hAnsi="Verdana"/>
          <w:sz w:val="20"/>
          <w:szCs w:val="20"/>
          <w:lang w:val="es-CR"/>
        </w:rPr>
        <w:t xml:space="preserve"> la Corte </w:t>
      </w:r>
      <w:r w:rsidR="006704D6" w:rsidRPr="002E1E87">
        <w:rPr>
          <w:rFonts w:ascii="Verdana" w:hAnsi="Verdana"/>
          <w:sz w:val="20"/>
          <w:szCs w:val="20"/>
          <w:lang w:val="es-CR"/>
        </w:rPr>
        <w:t xml:space="preserve">de </w:t>
      </w:r>
      <w:r w:rsidR="00320559" w:rsidRPr="002E1E87">
        <w:rPr>
          <w:rFonts w:ascii="Verdana" w:hAnsi="Verdana"/>
          <w:sz w:val="20"/>
          <w:szCs w:val="20"/>
          <w:lang w:val="es-CR"/>
        </w:rPr>
        <w:t>Constitucionalidad determinó que el órgano que debía continuar con el proceso judicial correspondiente era la Cámara Penal de la Corte Suprema de Justicia, siendo el próximo acto procesal a seguir la celebración de una audiencia. No obstante ello, los magistrados de dicha Cámara</w:t>
      </w:r>
      <w:r w:rsidR="00C8339D" w:rsidRPr="002E1E87">
        <w:rPr>
          <w:rFonts w:ascii="Verdana" w:hAnsi="Verdana"/>
          <w:sz w:val="20"/>
          <w:szCs w:val="20"/>
          <w:lang w:val="es-CR"/>
        </w:rPr>
        <w:t xml:space="preserve"> emitieron una decisión el 18 de noviembre de 2011, mediante la cual</w:t>
      </w:r>
      <w:r w:rsidR="00320559" w:rsidRPr="002E1E87">
        <w:rPr>
          <w:rFonts w:ascii="Verdana" w:hAnsi="Verdana"/>
          <w:sz w:val="20"/>
          <w:szCs w:val="20"/>
          <w:lang w:val="es-CR"/>
        </w:rPr>
        <w:t xml:space="preserve"> se </w:t>
      </w:r>
      <w:r w:rsidR="00455EED" w:rsidRPr="002E1E87">
        <w:rPr>
          <w:rFonts w:ascii="Verdana" w:hAnsi="Verdana"/>
          <w:sz w:val="20"/>
          <w:szCs w:val="20"/>
          <w:lang w:val="es-CR"/>
        </w:rPr>
        <w:t>inhibieron</w:t>
      </w:r>
      <w:r w:rsidR="00320559" w:rsidRPr="002E1E87">
        <w:rPr>
          <w:rFonts w:ascii="Verdana" w:hAnsi="Verdana"/>
          <w:sz w:val="20"/>
          <w:szCs w:val="20"/>
          <w:lang w:val="es-CR"/>
        </w:rPr>
        <w:t xml:space="preserve"> de seguir conociendo de dicho proceso, </w:t>
      </w:r>
      <w:r w:rsidR="00C8339D" w:rsidRPr="002E1E87">
        <w:rPr>
          <w:rFonts w:ascii="Verdana" w:hAnsi="Verdana"/>
          <w:sz w:val="20"/>
          <w:szCs w:val="20"/>
          <w:lang w:val="es-CR"/>
        </w:rPr>
        <w:t xml:space="preserve">debido a </w:t>
      </w:r>
      <w:r w:rsidR="00320559" w:rsidRPr="002E1E87">
        <w:rPr>
          <w:rFonts w:ascii="Verdana" w:hAnsi="Verdana"/>
          <w:sz w:val="20"/>
          <w:szCs w:val="20"/>
          <w:lang w:val="es-CR"/>
        </w:rPr>
        <w:t xml:space="preserve">que “ya </w:t>
      </w:r>
      <w:r w:rsidR="00C8339D" w:rsidRPr="002E1E87">
        <w:rPr>
          <w:rFonts w:ascii="Verdana" w:hAnsi="Verdana"/>
          <w:sz w:val="20"/>
          <w:szCs w:val="20"/>
          <w:lang w:val="es-CR"/>
        </w:rPr>
        <w:t xml:space="preserve">[había] </w:t>
      </w:r>
      <w:proofErr w:type="gramStart"/>
      <w:r w:rsidR="00C8339D" w:rsidRPr="002E1E87">
        <w:rPr>
          <w:rFonts w:ascii="Verdana" w:hAnsi="Verdana"/>
          <w:sz w:val="20"/>
          <w:szCs w:val="20"/>
          <w:lang w:val="es-CR"/>
        </w:rPr>
        <w:t>res[</w:t>
      </w:r>
      <w:proofErr w:type="gramEnd"/>
      <w:r w:rsidR="00C8339D" w:rsidRPr="002E1E87">
        <w:rPr>
          <w:rFonts w:ascii="Verdana" w:hAnsi="Verdana"/>
          <w:sz w:val="20"/>
          <w:szCs w:val="20"/>
          <w:lang w:val="es-CR"/>
        </w:rPr>
        <w:t xml:space="preserve">uelto] </w:t>
      </w:r>
      <w:r w:rsidR="00320559" w:rsidRPr="002E1E87">
        <w:rPr>
          <w:rFonts w:ascii="Verdana" w:hAnsi="Verdana"/>
          <w:sz w:val="20"/>
          <w:szCs w:val="20"/>
          <w:lang w:val="es-CR"/>
        </w:rPr>
        <w:t xml:space="preserve">sobre el carácter auto ejecutable de las sentencias de la Corte Interamericana de Derechos Humanos, y mantiene su postura, por lo cual no puede conocer la audiencia ordenada por la Corte de Constitucionalidad”. Al respecto, los representantes </w:t>
      </w:r>
      <w:r w:rsidR="00063305" w:rsidRPr="002E1E87">
        <w:rPr>
          <w:rFonts w:ascii="Verdana" w:hAnsi="Verdana"/>
          <w:sz w:val="20"/>
          <w:szCs w:val="20"/>
          <w:lang w:val="es-CR"/>
        </w:rPr>
        <w:t xml:space="preserve">destacaron </w:t>
      </w:r>
      <w:r w:rsidR="00320559" w:rsidRPr="002E1E87">
        <w:rPr>
          <w:rFonts w:ascii="Verdana" w:hAnsi="Verdana"/>
          <w:sz w:val="20"/>
          <w:szCs w:val="20"/>
          <w:lang w:val="es-CR"/>
        </w:rPr>
        <w:t>que el “proceso penal sigue paralizado [ya que] no se ha realizado la audiencia ordenada por la Corte de Constitucionalidad […] para que surta sus efectos la resolución de autoejecutabilidad emitida el 18 de enero de 2011 por la C</w:t>
      </w:r>
      <w:r w:rsidR="006704D6" w:rsidRPr="002E1E87">
        <w:rPr>
          <w:rFonts w:ascii="Verdana" w:hAnsi="Verdana"/>
          <w:sz w:val="20"/>
          <w:szCs w:val="20"/>
          <w:lang w:val="es-CR"/>
        </w:rPr>
        <w:t>á</w:t>
      </w:r>
      <w:r w:rsidR="00320559" w:rsidRPr="002E1E87">
        <w:rPr>
          <w:rFonts w:ascii="Verdana" w:hAnsi="Verdana"/>
          <w:sz w:val="20"/>
          <w:szCs w:val="20"/>
          <w:lang w:val="es-CR"/>
        </w:rPr>
        <w:t xml:space="preserve">mara Penal de la [Corte Suprema de Justicia]”. La Corte hace notar que, de la información brindada por el Estado en sus informes entre 2014 y 2015, no consta una justificación por la que, en la actualidad, no </w:t>
      </w:r>
      <w:r w:rsidR="009A67F4">
        <w:rPr>
          <w:rFonts w:ascii="Verdana" w:hAnsi="Verdana"/>
          <w:sz w:val="20"/>
          <w:szCs w:val="20"/>
          <w:lang w:val="es-CR"/>
        </w:rPr>
        <w:t xml:space="preserve">se </w:t>
      </w:r>
      <w:r w:rsidR="00320559" w:rsidRPr="002E1E87">
        <w:rPr>
          <w:rFonts w:ascii="Verdana" w:hAnsi="Verdana"/>
          <w:sz w:val="20"/>
          <w:szCs w:val="20"/>
          <w:lang w:val="es-CR"/>
        </w:rPr>
        <w:t xml:space="preserve">haya </w:t>
      </w:r>
      <w:r w:rsidR="009A67F4">
        <w:rPr>
          <w:rFonts w:ascii="Verdana" w:hAnsi="Verdana"/>
          <w:sz w:val="20"/>
          <w:szCs w:val="20"/>
          <w:lang w:val="es-CR"/>
        </w:rPr>
        <w:t>permitido</w:t>
      </w:r>
      <w:r w:rsidR="00320559" w:rsidRPr="002E1E87">
        <w:rPr>
          <w:rFonts w:ascii="Verdana" w:hAnsi="Verdana"/>
          <w:sz w:val="20"/>
          <w:szCs w:val="20"/>
          <w:lang w:val="es-CR"/>
        </w:rPr>
        <w:t xml:space="preserve"> la continuación de los procesos. En este sentido,</w:t>
      </w:r>
      <w:r w:rsidR="00455EED" w:rsidRPr="002E1E87">
        <w:rPr>
          <w:rFonts w:ascii="Verdana" w:hAnsi="Verdana"/>
          <w:sz w:val="20"/>
          <w:szCs w:val="20"/>
          <w:lang w:val="es-CR"/>
        </w:rPr>
        <w:t xml:space="preserve"> posteriormente,</w:t>
      </w:r>
      <w:r w:rsidR="00320559" w:rsidRPr="002E1E87">
        <w:rPr>
          <w:rFonts w:ascii="Verdana" w:hAnsi="Verdana"/>
          <w:sz w:val="20"/>
          <w:szCs w:val="20"/>
          <w:lang w:val="es-CR"/>
        </w:rPr>
        <w:t xml:space="preserve"> la Corte se referirá al rol del juez como rector del proceso y garante del debido proceso (</w:t>
      </w:r>
      <w:r w:rsidR="00320559" w:rsidRPr="002E1E87">
        <w:rPr>
          <w:rFonts w:ascii="Verdana" w:hAnsi="Verdana"/>
          <w:i/>
          <w:sz w:val="20"/>
          <w:szCs w:val="20"/>
          <w:lang w:val="es-CR"/>
        </w:rPr>
        <w:t>infra</w:t>
      </w:r>
      <w:r w:rsidR="00320559" w:rsidRPr="002E1E87">
        <w:rPr>
          <w:rFonts w:ascii="Verdana" w:hAnsi="Verdana"/>
          <w:sz w:val="20"/>
          <w:szCs w:val="20"/>
          <w:lang w:val="es-CR"/>
        </w:rPr>
        <w:t xml:space="preserve"> Considerando</w:t>
      </w:r>
      <w:r w:rsidR="00643415" w:rsidRPr="002E1E87">
        <w:rPr>
          <w:rFonts w:ascii="Verdana" w:hAnsi="Verdana"/>
          <w:sz w:val="20"/>
          <w:szCs w:val="20"/>
          <w:lang w:val="es-CR"/>
        </w:rPr>
        <w:t>s</w:t>
      </w:r>
      <w:r w:rsidR="00320559" w:rsidRPr="002E1E87">
        <w:rPr>
          <w:rFonts w:ascii="Verdana" w:hAnsi="Verdana"/>
          <w:sz w:val="20"/>
          <w:szCs w:val="20"/>
          <w:lang w:val="es-CR"/>
        </w:rPr>
        <w:t xml:space="preserve"> </w:t>
      </w:r>
      <w:r w:rsidR="00643415" w:rsidRPr="002E1E87">
        <w:rPr>
          <w:rFonts w:ascii="Verdana" w:hAnsi="Verdana"/>
          <w:sz w:val="20"/>
          <w:szCs w:val="20"/>
          <w:lang w:val="es-CR"/>
        </w:rPr>
        <w:fldChar w:fldCharType="begin"/>
      </w:r>
      <w:r w:rsidR="00643415" w:rsidRPr="002E1E87">
        <w:rPr>
          <w:rFonts w:ascii="Verdana" w:hAnsi="Verdana"/>
          <w:sz w:val="20"/>
          <w:szCs w:val="20"/>
          <w:lang w:val="es-CR"/>
        </w:rPr>
        <w:instrText xml:space="preserve"> REF _Ref437858589 \r \h </w:instrText>
      </w:r>
      <w:r w:rsidR="00C8339D" w:rsidRPr="002E1E87">
        <w:rPr>
          <w:rFonts w:ascii="Verdana" w:hAnsi="Verdana"/>
          <w:sz w:val="20"/>
          <w:szCs w:val="20"/>
          <w:lang w:val="es-CR"/>
        </w:rPr>
        <w:instrText xml:space="preserve"> \* MERGEFORMAT </w:instrText>
      </w:r>
      <w:r w:rsidR="00643415" w:rsidRPr="002E1E87">
        <w:rPr>
          <w:rFonts w:ascii="Verdana" w:hAnsi="Verdana"/>
          <w:sz w:val="20"/>
          <w:szCs w:val="20"/>
          <w:lang w:val="es-CR"/>
        </w:rPr>
      </w:r>
      <w:r w:rsidR="00643415" w:rsidRPr="002E1E87">
        <w:rPr>
          <w:rFonts w:ascii="Verdana" w:hAnsi="Verdana"/>
          <w:sz w:val="20"/>
          <w:szCs w:val="20"/>
          <w:lang w:val="es-CR"/>
        </w:rPr>
        <w:fldChar w:fldCharType="separate"/>
      </w:r>
      <w:r w:rsidR="007E3C4B">
        <w:rPr>
          <w:rFonts w:ascii="Verdana" w:hAnsi="Verdana"/>
          <w:sz w:val="20"/>
          <w:szCs w:val="20"/>
          <w:lang w:val="es-CR"/>
        </w:rPr>
        <w:t>132</w:t>
      </w:r>
      <w:r w:rsidR="00643415" w:rsidRPr="002E1E87">
        <w:rPr>
          <w:rFonts w:ascii="Verdana" w:hAnsi="Verdana"/>
          <w:sz w:val="20"/>
          <w:szCs w:val="20"/>
          <w:lang w:val="es-CR"/>
        </w:rPr>
        <w:fldChar w:fldCharType="end"/>
      </w:r>
      <w:r w:rsidR="00643415" w:rsidRPr="002E1E87">
        <w:rPr>
          <w:rFonts w:ascii="Verdana" w:hAnsi="Verdana"/>
          <w:sz w:val="20"/>
          <w:szCs w:val="20"/>
          <w:lang w:val="es-CR"/>
        </w:rPr>
        <w:t xml:space="preserve"> a </w:t>
      </w:r>
      <w:r w:rsidR="00643415" w:rsidRPr="002E1E87">
        <w:rPr>
          <w:rFonts w:ascii="Verdana" w:hAnsi="Verdana"/>
          <w:sz w:val="20"/>
          <w:szCs w:val="20"/>
          <w:lang w:val="es-CR"/>
        </w:rPr>
        <w:fldChar w:fldCharType="begin"/>
      </w:r>
      <w:r w:rsidR="00643415" w:rsidRPr="002E1E87">
        <w:rPr>
          <w:rFonts w:ascii="Verdana" w:hAnsi="Verdana"/>
          <w:sz w:val="20"/>
          <w:szCs w:val="20"/>
          <w:lang w:val="es-CR"/>
        </w:rPr>
        <w:instrText xml:space="preserve"> REF _Ref437939198 \r \h </w:instrText>
      </w:r>
      <w:r w:rsidR="00C8339D" w:rsidRPr="002E1E87">
        <w:rPr>
          <w:rFonts w:ascii="Verdana" w:hAnsi="Verdana"/>
          <w:sz w:val="20"/>
          <w:szCs w:val="20"/>
          <w:lang w:val="es-CR"/>
        </w:rPr>
        <w:instrText xml:space="preserve"> \* MERGEFORMAT </w:instrText>
      </w:r>
      <w:r w:rsidR="00643415" w:rsidRPr="002E1E87">
        <w:rPr>
          <w:rFonts w:ascii="Verdana" w:hAnsi="Verdana"/>
          <w:sz w:val="20"/>
          <w:szCs w:val="20"/>
          <w:lang w:val="es-CR"/>
        </w:rPr>
      </w:r>
      <w:r w:rsidR="00643415" w:rsidRPr="002E1E87">
        <w:rPr>
          <w:rFonts w:ascii="Verdana" w:hAnsi="Verdana"/>
          <w:sz w:val="20"/>
          <w:szCs w:val="20"/>
          <w:lang w:val="es-CR"/>
        </w:rPr>
        <w:fldChar w:fldCharType="separate"/>
      </w:r>
      <w:r w:rsidR="007E3C4B">
        <w:rPr>
          <w:rFonts w:ascii="Verdana" w:hAnsi="Verdana"/>
          <w:sz w:val="20"/>
          <w:szCs w:val="20"/>
          <w:lang w:val="es-CR"/>
        </w:rPr>
        <w:t>136</w:t>
      </w:r>
      <w:r w:rsidR="00643415" w:rsidRPr="002E1E87">
        <w:rPr>
          <w:rFonts w:ascii="Verdana" w:hAnsi="Verdana"/>
          <w:sz w:val="20"/>
          <w:szCs w:val="20"/>
          <w:lang w:val="es-CR"/>
        </w:rPr>
        <w:fldChar w:fldCharType="end"/>
      </w:r>
      <w:r w:rsidR="00320559" w:rsidRPr="002E1E87">
        <w:rPr>
          <w:rFonts w:ascii="Verdana" w:hAnsi="Verdana"/>
          <w:sz w:val="20"/>
          <w:szCs w:val="20"/>
          <w:lang w:val="es-CR"/>
        </w:rPr>
        <w:t xml:space="preserve">). En cualquier caso, </w:t>
      </w:r>
      <w:r w:rsidR="00063305" w:rsidRPr="002E1E87">
        <w:rPr>
          <w:rFonts w:ascii="Verdana" w:hAnsi="Verdana"/>
          <w:sz w:val="20"/>
          <w:szCs w:val="20"/>
          <w:lang w:val="es-CR"/>
        </w:rPr>
        <w:t>este Tribunal</w:t>
      </w:r>
      <w:r w:rsidR="00320559" w:rsidRPr="002E1E87">
        <w:rPr>
          <w:rFonts w:ascii="Verdana" w:hAnsi="Verdana"/>
          <w:sz w:val="20"/>
          <w:szCs w:val="20"/>
          <w:lang w:val="es-CR"/>
        </w:rPr>
        <w:t xml:space="preserve"> hace notar que </w:t>
      </w:r>
      <w:r w:rsidR="00063305" w:rsidRPr="002E1E87">
        <w:rPr>
          <w:rFonts w:ascii="Verdana" w:hAnsi="Verdana"/>
          <w:sz w:val="20"/>
          <w:szCs w:val="20"/>
          <w:lang w:val="es-CR"/>
        </w:rPr>
        <w:t>ya en su Resolución de noviembre de 2010 se pronunció sobre la improcedencia del sobreseimiento dictado en marzo de 1999, y a las decisiones internas que obstaculizan el avance la investigación de los hechos del presente caso (</w:t>
      </w:r>
      <w:r w:rsidR="00063305" w:rsidRPr="002E1E87">
        <w:rPr>
          <w:rFonts w:ascii="Verdana" w:hAnsi="Verdana"/>
          <w:i/>
          <w:sz w:val="20"/>
          <w:szCs w:val="20"/>
          <w:lang w:val="es-CR"/>
        </w:rPr>
        <w:t>supra</w:t>
      </w:r>
      <w:r w:rsidR="00063305" w:rsidRPr="002E1E87">
        <w:rPr>
          <w:rFonts w:ascii="Verdana" w:hAnsi="Verdana"/>
          <w:sz w:val="20"/>
          <w:szCs w:val="20"/>
          <w:lang w:val="es-CR"/>
        </w:rPr>
        <w:t xml:space="preserve"> </w:t>
      </w:r>
      <w:r w:rsidR="00063305" w:rsidRPr="002E1E87">
        <w:rPr>
          <w:rFonts w:ascii="Verdana" w:hAnsi="Verdana"/>
          <w:sz w:val="20"/>
          <w:szCs w:val="20"/>
          <w:lang w:val="es-CR"/>
        </w:rPr>
        <w:lastRenderedPageBreak/>
        <w:t xml:space="preserve">Considerando 65), y recuerda que </w:t>
      </w:r>
      <w:r w:rsidR="00320559" w:rsidRPr="002E1E87">
        <w:rPr>
          <w:rFonts w:ascii="Verdana" w:hAnsi="Verdana"/>
          <w:sz w:val="20"/>
          <w:szCs w:val="20"/>
          <w:lang w:val="es-CR"/>
        </w:rPr>
        <w:t xml:space="preserve">el Estado debe cumplir con su obligación de investigar, enjuiciar y, en su caso, sancionar a los responsables de los hechos referidos, y que todos los poderes del Estado están en la obligación de ejercer un “control de convencionalidad” </w:t>
      </w:r>
      <w:r w:rsidR="00320559" w:rsidRPr="002E1E87">
        <w:rPr>
          <w:rFonts w:ascii="Verdana" w:hAnsi="Verdana"/>
          <w:i/>
          <w:sz w:val="20"/>
          <w:szCs w:val="20"/>
          <w:lang w:val="es-CR"/>
        </w:rPr>
        <w:t xml:space="preserve">ex officio </w:t>
      </w:r>
      <w:r w:rsidR="00320559" w:rsidRPr="002E1E87">
        <w:rPr>
          <w:rFonts w:ascii="Verdana" w:hAnsi="Verdana"/>
          <w:sz w:val="20"/>
          <w:szCs w:val="20"/>
          <w:lang w:val="es-CR"/>
        </w:rPr>
        <w:t>entre las normas contenidas en la Convención y del derecho interno (</w:t>
      </w:r>
      <w:r w:rsidR="00320559" w:rsidRPr="002E1E87">
        <w:rPr>
          <w:rFonts w:ascii="Verdana" w:hAnsi="Verdana"/>
          <w:i/>
          <w:sz w:val="20"/>
          <w:szCs w:val="20"/>
          <w:lang w:val="es-CR"/>
        </w:rPr>
        <w:t>infra</w:t>
      </w:r>
      <w:r w:rsidR="00320559" w:rsidRPr="002E1E87">
        <w:rPr>
          <w:rFonts w:ascii="Verdana" w:hAnsi="Verdana"/>
          <w:sz w:val="20"/>
          <w:szCs w:val="20"/>
          <w:lang w:val="es-CR"/>
        </w:rPr>
        <w:t xml:space="preserve"> Considerando</w:t>
      </w:r>
      <w:r w:rsidR="002E1E87" w:rsidRPr="002E1E87">
        <w:rPr>
          <w:rFonts w:ascii="Verdana" w:hAnsi="Verdana"/>
          <w:sz w:val="20"/>
          <w:szCs w:val="20"/>
          <w:lang w:val="es-CR"/>
        </w:rPr>
        <w:t xml:space="preserve"> 142</w:t>
      </w:r>
      <w:r w:rsidR="00320559" w:rsidRPr="002E1E87">
        <w:rPr>
          <w:rFonts w:ascii="Verdana" w:hAnsi="Verdana"/>
          <w:sz w:val="20"/>
          <w:szCs w:val="20"/>
          <w:lang w:val="es-CR"/>
        </w:rPr>
        <w:t>).</w:t>
      </w:r>
      <w:bookmarkEnd w:id="72"/>
    </w:p>
    <w:p w14:paraId="09792470" w14:textId="77777777" w:rsidR="00320559" w:rsidRPr="0032068E" w:rsidRDefault="00320559" w:rsidP="00320559">
      <w:pPr>
        <w:pStyle w:val="ListParagraph"/>
        <w:spacing w:after="0" w:line="240" w:lineRule="auto"/>
        <w:ind w:left="0" w:right="1444"/>
        <w:jc w:val="both"/>
        <w:rPr>
          <w:rFonts w:ascii="Verdana" w:hAnsi="Verdana"/>
          <w:sz w:val="20"/>
          <w:szCs w:val="20"/>
          <w:lang w:val="es-CR"/>
        </w:rPr>
      </w:pPr>
    </w:p>
    <w:p w14:paraId="3DF0346C" w14:textId="77777777" w:rsidR="002349DE" w:rsidRDefault="00320559" w:rsidP="00214ED7">
      <w:pPr>
        <w:pStyle w:val="ListParagraph"/>
        <w:numPr>
          <w:ilvl w:val="0"/>
          <w:numId w:val="2"/>
        </w:numPr>
        <w:spacing w:after="0" w:line="240" w:lineRule="auto"/>
        <w:ind w:left="0" w:right="1444" w:firstLine="0"/>
        <w:jc w:val="both"/>
        <w:rPr>
          <w:rFonts w:ascii="Verdana" w:hAnsi="Verdana"/>
          <w:sz w:val="20"/>
          <w:szCs w:val="20"/>
          <w:lang w:val="es-CR"/>
        </w:rPr>
      </w:pPr>
      <w:bookmarkStart w:id="73" w:name="_Ref437956828"/>
      <w:r w:rsidRPr="0032068E">
        <w:rPr>
          <w:rFonts w:ascii="Verdana" w:hAnsi="Verdana"/>
          <w:sz w:val="20"/>
          <w:szCs w:val="20"/>
          <w:lang w:val="es-CR"/>
        </w:rPr>
        <w:t xml:space="preserve">Además, la Corte constata </w:t>
      </w:r>
      <w:r w:rsidR="00063305">
        <w:rPr>
          <w:rFonts w:ascii="Verdana" w:hAnsi="Verdana"/>
          <w:sz w:val="20"/>
          <w:szCs w:val="20"/>
          <w:lang w:val="es-CR"/>
        </w:rPr>
        <w:t xml:space="preserve">que entre el 2010 y el 2014 los imputados en esta investigación han planteado múltiples recursos judiciales. </w:t>
      </w:r>
      <w:r w:rsidRPr="0032068E">
        <w:rPr>
          <w:rFonts w:ascii="Verdana" w:hAnsi="Verdana"/>
          <w:sz w:val="20"/>
          <w:szCs w:val="20"/>
          <w:lang w:val="es-CR"/>
        </w:rPr>
        <w:t xml:space="preserve">En efecto, </w:t>
      </w:r>
      <w:r w:rsidR="00063305" w:rsidRPr="0032068E">
        <w:rPr>
          <w:rFonts w:ascii="Verdana" w:hAnsi="Verdana"/>
          <w:sz w:val="20"/>
          <w:szCs w:val="20"/>
          <w:lang w:val="es-CR"/>
        </w:rPr>
        <w:t>entre los años 2010 y 2012</w:t>
      </w:r>
      <w:r w:rsidR="00063305">
        <w:rPr>
          <w:rFonts w:ascii="Verdana" w:hAnsi="Verdana"/>
          <w:sz w:val="20"/>
          <w:szCs w:val="20"/>
          <w:lang w:val="es-CR"/>
        </w:rPr>
        <w:t xml:space="preserve">, </w:t>
      </w:r>
      <w:r w:rsidRPr="0032068E">
        <w:rPr>
          <w:rFonts w:ascii="Verdana" w:hAnsi="Verdana"/>
          <w:sz w:val="20"/>
          <w:szCs w:val="20"/>
          <w:lang w:val="es-CR"/>
        </w:rPr>
        <w:t xml:space="preserve">los imputados </w:t>
      </w:r>
      <w:r w:rsidR="00063305">
        <w:rPr>
          <w:rFonts w:ascii="Verdana" w:hAnsi="Verdana"/>
          <w:sz w:val="20"/>
          <w:szCs w:val="20"/>
          <w:lang w:val="es-CR"/>
        </w:rPr>
        <w:t>interpusieron</w:t>
      </w:r>
      <w:r w:rsidR="00063305" w:rsidRPr="0032068E">
        <w:rPr>
          <w:rFonts w:ascii="Verdana" w:hAnsi="Verdana"/>
          <w:sz w:val="20"/>
          <w:szCs w:val="20"/>
          <w:lang w:val="es-CR"/>
        </w:rPr>
        <w:t xml:space="preserve"> </w:t>
      </w:r>
      <w:r w:rsidR="005B480E" w:rsidRPr="0032068E">
        <w:rPr>
          <w:rFonts w:ascii="Verdana" w:hAnsi="Verdana"/>
          <w:sz w:val="20"/>
          <w:szCs w:val="20"/>
          <w:lang w:val="es-CR"/>
        </w:rPr>
        <w:t>al menos</w:t>
      </w:r>
      <w:r w:rsidRPr="0032068E">
        <w:rPr>
          <w:rFonts w:ascii="Verdana" w:hAnsi="Verdana"/>
          <w:sz w:val="20"/>
          <w:szCs w:val="20"/>
          <w:lang w:val="es-CR"/>
        </w:rPr>
        <w:t xml:space="preserve"> </w:t>
      </w:r>
      <w:r w:rsidR="005B480E" w:rsidRPr="0032068E">
        <w:rPr>
          <w:rFonts w:ascii="Verdana" w:hAnsi="Verdana"/>
          <w:sz w:val="20"/>
          <w:szCs w:val="20"/>
          <w:lang w:val="es-CR"/>
        </w:rPr>
        <w:t>10</w:t>
      </w:r>
      <w:r w:rsidRPr="0032068E">
        <w:rPr>
          <w:rFonts w:ascii="Verdana" w:hAnsi="Verdana"/>
          <w:sz w:val="20"/>
          <w:szCs w:val="20"/>
          <w:lang w:val="es-CR"/>
        </w:rPr>
        <w:t xml:space="preserve"> acciones de amparo</w:t>
      </w:r>
      <w:r w:rsidR="005B480E" w:rsidRPr="0032068E">
        <w:rPr>
          <w:rStyle w:val="FootnoteReference"/>
          <w:rFonts w:ascii="Verdana" w:hAnsi="Verdana"/>
          <w:sz w:val="20"/>
          <w:szCs w:val="20"/>
          <w:lang w:val="es-CR"/>
        </w:rPr>
        <w:footnoteReference w:id="75"/>
      </w:r>
      <w:r w:rsidR="005B480E" w:rsidRPr="0032068E">
        <w:rPr>
          <w:rFonts w:ascii="Verdana" w:hAnsi="Verdana"/>
          <w:sz w:val="20"/>
          <w:szCs w:val="20"/>
          <w:lang w:val="es-CR"/>
        </w:rPr>
        <w:t xml:space="preserve">, e incluso una acción de </w:t>
      </w:r>
      <w:r w:rsidR="003802F7" w:rsidRPr="0032068E">
        <w:rPr>
          <w:rFonts w:ascii="Verdana" w:hAnsi="Verdana"/>
          <w:sz w:val="20"/>
          <w:szCs w:val="20"/>
          <w:lang w:val="es-CR"/>
        </w:rPr>
        <w:t>inconstitucionalidad</w:t>
      </w:r>
      <w:r w:rsidR="005B480E" w:rsidRPr="0032068E">
        <w:rPr>
          <w:rFonts w:ascii="Verdana" w:hAnsi="Verdana"/>
          <w:sz w:val="20"/>
          <w:szCs w:val="20"/>
          <w:lang w:val="es-CR"/>
        </w:rPr>
        <w:t xml:space="preserve"> contra la resolución de la Cámara Penal de la Corte Suprema de Justicia que resuelve la autoejecutabilidad de la Sentencia de la Corte Interamericana</w:t>
      </w:r>
      <w:r w:rsidR="004245A2" w:rsidRPr="0032068E">
        <w:rPr>
          <w:rFonts w:ascii="Verdana" w:hAnsi="Verdana"/>
          <w:sz w:val="20"/>
          <w:szCs w:val="20"/>
          <w:lang w:val="es-CR"/>
        </w:rPr>
        <w:t>.</w:t>
      </w:r>
      <w:r w:rsidR="00183FAD" w:rsidRPr="0032068E">
        <w:rPr>
          <w:rFonts w:ascii="Verdana" w:hAnsi="Verdana"/>
          <w:sz w:val="20"/>
          <w:szCs w:val="20"/>
          <w:lang w:val="es-CR"/>
        </w:rPr>
        <w:t xml:space="preserve"> A la fecha, no existe </w:t>
      </w:r>
      <w:r w:rsidR="00E66716">
        <w:rPr>
          <w:rFonts w:ascii="Verdana" w:hAnsi="Verdana"/>
          <w:sz w:val="20"/>
          <w:szCs w:val="20"/>
          <w:lang w:val="es-CR"/>
        </w:rPr>
        <w:t>ninguna decisión judicial que se pronuncie sobre su responsabilidad penal</w:t>
      </w:r>
      <w:r w:rsidRPr="0032068E">
        <w:rPr>
          <w:rFonts w:ascii="Verdana" w:hAnsi="Verdana"/>
          <w:sz w:val="20"/>
          <w:szCs w:val="20"/>
          <w:lang w:val="es-CR"/>
        </w:rPr>
        <w:t>.</w:t>
      </w:r>
      <w:bookmarkEnd w:id="73"/>
      <w:r w:rsidRPr="0032068E">
        <w:rPr>
          <w:rFonts w:ascii="Verdana" w:hAnsi="Verdana"/>
          <w:sz w:val="20"/>
          <w:szCs w:val="20"/>
          <w:lang w:val="es-CR"/>
        </w:rPr>
        <w:t xml:space="preserve"> </w:t>
      </w:r>
      <w:r w:rsidR="00645162">
        <w:rPr>
          <w:rFonts w:ascii="Verdana" w:hAnsi="Verdana"/>
          <w:sz w:val="20"/>
          <w:szCs w:val="20"/>
          <w:lang w:val="es-CR"/>
        </w:rPr>
        <w:t>Tanto los representantes</w:t>
      </w:r>
      <w:r w:rsidR="000B5057">
        <w:rPr>
          <w:rStyle w:val="FootnoteReference"/>
          <w:rFonts w:ascii="Verdana" w:hAnsi="Verdana"/>
          <w:sz w:val="20"/>
          <w:szCs w:val="20"/>
          <w:lang w:val="es-CR"/>
        </w:rPr>
        <w:footnoteReference w:id="76"/>
      </w:r>
      <w:r w:rsidR="00645162">
        <w:rPr>
          <w:rFonts w:ascii="Verdana" w:hAnsi="Verdana"/>
          <w:sz w:val="20"/>
          <w:szCs w:val="20"/>
          <w:lang w:val="es-CR"/>
        </w:rPr>
        <w:t xml:space="preserve"> como la Comisión han coincidido en el efecto “dilatorio” que ha tenido </w:t>
      </w:r>
      <w:r w:rsidR="00287AE7">
        <w:rPr>
          <w:rFonts w:ascii="Verdana" w:hAnsi="Verdana"/>
          <w:sz w:val="20"/>
          <w:szCs w:val="20"/>
          <w:lang w:val="es-CR"/>
        </w:rPr>
        <w:t>en la investigación la “interposición sistemática de acciones judiciales” tanto “amparos” como “recusaciones” por parte de los imputados</w:t>
      </w:r>
      <w:r w:rsidR="007059FD">
        <w:rPr>
          <w:rFonts w:ascii="Verdana" w:hAnsi="Verdana"/>
          <w:sz w:val="20"/>
          <w:szCs w:val="20"/>
          <w:lang w:val="es-CR"/>
        </w:rPr>
        <w:t>, los cuales</w:t>
      </w:r>
      <w:r w:rsidR="00287AE7">
        <w:rPr>
          <w:rFonts w:ascii="Verdana" w:hAnsi="Verdana"/>
          <w:sz w:val="20"/>
          <w:szCs w:val="20"/>
          <w:lang w:val="es-CR"/>
        </w:rPr>
        <w:t xml:space="preserve"> no han sido resueltos diligente y oportunamente por los operadores de justicia.</w:t>
      </w:r>
      <w:r w:rsidRPr="002349DE">
        <w:rPr>
          <w:rFonts w:ascii="Verdana" w:hAnsi="Verdana"/>
          <w:sz w:val="20"/>
          <w:szCs w:val="20"/>
          <w:lang w:val="es-CR"/>
        </w:rPr>
        <w:t xml:space="preserve"> </w:t>
      </w:r>
    </w:p>
    <w:p w14:paraId="05AFDD71" w14:textId="77777777" w:rsidR="002349DE" w:rsidRPr="002349DE" w:rsidRDefault="002349DE" w:rsidP="002349DE">
      <w:pPr>
        <w:pStyle w:val="ListParagraph"/>
        <w:rPr>
          <w:rFonts w:ascii="Verdana" w:hAnsi="Verdana"/>
          <w:sz w:val="20"/>
          <w:szCs w:val="20"/>
          <w:lang w:val="es-CR"/>
        </w:rPr>
      </w:pPr>
    </w:p>
    <w:p w14:paraId="077783A7" w14:textId="453128C8" w:rsidR="00320559" w:rsidRPr="002349DE" w:rsidRDefault="00320559" w:rsidP="002349DE">
      <w:pPr>
        <w:pStyle w:val="ListParagraph"/>
        <w:numPr>
          <w:ilvl w:val="0"/>
          <w:numId w:val="2"/>
        </w:numPr>
        <w:spacing w:after="0" w:line="240" w:lineRule="auto"/>
        <w:ind w:left="0" w:right="1444" w:firstLine="0"/>
        <w:jc w:val="both"/>
        <w:rPr>
          <w:rFonts w:ascii="Verdana" w:hAnsi="Verdana"/>
          <w:sz w:val="20"/>
          <w:szCs w:val="20"/>
          <w:lang w:val="es-CR"/>
        </w:rPr>
      </w:pPr>
      <w:r w:rsidRPr="002349DE">
        <w:rPr>
          <w:rFonts w:ascii="Verdana" w:hAnsi="Verdana"/>
          <w:sz w:val="20"/>
          <w:szCs w:val="20"/>
          <w:lang w:val="es-CR"/>
        </w:rPr>
        <w:t>Además, la Corte observa que</w:t>
      </w:r>
      <w:r w:rsidR="00214ED7" w:rsidRPr="002349DE">
        <w:rPr>
          <w:rFonts w:ascii="Verdana" w:hAnsi="Verdana"/>
          <w:sz w:val="20"/>
          <w:szCs w:val="20"/>
          <w:lang w:val="es-CR"/>
        </w:rPr>
        <w:t xml:space="preserve"> en el informe del Ministerio Público de </w:t>
      </w:r>
      <w:r w:rsidR="002349DE">
        <w:rPr>
          <w:rFonts w:ascii="Verdana" w:hAnsi="Verdana"/>
          <w:sz w:val="20"/>
          <w:szCs w:val="20"/>
          <w:lang w:val="es-CR"/>
        </w:rPr>
        <w:t xml:space="preserve">mayo de 2014 </w:t>
      </w:r>
      <w:r w:rsidR="00214ED7" w:rsidRPr="002349DE">
        <w:rPr>
          <w:rFonts w:ascii="Verdana" w:hAnsi="Verdana"/>
          <w:sz w:val="20"/>
          <w:szCs w:val="20"/>
          <w:lang w:val="es-CR"/>
        </w:rPr>
        <w:t>se señaló como un “obstáculo o dificultad en la investigación”</w:t>
      </w:r>
      <w:r w:rsidRPr="002349DE">
        <w:rPr>
          <w:rFonts w:ascii="Verdana" w:hAnsi="Verdana"/>
          <w:sz w:val="20"/>
          <w:szCs w:val="20"/>
          <w:lang w:val="es-CR"/>
        </w:rPr>
        <w:t xml:space="preserve"> </w:t>
      </w:r>
      <w:r w:rsidR="00214ED7" w:rsidRPr="002349DE">
        <w:rPr>
          <w:rFonts w:ascii="Verdana" w:hAnsi="Verdana"/>
          <w:sz w:val="20"/>
          <w:szCs w:val="20"/>
          <w:lang w:val="es-CR"/>
        </w:rPr>
        <w:t>d</w:t>
      </w:r>
      <w:r w:rsidRPr="002349DE">
        <w:rPr>
          <w:rFonts w:ascii="Verdana" w:hAnsi="Verdana"/>
          <w:sz w:val="20"/>
          <w:szCs w:val="20"/>
          <w:lang w:val="es-CR"/>
        </w:rPr>
        <w:t xml:space="preserve">el presente caso </w:t>
      </w:r>
      <w:r w:rsidR="00214ED7" w:rsidRPr="002349DE">
        <w:rPr>
          <w:rFonts w:ascii="Verdana" w:hAnsi="Verdana"/>
          <w:sz w:val="20"/>
          <w:szCs w:val="20"/>
          <w:lang w:val="es-CR"/>
        </w:rPr>
        <w:t xml:space="preserve">la negativa del </w:t>
      </w:r>
      <w:r w:rsidRPr="002349DE">
        <w:rPr>
          <w:rFonts w:ascii="Verdana" w:hAnsi="Verdana"/>
          <w:sz w:val="20"/>
          <w:szCs w:val="20"/>
          <w:lang w:val="es-CR"/>
        </w:rPr>
        <w:t xml:space="preserve">Ministerio de Defensa </w:t>
      </w:r>
      <w:r w:rsidR="00214ED7" w:rsidRPr="002349DE">
        <w:rPr>
          <w:rFonts w:ascii="Verdana" w:hAnsi="Verdana"/>
          <w:sz w:val="20"/>
          <w:szCs w:val="20"/>
          <w:lang w:val="es-CR"/>
        </w:rPr>
        <w:t>de</w:t>
      </w:r>
      <w:r w:rsidRPr="002349DE">
        <w:rPr>
          <w:rFonts w:ascii="Verdana" w:hAnsi="Verdana"/>
          <w:sz w:val="20"/>
          <w:szCs w:val="20"/>
          <w:lang w:val="es-CR"/>
        </w:rPr>
        <w:t xml:space="preserve"> otorgar info</w:t>
      </w:r>
      <w:r w:rsidR="00995DFC" w:rsidRPr="002349DE">
        <w:rPr>
          <w:rFonts w:ascii="Verdana" w:hAnsi="Verdana"/>
          <w:sz w:val="20"/>
          <w:szCs w:val="20"/>
          <w:lang w:val="es-CR"/>
        </w:rPr>
        <w:t>rmación acerca de los imputados</w:t>
      </w:r>
      <w:r w:rsidRPr="002349DE">
        <w:rPr>
          <w:rFonts w:ascii="Verdana" w:hAnsi="Verdana"/>
          <w:sz w:val="20"/>
          <w:szCs w:val="20"/>
          <w:lang w:val="es-CR"/>
        </w:rPr>
        <w:t>, todos ellos integrantes de las Fuerzas Armadas guatemaltecas al momento de los hechos.</w:t>
      </w:r>
      <w:r w:rsidR="005B480E" w:rsidRPr="002349DE">
        <w:rPr>
          <w:rFonts w:ascii="Verdana" w:hAnsi="Verdana"/>
          <w:sz w:val="20"/>
          <w:szCs w:val="20"/>
          <w:lang w:val="es-CR"/>
        </w:rPr>
        <w:t xml:space="preserve"> </w:t>
      </w:r>
      <w:r w:rsidR="00136FFA" w:rsidRPr="002349DE">
        <w:rPr>
          <w:rFonts w:ascii="Verdana" w:hAnsi="Verdana"/>
          <w:sz w:val="20"/>
          <w:szCs w:val="20"/>
          <w:lang w:val="es-CR"/>
        </w:rPr>
        <w:t>Se encuentra</w:t>
      </w:r>
      <w:r w:rsidR="005B480E" w:rsidRPr="002349DE">
        <w:rPr>
          <w:rFonts w:ascii="Verdana" w:hAnsi="Verdana"/>
          <w:sz w:val="20"/>
          <w:szCs w:val="20"/>
          <w:lang w:val="es-CR"/>
        </w:rPr>
        <w:t xml:space="preserve"> pendiente la respuesta de seis oficios de</w:t>
      </w:r>
      <w:r w:rsidR="00136FFA" w:rsidRPr="002349DE">
        <w:rPr>
          <w:rFonts w:ascii="Verdana" w:hAnsi="Verdana"/>
          <w:sz w:val="20"/>
          <w:szCs w:val="20"/>
          <w:lang w:val="es-CR"/>
        </w:rPr>
        <w:t>l Ministerio Público de</w:t>
      </w:r>
      <w:r w:rsidR="005B480E" w:rsidRPr="002349DE">
        <w:rPr>
          <w:rFonts w:ascii="Verdana" w:hAnsi="Verdana"/>
          <w:sz w:val="20"/>
          <w:szCs w:val="20"/>
          <w:lang w:val="es-CR"/>
        </w:rPr>
        <w:t xml:space="preserve"> </w:t>
      </w:r>
      <w:r w:rsidR="00214ED7" w:rsidRPr="002349DE">
        <w:rPr>
          <w:rFonts w:ascii="Verdana" w:hAnsi="Verdana"/>
          <w:sz w:val="20"/>
          <w:szCs w:val="20"/>
          <w:lang w:val="es-CR"/>
        </w:rPr>
        <w:t xml:space="preserve">28 y 29 de marzo (cuatro oficios) y </w:t>
      </w:r>
      <w:r w:rsidR="005B480E" w:rsidRPr="002349DE">
        <w:rPr>
          <w:rFonts w:ascii="Verdana" w:hAnsi="Verdana"/>
          <w:sz w:val="20"/>
          <w:szCs w:val="20"/>
          <w:lang w:val="es-CR"/>
        </w:rPr>
        <w:t>28 de abril de 2010</w:t>
      </w:r>
      <w:r w:rsidR="002349DE">
        <w:rPr>
          <w:rFonts w:ascii="Verdana" w:hAnsi="Verdana"/>
          <w:sz w:val="20"/>
          <w:szCs w:val="20"/>
          <w:lang w:val="es-CR"/>
        </w:rPr>
        <w:t>.</w:t>
      </w:r>
      <w:r w:rsidRPr="002349DE">
        <w:rPr>
          <w:rFonts w:ascii="Verdana" w:hAnsi="Verdana"/>
          <w:sz w:val="20"/>
          <w:szCs w:val="20"/>
          <w:lang w:val="es-CR"/>
        </w:rPr>
        <w:t xml:space="preserve"> </w:t>
      </w:r>
      <w:r w:rsidR="00214ED7" w:rsidRPr="002349DE">
        <w:rPr>
          <w:rFonts w:ascii="Verdana" w:hAnsi="Verdana"/>
          <w:sz w:val="20"/>
          <w:szCs w:val="20"/>
          <w:lang w:val="es-CR"/>
        </w:rPr>
        <w:t>L</w:t>
      </w:r>
      <w:r w:rsidRPr="002349DE">
        <w:rPr>
          <w:rFonts w:ascii="Verdana" w:hAnsi="Verdana"/>
          <w:sz w:val="20"/>
          <w:szCs w:val="20"/>
          <w:lang w:val="es-CR"/>
        </w:rPr>
        <w:t xml:space="preserve">a Corte se referirá a las limitaciones al acceso a la información relevante para la investigación </w:t>
      </w:r>
      <w:r w:rsidRPr="00AC6043">
        <w:rPr>
          <w:rFonts w:ascii="Verdana" w:hAnsi="Verdana"/>
          <w:sz w:val="20"/>
          <w:szCs w:val="20"/>
          <w:lang w:val="es-CR"/>
        </w:rPr>
        <w:t>(</w:t>
      </w:r>
      <w:r w:rsidRPr="00AC6043">
        <w:rPr>
          <w:rFonts w:ascii="Verdana" w:hAnsi="Verdana"/>
          <w:i/>
          <w:sz w:val="20"/>
          <w:szCs w:val="20"/>
          <w:lang w:val="es-CR"/>
        </w:rPr>
        <w:t>infra</w:t>
      </w:r>
      <w:r w:rsidRPr="00AC6043">
        <w:rPr>
          <w:rFonts w:ascii="Verdana" w:hAnsi="Verdana"/>
          <w:sz w:val="20"/>
          <w:szCs w:val="20"/>
          <w:lang w:val="es-CR"/>
        </w:rPr>
        <w:t xml:space="preserve"> Considerando</w:t>
      </w:r>
      <w:r w:rsidR="00F830C2" w:rsidRPr="00AC6043">
        <w:rPr>
          <w:rFonts w:ascii="Verdana" w:hAnsi="Verdana"/>
          <w:sz w:val="20"/>
          <w:szCs w:val="20"/>
          <w:lang w:val="es-CR"/>
        </w:rPr>
        <w:t>s</w:t>
      </w:r>
      <w:r w:rsidRPr="00AC6043">
        <w:rPr>
          <w:rFonts w:ascii="Verdana" w:hAnsi="Verdana"/>
          <w:sz w:val="20"/>
          <w:szCs w:val="20"/>
          <w:lang w:val="es-CR"/>
        </w:rPr>
        <w:t xml:space="preserve"> </w:t>
      </w:r>
      <w:r w:rsidR="00F830C2" w:rsidRPr="00AC6043">
        <w:rPr>
          <w:rFonts w:ascii="Verdana" w:hAnsi="Verdana"/>
          <w:sz w:val="20"/>
          <w:szCs w:val="20"/>
          <w:lang w:val="es-CR"/>
        </w:rPr>
        <w:fldChar w:fldCharType="begin"/>
      </w:r>
      <w:r w:rsidR="00F830C2" w:rsidRPr="00AC6043">
        <w:rPr>
          <w:rFonts w:ascii="Verdana" w:hAnsi="Verdana"/>
          <w:sz w:val="20"/>
          <w:szCs w:val="20"/>
          <w:lang w:val="es-CR"/>
        </w:rPr>
        <w:instrText xml:space="preserve"> REF _Ref437858242 \r \h </w:instrText>
      </w:r>
      <w:r w:rsidR="004B4974" w:rsidRPr="00AC6043">
        <w:rPr>
          <w:rFonts w:ascii="Verdana" w:hAnsi="Verdana"/>
          <w:sz w:val="20"/>
          <w:szCs w:val="20"/>
          <w:lang w:val="es-CR"/>
        </w:rPr>
        <w:instrText xml:space="preserve"> \* MERGEFORMAT </w:instrText>
      </w:r>
      <w:r w:rsidR="00F830C2" w:rsidRPr="00AC6043">
        <w:rPr>
          <w:rFonts w:ascii="Verdana" w:hAnsi="Verdana"/>
          <w:sz w:val="20"/>
          <w:szCs w:val="20"/>
          <w:lang w:val="es-CR"/>
        </w:rPr>
      </w:r>
      <w:r w:rsidR="00F830C2" w:rsidRPr="00AC6043">
        <w:rPr>
          <w:rFonts w:ascii="Verdana" w:hAnsi="Verdana"/>
          <w:sz w:val="20"/>
          <w:szCs w:val="20"/>
          <w:lang w:val="es-CR"/>
        </w:rPr>
        <w:fldChar w:fldCharType="separate"/>
      </w:r>
      <w:r w:rsidR="007E3C4B">
        <w:rPr>
          <w:rFonts w:ascii="Verdana" w:hAnsi="Verdana"/>
          <w:sz w:val="20"/>
          <w:szCs w:val="20"/>
          <w:lang w:val="es-CR"/>
        </w:rPr>
        <w:t>127</w:t>
      </w:r>
      <w:r w:rsidR="00F830C2" w:rsidRPr="00AC6043">
        <w:rPr>
          <w:rFonts w:ascii="Verdana" w:hAnsi="Verdana"/>
          <w:sz w:val="20"/>
          <w:szCs w:val="20"/>
          <w:lang w:val="es-CR"/>
        </w:rPr>
        <w:fldChar w:fldCharType="end"/>
      </w:r>
      <w:r w:rsidR="00F830C2" w:rsidRPr="00AC6043">
        <w:rPr>
          <w:rFonts w:ascii="Verdana" w:hAnsi="Verdana"/>
          <w:sz w:val="20"/>
          <w:szCs w:val="20"/>
          <w:lang w:val="es-CR"/>
        </w:rPr>
        <w:t xml:space="preserve"> a </w:t>
      </w:r>
      <w:r w:rsidR="00F830C2" w:rsidRPr="00AC6043">
        <w:rPr>
          <w:rFonts w:ascii="Verdana" w:hAnsi="Verdana"/>
          <w:sz w:val="20"/>
          <w:szCs w:val="20"/>
          <w:lang w:val="es-CR"/>
        </w:rPr>
        <w:fldChar w:fldCharType="begin"/>
      </w:r>
      <w:r w:rsidR="00F830C2" w:rsidRPr="00AC6043">
        <w:rPr>
          <w:rFonts w:ascii="Verdana" w:hAnsi="Verdana"/>
          <w:sz w:val="20"/>
          <w:szCs w:val="20"/>
          <w:lang w:val="es-CR"/>
        </w:rPr>
        <w:instrText xml:space="preserve"> REF _Ref437939544 \r \h </w:instrText>
      </w:r>
      <w:r w:rsidR="004B4974" w:rsidRPr="00AC6043">
        <w:rPr>
          <w:rFonts w:ascii="Verdana" w:hAnsi="Verdana"/>
          <w:sz w:val="20"/>
          <w:szCs w:val="20"/>
          <w:lang w:val="es-CR"/>
        </w:rPr>
        <w:instrText xml:space="preserve"> \* MERGEFORMAT </w:instrText>
      </w:r>
      <w:r w:rsidR="00F830C2" w:rsidRPr="00AC6043">
        <w:rPr>
          <w:rFonts w:ascii="Verdana" w:hAnsi="Verdana"/>
          <w:sz w:val="20"/>
          <w:szCs w:val="20"/>
          <w:lang w:val="es-CR"/>
        </w:rPr>
      </w:r>
      <w:r w:rsidR="00F830C2" w:rsidRPr="00AC6043">
        <w:rPr>
          <w:rFonts w:ascii="Verdana" w:hAnsi="Verdana"/>
          <w:sz w:val="20"/>
          <w:szCs w:val="20"/>
          <w:lang w:val="es-CR"/>
        </w:rPr>
        <w:fldChar w:fldCharType="separate"/>
      </w:r>
      <w:r w:rsidR="007E3C4B">
        <w:rPr>
          <w:rFonts w:ascii="Verdana" w:hAnsi="Verdana"/>
          <w:sz w:val="20"/>
          <w:szCs w:val="20"/>
          <w:lang w:val="es-CR"/>
        </w:rPr>
        <w:t>131</w:t>
      </w:r>
      <w:r w:rsidR="00F830C2" w:rsidRPr="00AC6043">
        <w:rPr>
          <w:rFonts w:ascii="Verdana" w:hAnsi="Verdana"/>
          <w:sz w:val="20"/>
          <w:szCs w:val="20"/>
          <w:lang w:val="es-CR"/>
        </w:rPr>
        <w:fldChar w:fldCharType="end"/>
      </w:r>
      <w:r w:rsidRPr="00AC6043">
        <w:rPr>
          <w:rFonts w:ascii="Verdana" w:hAnsi="Verdana"/>
          <w:sz w:val="20"/>
          <w:szCs w:val="20"/>
          <w:lang w:val="es-CR"/>
        </w:rPr>
        <w:t>), y a la aplicación de eximentes de responsabilidad, como el sobreseimiento (</w:t>
      </w:r>
      <w:r w:rsidRPr="00AC6043">
        <w:rPr>
          <w:rFonts w:ascii="Verdana" w:hAnsi="Verdana"/>
          <w:i/>
          <w:sz w:val="20"/>
          <w:szCs w:val="20"/>
          <w:lang w:val="es-CR"/>
        </w:rPr>
        <w:t>infra</w:t>
      </w:r>
      <w:r w:rsidRPr="00AC6043">
        <w:rPr>
          <w:rFonts w:ascii="Verdana" w:hAnsi="Verdana"/>
          <w:sz w:val="20"/>
          <w:szCs w:val="20"/>
          <w:lang w:val="es-CR"/>
        </w:rPr>
        <w:t xml:space="preserve"> Considerando</w:t>
      </w:r>
      <w:r w:rsidR="00F830C2" w:rsidRPr="00AC6043">
        <w:rPr>
          <w:rFonts w:ascii="Verdana" w:hAnsi="Verdana"/>
          <w:sz w:val="20"/>
          <w:szCs w:val="20"/>
          <w:lang w:val="es-CR"/>
        </w:rPr>
        <w:t>s</w:t>
      </w:r>
      <w:r w:rsidR="00AC6043" w:rsidRPr="00AC6043">
        <w:rPr>
          <w:rFonts w:ascii="Verdana" w:hAnsi="Verdana"/>
          <w:sz w:val="20"/>
          <w:szCs w:val="20"/>
          <w:lang w:val="es-CR"/>
        </w:rPr>
        <w:t xml:space="preserve"> 137 a 148</w:t>
      </w:r>
      <w:r w:rsidRPr="00AC6043">
        <w:rPr>
          <w:rFonts w:ascii="Verdana" w:hAnsi="Verdana"/>
          <w:sz w:val="20"/>
          <w:szCs w:val="20"/>
          <w:lang w:val="es-CR"/>
        </w:rPr>
        <w:t xml:space="preserve">) </w:t>
      </w:r>
      <w:r w:rsidRPr="002349DE">
        <w:rPr>
          <w:rFonts w:ascii="Verdana" w:hAnsi="Verdana"/>
          <w:sz w:val="20"/>
          <w:szCs w:val="20"/>
          <w:lang w:val="es-CR"/>
        </w:rPr>
        <w:t xml:space="preserve">al valorar los obstáculos comunes para el cumplimiento de su obligación de investigar los hechos de los 12 casos. </w:t>
      </w:r>
    </w:p>
    <w:p w14:paraId="0F026288" w14:textId="77777777" w:rsidR="00320559" w:rsidRPr="0032068E" w:rsidRDefault="00320559" w:rsidP="00320559">
      <w:pPr>
        <w:pStyle w:val="ListParagraph"/>
        <w:rPr>
          <w:rFonts w:ascii="Verdana" w:hAnsi="Verdana"/>
          <w:sz w:val="20"/>
          <w:szCs w:val="20"/>
          <w:lang w:val="es-CR"/>
        </w:rPr>
      </w:pPr>
    </w:p>
    <w:p w14:paraId="698AAC1C" w14:textId="57F7BF0D" w:rsidR="00320559" w:rsidRPr="0032068E" w:rsidRDefault="00A11C59" w:rsidP="00320559">
      <w:pPr>
        <w:pStyle w:val="ListParagraph"/>
        <w:numPr>
          <w:ilvl w:val="0"/>
          <w:numId w:val="2"/>
        </w:numPr>
        <w:spacing w:after="0" w:line="240" w:lineRule="auto"/>
        <w:ind w:left="0" w:right="1444" w:firstLine="0"/>
        <w:jc w:val="both"/>
        <w:rPr>
          <w:rFonts w:ascii="Verdana" w:hAnsi="Verdana"/>
          <w:sz w:val="20"/>
          <w:szCs w:val="20"/>
          <w:lang w:val="es-CR"/>
        </w:rPr>
      </w:pPr>
      <w:r>
        <w:rPr>
          <w:rFonts w:ascii="Verdana" w:hAnsi="Verdana"/>
          <w:sz w:val="20"/>
          <w:szCs w:val="20"/>
          <w:lang w:val="es-CR"/>
        </w:rPr>
        <w:t>H</w:t>
      </w:r>
      <w:r w:rsidR="00320559" w:rsidRPr="0032068E">
        <w:rPr>
          <w:rFonts w:ascii="Verdana" w:hAnsi="Verdana"/>
          <w:sz w:val="20"/>
          <w:szCs w:val="20"/>
          <w:lang w:val="es-CR"/>
        </w:rPr>
        <w:t xml:space="preserve">an transcurrido aproximadamente 23 años desde los hechos </w:t>
      </w:r>
      <w:r w:rsidR="00136FFA">
        <w:rPr>
          <w:rFonts w:ascii="Verdana" w:hAnsi="Verdana"/>
          <w:sz w:val="20"/>
          <w:szCs w:val="20"/>
          <w:lang w:val="es-CR"/>
        </w:rPr>
        <w:t>que debían ser investigados</w:t>
      </w:r>
      <w:r w:rsidR="00320559" w:rsidRPr="0032068E">
        <w:rPr>
          <w:rFonts w:ascii="Verdana" w:hAnsi="Verdana"/>
          <w:sz w:val="20"/>
          <w:szCs w:val="20"/>
          <w:lang w:val="es-CR"/>
        </w:rPr>
        <w:t>, y 13 años desde que se dictó la Sentencia, sin que se conozca el paradero del señor Bámaca Velásquez o sus restos</w:t>
      </w:r>
      <w:r w:rsidR="00140EF1">
        <w:rPr>
          <w:rFonts w:ascii="Verdana" w:hAnsi="Verdana"/>
          <w:sz w:val="20"/>
          <w:szCs w:val="20"/>
          <w:lang w:val="es-CR"/>
        </w:rPr>
        <w:t xml:space="preserve"> hayan sido identificados y entregados a sus familiares</w:t>
      </w:r>
      <w:r w:rsidR="0072063A">
        <w:rPr>
          <w:rFonts w:ascii="Verdana" w:hAnsi="Verdana"/>
          <w:sz w:val="20"/>
          <w:szCs w:val="20"/>
          <w:lang w:val="es-CR"/>
        </w:rPr>
        <w:t>;</w:t>
      </w:r>
      <w:r w:rsidR="00320559" w:rsidRPr="0032068E">
        <w:rPr>
          <w:rFonts w:ascii="Verdana" w:hAnsi="Verdana"/>
          <w:sz w:val="20"/>
          <w:szCs w:val="20"/>
          <w:lang w:val="es-CR"/>
        </w:rPr>
        <w:t xml:space="preserve"> los procesos judiciales señalados se encuentran aún en etapa preparatoria, y que las diligencias realizadas por el Estado no evidencian un avance sustancial en la investigación, ni una propuesta sobre cómo levantarán los obstáculos que han impedido la continuación de los procesos judiciales iniciados en contra de los imputados por los hechos correspondientes al presente caso. </w:t>
      </w:r>
    </w:p>
    <w:p w14:paraId="07F98A90" w14:textId="77777777" w:rsidR="00320559" w:rsidRPr="0032068E" w:rsidRDefault="00320559" w:rsidP="00320559">
      <w:pPr>
        <w:pStyle w:val="ListParagraph"/>
        <w:rPr>
          <w:rFonts w:ascii="Verdana" w:hAnsi="Verdana"/>
          <w:sz w:val="20"/>
          <w:szCs w:val="20"/>
          <w:lang w:val="es-CR"/>
        </w:rPr>
      </w:pPr>
    </w:p>
    <w:p w14:paraId="0B45685E" w14:textId="407368A7" w:rsidR="00320559" w:rsidRPr="00285E07" w:rsidRDefault="00320559" w:rsidP="00320559">
      <w:pPr>
        <w:pStyle w:val="ListParagraph"/>
        <w:numPr>
          <w:ilvl w:val="0"/>
          <w:numId w:val="2"/>
        </w:numPr>
        <w:spacing w:after="0" w:line="240" w:lineRule="auto"/>
        <w:ind w:left="0" w:right="1444" w:firstLine="0"/>
        <w:jc w:val="both"/>
        <w:rPr>
          <w:rFonts w:ascii="Verdana" w:hAnsi="Verdana"/>
          <w:sz w:val="20"/>
          <w:szCs w:val="20"/>
          <w:lang w:val="es-CR"/>
        </w:rPr>
      </w:pPr>
      <w:bookmarkStart w:id="74" w:name="_Ref437964364"/>
      <w:r w:rsidRPr="00285E07">
        <w:rPr>
          <w:rFonts w:ascii="Verdana" w:hAnsi="Verdana"/>
          <w:sz w:val="20"/>
          <w:szCs w:val="20"/>
          <w:lang w:val="es-CR"/>
        </w:rPr>
        <w:t>Por las razones antedichas, la Corte requiere al Estado que acredite información detallada e individualizada sobre los procesos seguidos en contra de los imputados en</w:t>
      </w:r>
      <w:r w:rsidR="00285E07" w:rsidRPr="00285E07">
        <w:rPr>
          <w:rFonts w:ascii="Verdana" w:hAnsi="Verdana"/>
          <w:sz w:val="20"/>
          <w:szCs w:val="20"/>
          <w:lang w:val="es-CR"/>
        </w:rPr>
        <w:t xml:space="preserve"> el presente caso, y que indique</w:t>
      </w:r>
      <w:r w:rsidRPr="00285E07">
        <w:rPr>
          <w:rFonts w:ascii="Verdana" w:hAnsi="Verdana"/>
          <w:sz w:val="20"/>
          <w:szCs w:val="20"/>
          <w:lang w:val="es-CR"/>
        </w:rPr>
        <w:t xml:space="preserve"> cómo eliminará los obstáculos señalados que dificultan la investigación de los hechos correspondientes. En particular, que indique </w:t>
      </w:r>
      <w:r w:rsidR="00916934" w:rsidRPr="00285E07">
        <w:rPr>
          <w:rFonts w:ascii="Verdana" w:hAnsi="Verdana"/>
          <w:sz w:val="20"/>
          <w:szCs w:val="20"/>
          <w:lang w:val="es-CR"/>
        </w:rPr>
        <w:t xml:space="preserve">si se retomaron las investigaciones del caso suspendidas por </w:t>
      </w:r>
      <w:r w:rsidR="00214ED7" w:rsidRPr="00285E07">
        <w:rPr>
          <w:rFonts w:ascii="Verdana" w:hAnsi="Verdana"/>
          <w:sz w:val="20"/>
          <w:szCs w:val="20"/>
          <w:lang w:val="es-CR"/>
        </w:rPr>
        <w:t>las decisiones</w:t>
      </w:r>
      <w:r w:rsidR="00916934" w:rsidRPr="00285E07">
        <w:rPr>
          <w:rFonts w:ascii="Verdana" w:hAnsi="Verdana"/>
          <w:sz w:val="20"/>
          <w:szCs w:val="20"/>
          <w:lang w:val="es-CR"/>
        </w:rPr>
        <w:t xml:space="preserve"> de la Corte de Constitucionalidad de Guatemala </w:t>
      </w:r>
      <w:r w:rsidR="00214ED7" w:rsidRPr="00285E07">
        <w:rPr>
          <w:rFonts w:ascii="Verdana" w:hAnsi="Verdana"/>
          <w:sz w:val="20"/>
          <w:szCs w:val="20"/>
          <w:lang w:val="es-CR"/>
        </w:rPr>
        <w:t>de agosto de</w:t>
      </w:r>
      <w:r w:rsidR="00916934" w:rsidRPr="00285E07">
        <w:rPr>
          <w:rFonts w:ascii="Verdana" w:hAnsi="Verdana"/>
          <w:sz w:val="20"/>
          <w:szCs w:val="20"/>
          <w:lang w:val="es-CR"/>
        </w:rPr>
        <w:t xml:space="preserve"> 2010</w:t>
      </w:r>
      <w:r w:rsidR="00214ED7" w:rsidRPr="00285E07">
        <w:rPr>
          <w:rFonts w:ascii="Verdana" w:hAnsi="Verdana"/>
          <w:sz w:val="20"/>
          <w:szCs w:val="20"/>
          <w:lang w:val="es-CR"/>
        </w:rPr>
        <w:t xml:space="preserve"> y abril de 2011 (</w:t>
      </w:r>
      <w:r w:rsidR="00214ED7" w:rsidRPr="00285E07">
        <w:rPr>
          <w:rFonts w:ascii="Verdana" w:hAnsi="Verdana"/>
          <w:i/>
          <w:sz w:val="20"/>
          <w:szCs w:val="20"/>
          <w:lang w:val="es-CR"/>
        </w:rPr>
        <w:t>supra</w:t>
      </w:r>
      <w:r w:rsidR="00214ED7" w:rsidRPr="00285E07">
        <w:rPr>
          <w:rFonts w:ascii="Verdana" w:hAnsi="Verdana"/>
          <w:sz w:val="20"/>
          <w:szCs w:val="20"/>
          <w:lang w:val="es-CR"/>
        </w:rPr>
        <w:t xml:space="preserve"> Considerandos 64 y 68)</w:t>
      </w:r>
      <w:r w:rsidR="00916934" w:rsidRPr="00285E07">
        <w:rPr>
          <w:rFonts w:ascii="Verdana" w:hAnsi="Verdana"/>
          <w:sz w:val="20"/>
          <w:szCs w:val="20"/>
          <w:lang w:val="es-CR"/>
        </w:rPr>
        <w:t>.</w:t>
      </w:r>
      <w:bookmarkEnd w:id="74"/>
    </w:p>
    <w:p w14:paraId="4D1D783C" w14:textId="77777777" w:rsidR="004A1EFC" w:rsidRPr="0032068E" w:rsidRDefault="004A1EFC" w:rsidP="00320559">
      <w:pPr>
        <w:pStyle w:val="ListParagraph"/>
        <w:spacing w:after="0" w:line="240" w:lineRule="auto"/>
        <w:ind w:left="0" w:right="1444"/>
        <w:jc w:val="both"/>
        <w:rPr>
          <w:rFonts w:ascii="Verdana" w:hAnsi="Verdana"/>
          <w:sz w:val="20"/>
          <w:szCs w:val="20"/>
          <w:lang w:val="es-CR"/>
        </w:rPr>
      </w:pPr>
    </w:p>
    <w:p w14:paraId="1EEAE28E" w14:textId="77777777" w:rsidR="00320559" w:rsidRPr="0032068E" w:rsidRDefault="00320559" w:rsidP="00AD5701">
      <w:pPr>
        <w:pStyle w:val="Heading3"/>
      </w:pPr>
      <w:bookmarkStart w:id="75" w:name="_Toc435778530"/>
      <w:bookmarkStart w:id="76" w:name="_Toc439248788"/>
      <w:r w:rsidRPr="0032068E">
        <w:t>Caso Mack Chang</w:t>
      </w:r>
      <w:bookmarkEnd w:id="75"/>
      <w:bookmarkEnd w:id="76"/>
    </w:p>
    <w:p w14:paraId="340228B2" w14:textId="77777777" w:rsidR="00320559" w:rsidRPr="0032068E" w:rsidRDefault="00320559" w:rsidP="00320559">
      <w:pPr>
        <w:pStyle w:val="ListParagraph"/>
        <w:spacing w:after="0" w:line="240" w:lineRule="auto"/>
        <w:ind w:left="1080" w:right="1444"/>
        <w:jc w:val="both"/>
        <w:rPr>
          <w:rFonts w:ascii="Verdana" w:hAnsi="Verdana"/>
          <w:sz w:val="20"/>
          <w:szCs w:val="20"/>
          <w:lang w:val="es-CR"/>
        </w:rPr>
      </w:pPr>
    </w:p>
    <w:p w14:paraId="35A77282" w14:textId="197E1612" w:rsidR="008D354C" w:rsidRPr="008D354C" w:rsidRDefault="00285E07" w:rsidP="00320559">
      <w:pPr>
        <w:numPr>
          <w:ilvl w:val="0"/>
          <w:numId w:val="2"/>
        </w:numPr>
        <w:spacing w:after="0" w:line="240" w:lineRule="auto"/>
        <w:ind w:left="0" w:right="1444" w:firstLine="0"/>
        <w:contextualSpacing/>
        <w:jc w:val="both"/>
        <w:rPr>
          <w:rFonts w:ascii="Verdana" w:hAnsi="Verdana" w:cs="Verdana"/>
          <w:sz w:val="20"/>
          <w:szCs w:val="20"/>
          <w:lang w:val="es-ES"/>
        </w:rPr>
      </w:pPr>
      <w:r>
        <w:rPr>
          <w:rFonts w:ascii="Verdana" w:hAnsi="Verdana" w:cs="Verdana"/>
          <w:sz w:val="20"/>
          <w:szCs w:val="20"/>
          <w:lang w:val="es-ES"/>
        </w:rPr>
        <w:t>La Corte constató</w:t>
      </w:r>
      <w:r w:rsidR="008D354C" w:rsidRPr="008D354C">
        <w:rPr>
          <w:rFonts w:ascii="Verdana" w:hAnsi="Verdana" w:cs="Verdana"/>
          <w:sz w:val="20"/>
          <w:szCs w:val="20"/>
          <w:lang w:val="es-ES"/>
        </w:rPr>
        <w:t xml:space="preserve"> en su Resolución del 2007 que</w:t>
      </w:r>
      <w:r w:rsidR="008D354C">
        <w:rPr>
          <w:rFonts w:ascii="Verdana" w:hAnsi="Verdana" w:cs="Verdana"/>
          <w:sz w:val="20"/>
          <w:szCs w:val="20"/>
          <w:lang w:val="es-ES"/>
        </w:rPr>
        <w:t>,</w:t>
      </w:r>
      <w:r w:rsidR="008D354C" w:rsidRPr="008D354C">
        <w:rPr>
          <w:rFonts w:ascii="Verdana" w:hAnsi="Verdana" w:cs="Verdana"/>
          <w:sz w:val="20"/>
          <w:szCs w:val="20"/>
          <w:lang w:val="es-ES"/>
        </w:rPr>
        <w:t xml:space="preserve"> como resultado de la investigación de los hechos relacionados con la ejecución extrajudicial de Myrna Mack Chang, el Estado </w:t>
      </w:r>
      <w:r w:rsidR="006011A2">
        <w:rPr>
          <w:rFonts w:ascii="Verdana" w:hAnsi="Verdana" w:cs="Verdana"/>
          <w:sz w:val="20"/>
          <w:szCs w:val="20"/>
          <w:lang w:val="es-ES"/>
        </w:rPr>
        <w:t>“</w:t>
      </w:r>
      <w:r w:rsidR="008D354C" w:rsidRPr="008D354C">
        <w:rPr>
          <w:rFonts w:ascii="Verdana" w:hAnsi="Verdana" w:cs="Verdana"/>
          <w:sz w:val="20"/>
          <w:szCs w:val="20"/>
          <w:lang w:val="es-ES"/>
        </w:rPr>
        <w:t>estableci</w:t>
      </w:r>
      <w:r w:rsidR="006011A2">
        <w:rPr>
          <w:rFonts w:ascii="Verdana" w:hAnsi="Verdana" w:cs="Verdana"/>
          <w:sz w:val="20"/>
          <w:szCs w:val="20"/>
          <w:lang w:val="es-ES"/>
        </w:rPr>
        <w:t>[</w:t>
      </w:r>
      <w:r w:rsidR="008D354C" w:rsidRPr="008D354C">
        <w:rPr>
          <w:rFonts w:ascii="Verdana" w:hAnsi="Verdana" w:cs="Verdana"/>
          <w:sz w:val="20"/>
          <w:szCs w:val="20"/>
          <w:lang w:val="es-ES"/>
        </w:rPr>
        <w:t>ó</w:t>
      </w:r>
      <w:r w:rsidR="006011A2">
        <w:rPr>
          <w:rFonts w:ascii="Verdana" w:hAnsi="Verdana" w:cs="Verdana"/>
          <w:sz w:val="20"/>
          <w:szCs w:val="20"/>
          <w:lang w:val="es-ES"/>
        </w:rPr>
        <w:t>]</w:t>
      </w:r>
      <w:r w:rsidR="008D354C" w:rsidRPr="008D354C">
        <w:rPr>
          <w:rFonts w:ascii="Verdana" w:hAnsi="Verdana" w:cs="Verdana"/>
          <w:sz w:val="20"/>
          <w:szCs w:val="20"/>
          <w:lang w:val="es-ES"/>
        </w:rPr>
        <w:t xml:space="preserve"> la responsabilidad penal de dos personas que participaron en ésta</w:t>
      </w:r>
      <w:r w:rsidR="006011A2">
        <w:rPr>
          <w:rFonts w:ascii="Verdana" w:hAnsi="Verdana" w:cs="Verdana"/>
          <w:sz w:val="20"/>
          <w:szCs w:val="20"/>
          <w:lang w:val="es-ES"/>
        </w:rPr>
        <w:t>”</w:t>
      </w:r>
      <w:r w:rsidR="008D354C">
        <w:rPr>
          <w:rStyle w:val="FootnoteReference"/>
          <w:rFonts w:ascii="Verdana" w:hAnsi="Verdana" w:cs="Verdana"/>
          <w:sz w:val="20"/>
          <w:szCs w:val="20"/>
          <w:lang w:val="es-ES"/>
        </w:rPr>
        <w:footnoteReference w:id="77"/>
      </w:r>
      <w:r w:rsidR="008D354C" w:rsidRPr="008D354C">
        <w:rPr>
          <w:rFonts w:ascii="Verdana" w:hAnsi="Verdana" w:cs="Verdana"/>
          <w:sz w:val="20"/>
          <w:szCs w:val="20"/>
          <w:lang w:val="es-ES"/>
        </w:rPr>
        <w:t xml:space="preserve">. En razón de ello, la Corte consideró </w:t>
      </w:r>
      <w:r w:rsidR="00DA2E38">
        <w:rPr>
          <w:rFonts w:ascii="Verdana" w:hAnsi="Verdana" w:cs="Verdana"/>
          <w:sz w:val="20"/>
          <w:szCs w:val="20"/>
          <w:lang w:val="es-ES"/>
        </w:rPr>
        <w:t xml:space="preserve">que el Estado había dado “cumplimiento parcial” a esta obligación puesto que “la investigación de los hechos de la ejecución de la señora Myrna Mack Chang </w:t>
      </w:r>
      <w:proofErr w:type="gramStart"/>
      <w:r w:rsidR="00DA2E38">
        <w:rPr>
          <w:rFonts w:ascii="Verdana" w:hAnsi="Verdana" w:cs="Verdana"/>
          <w:sz w:val="20"/>
          <w:szCs w:val="20"/>
          <w:lang w:val="es-ES"/>
        </w:rPr>
        <w:t>ha[</w:t>
      </w:r>
      <w:proofErr w:type="gramEnd"/>
      <w:r w:rsidR="00DA2E38">
        <w:rPr>
          <w:rFonts w:ascii="Verdana" w:hAnsi="Verdana" w:cs="Verdana"/>
          <w:sz w:val="20"/>
          <w:szCs w:val="20"/>
          <w:lang w:val="es-ES"/>
        </w:rPr>
        <w:t>bía] sido agotada”. A pesar de esta conside</w:t>
      </w:r>
      <w:r>
        <w:rPr>
          <w:rFonts w:ascii="Verdana" w:hAnsi="Verdana" w:cs="Verdana"/>
          <w:sz w:val="20"/>
          <w:szCs w:val="20"/>
          <w:lang w:val="es-ES"/>
        </w:rPr>
        <w:t>ración, la Corte hizo notar que</w:t>
      </w:r>
      <w:r w:rsidR="008D354C" w:rsidRPr="008D354C">
        <w:rPr>
          <w:rFonts w:ascii="Verdana" w:hAnsi="Verdana" w:cs="Verdana"/>
          <w:sz w:val="20"/>
          <w:szCs w:val="20"/>
          <w:lang w:val="es-ES"/>
        </w:rPr>
        <w:t xml:space="preserve"> una de las personas condenadas</w:t>
      </w:r>
      <w:r w:rsidR="00DA2E38">
        <w:rPr>
          <w:rFonts w:ascii="Verdana" w:hAnsi="Verdana" w:cs="Verdana"/>
          <w:sz w:val="20"/>
          <w:szCs w:val="20"/>
          <w:lang w:val="es-ES"/>
        </w:rPr>
        <w:t>, el señor Juan Valencia Osorio,</w:t>
      </w:r>
      <w:r w:rsidR="008D354C" w:rsidRPr="008D354C">
        <w:rPr>
          <w:rFonts w:ascii="Verdana" w:hAnsi="Verdana" w:cs="Verdana"/>
          <w:sz w:val="20"/>
          <w:szCs w:val="20"/>
          <w:lang w:val="es-ES"/>
        </w:rPr>
        <w:t xml:space="preserve"> se encontraba en fuga</w:t>
      </w:r>
      <w:r w:rsidR="00DA2E38">
        <w:rPr>
          <w:rFonts w:ascii="Verdana" w:hAnsi="Verdana" w:cs="Verdana"/>
          <w:sz w:val="20"/>
          <w:szCs w:val="20"/>
          <w:lang w:val="es-ES"/>
        </w:rPr>
        <w:t>, encontrándose pendiente su captura</w:t>
      </w:r>
      <w:r w:rsidR="008D354C" w:rsidRPr="0032068E">
        <w:rPr>
          <w:rStyle w:val="FootnoteReference"/>
          <w:rFonts w:ascii="Verdana" w:hAnsi="Verdana" w:cs="Verdana"/>
          <w:sz w:val="20"/>
          <w:szCs w:val="20"/>
          <w:lang w:val="es-ES"/>
        </w:rPr>
        <w:footnoteReference w:id="78"/>
      </w:r>
      <w:r w:rsidR="00DA2E38">
        <w:rPr>
          <w:rFonts w:ascii="Verdana" w:hAnsi="Verdana" w:cs="Verdana"/>
          <w:sz w:val="20"/>
          <w:szCs w:val="20"/>
          <w:lang w:val="es-ES"/>
        </w:rPr>
        <w:t>.</w:t>
      </w:r>
      <w:r w:rsidR="008D354C" w:rsidRPr="008D354C">
        <w:rPr>
          <w:rFonts w:ascii="Verdana" w:hAnsi="Verdana" w:cs="Verdana"/>
          <w:sz w:val="20"/>
          <w:szCs w:val="20"/>
          <w:lang w:val="es-ES"/>
        </w:rPr>
        <w:t xml:space="preserve"> Por tanto, se determinó que faltaban “realizar las diligencias pertinentes para hacer efectiva la captura</w:t>
      </w:r>
      <w:r>
        <w:rPr>
          <w:rFonts w:ascii="Verdana" w:hAnsi="Verdana" w:cs="Verdana"/>
          <w:sz w:val="20"/>
          <w:szCs w:val="20"/>
          <w:lang w:val="es-ES"/>
        </w:rPr>
        <w:t>”</w:t>
      </w:r>
      <w:r w:rsidR="008D354C" w:rsidRPr="008D354C">
        <w:rPr>
          <w:rFonts w:ascii="Verdana" w:hAnsi="Verdana" w:cs="Verdana"/>
          <w:sz w:val="20"/>
          <w:szCs w:val="20"/>
          <w:lang w:val="es-ES"/>
        </w:rPr>
        <w:t xml:space="preserve">, y que “[se] </w:t>
      </w:r>
      <w:proofErr w:type="gramStart"/>
      <w:r w:rsidR="008D354C" w:rsidRPr="008D354C">
        <w:rPr>
          <w:rFonts w:ascii="Verdana" w:hAnsi="Verdana" w:cs="Verdana"/>
          <w:sz w:val="20"/>
          <w:szCs w:val="20"/>
          <w:lang w:val="es-ES"/>
        </w:rPr>
        <w:t>considerar</w:t>
      </w:r>
      <w:r w:rsidR="00DA2E38">
        <w:rPr>
          <w:rFonts w:ascii="Verdana" w:hAnsi="Verdana" w:cs="Verdana"/>
          <w:sz w:val="20"/>
          <w:szCs w:val="20"/>
          <w:lang w:val="es-ES"/>
        </w:rPr>
        <w:t>[</w:t>
      </w:r>
      <w:proofErr w:type="gramEnd"/>
      <w:r w:rsidR="00DA2E38">
        <w:rPr>
          <w:rFonts w:ascii="Verdana" w:hAnsi="Verdana" w:cs="Verdana"/>
          <w:sz w:val="20"/>
          <w:szCs w:val="20"/>
          <w:lang w:val="es-ES"/>
        </w:rPr>
        <w:t>ía]</w:t>
      </w:r>
      <w:r w:rsidR="008D354C" w:rsidRPr="008D354C">
        <w:rPr>
          <w:rFonts w:ascii="Verdana" w:hAnsi="Verdana" w:cs="Verdana"/>
          <w:sz w:val="20"/>
          <w:szCs w:val="20"/>
          <w:lang w:val="es-ES"/>
        </w:rPr>
        <w:t xml:space="preserve"> el posible cierre del caso, una vez que [se] reciba la información pertinente sobre las medidas pendientes de cumplimiento”. Esto en tanto</w:t>
      </w:r>
      <w:r w:rsidR="005659E5">
        <w:rPr>
          <w:rFonts w:ascii="Verdana" w:hAnsi="Verdana" w:cs="Verdana"/>
          <w:sz w:val="20"/>
          <w:szCs w:val="20"/>
          <w:lang w:val="es-ES"/>
        </w:rPr>
        <w:t>,</w:t>
      </w:r>
      <w:r w:rsidR="008D354C" w:rsidRPr="008D354C">
        <w:rPr>
          <w:rFonts w:ascii="Verdana" w:hAnsi="Verdana" w:cs="Verdana"/>
          <w:sz w:val="20"/>
          <w:szCs w:val="20"/>
          <w:lang w:val="es-ES"/>
        </w:rPr>
        <w:t xml:space="preserve"> la Corte dispuso que “la falta de captura de los responsables, además de perpetuar la incertidumbre de riesgo de las víctimas, evidencia en este caso que el Estado no ha adoptado las medidas adecuadas para hacer valer sus propias decisiones”</w:t>
      </w:r>
      <w:r w:rsidR="008D354C" w:rsidRPr="008D354C">
        <w:rPr>
          <w:rStyle w:val="FootnoteReference"/>
          <w:rFonts w:ascii="Verdana" w:hAnsi="Verdana" w:cs="Verdana"/>
          <w:sz w:val="20"/>
          <w:szCs w:val="20"/>
          <w:lang w:val="es-ES"/>
        </w:rPr>
        <w:footnoteReference w:id="79"/>
      </w:r>
      <w:r w:rsidR="008D354C" w:rsidRPr="008D354C">
        <w:rPr>
          <w:rFonts w:ascii="Verdana" w:hAnsi="Verdana" w:cs="Verdana"/>
          <w:sz w:val="20"/>
          <w:szCs w:val="20"/>
          <w:lang w:val="es-ES"/>
        </w:rPr>
        <w:t>.</w:t>
      </w:r>
    </w:p>
    <w:p w14:paraId="1E55CD09" w14:textId="77777777" w:rsidR="008D354C" w:rsidRPr="0032068E" w:rsidRDefault="008D354C" w:rsidP="00320559">
      <w:pPr>
        <w:pStyle w:val="ListParagraph"/>
        <w:spacing w:after="0" w:line="240" w:lineRule="auto"/>
        <w:ind w:left="0" w:right="1444"/>
        <w:jc w:val="both"/>
        <w:rPr>
          <w:rFonts w:ascii="Verdana" w:hAnsi="Verdana"/>
          <w:sz w:val="20"/>
          <w:szCs w:val="20"/>
          <w:lang w:val="es-CR"/>
        </w:rPr>
      </w:pPr>
    </w:p>
    <w:p w14:paraId="4F8B500B" w14:textId="50A6DD38" w:rsidR="003A7CD5" w:rsidRDefault="00320559" w:rsidP="00607AEE">
      <w:pPr>
        <w:pStyle w:val="ListParagraph"/>
        <w:numPr>
          <w:ilvl w:val="0"/>
          <w:numId w:val="2"/>
        </w:numPr>
        <w:spacing w:after="0" w:line="240" w:lineRule="auto"/>
        <w:ind w:left="0" w:right="1444" w:firstLine="0"/>
        <w:jc w:val="both"/>
        <w:rPr>
          <w:rFonts w:ascii="Verdana" w:hAnsi="Verdana"/>
          <w:sz w:val="20"/>
          <w:szCs w:val="20"/>
          <w:lang w:val="es-CR"/>
        </w:rPr>
      </w:pPr>
      <w:bookmarkStart w:id="77" w:name="_Ref437867922"/>
      <w:r w:rsidRPr="0032068E">
        <w:rPr>
          <w:rFonts w:ascii="Verdana" w:hAnsi="Verdana"/>
          <w:sz w:val="20"/>
          <w:szCs w:val="20"/>
          <w:lang w:val="es-CR"/>
        </w:rPr>
        <w:t>Con base en el informe del Estado de abril de 2015, la Corte observa que las últimas actuaciones realizadas son</w:t>
      </w:r>
      <w:r w:rsidR="005659E5">
        <w:rPr>
          <w:rFonts w:ascii="Verdana" w:hAnsi="Verdana"/>
          <w:sz w:val="20"/>
          <w:szCs w:val="20"/>
          <w:lang w:val="es-CR"/>
        </w:rPr>
        <w:t>:</w:t>
      </w:r>
      <w:r w:rsidRPr="0032068E">
        <w:rPr>
          <w:rFonts w:ascii="Verdana" w:hAnsi="Verdana"/>
          <w:sz w:val="20"/>
          <w:szCs w:val="20"/>
          <w:lang w:val="es-CR"/>
        </w:rPr>
        <w:t xml:space="preserve"> a) dos diligencias realizadas en </w:t>
      </w:r>
      <w:r w:rsidR="005659E5">
        <w:rPr>
          <w:rFonts w:ascii="Verdana" w:hAnsi="Verdana"/>
          <w:sz w:val="20"/>
          <w:szCs w:val="20"/>
          <w:lang w:val="es-CR"/>
        </w:rPr>
        <w:t>junio y julio de</w:t>
      </w:r>
      <w:r w:rsidRPr="0032068E">
        <w:rPr>
          <w:rFonts w:ascii="Verdana" w:hAnsi="Verdana"/>
          <w:sz w:val="20"/>
          <w:szCs w:val="20"/>
          <w:lang w:val="es-CR"/>
        </w:rPr>
        <w:t xml:space="preserve"> 2011, en las que la entidad de Telecomunicaciones de Guatemala y el Ministerio de Gobernación informaron a la Fiscalía que habían sido negativos sus esfuerzos para localizar al señor Juan Valencia Osorio</w:t>
      </w:r>
      <w:r w:rsidR="005659E5">
        <w:rPr>
          <w:rFonts w:ascii="Verdana" w:hAnsi="Verdana"/>
          <w:sz w:val="20"/>
          <w:szCs w:val="20"/>
          <w:lang w:val="es-CR"/>
        </w:rPr>
        <w:t xml:space="preserve"> a efecto de ejecutar la orden de aprehensión en su contra;</w:t>
      </w:r>
      <w:r w:rsidRPr="0032068E">
        <w:rPr>
          <w:rFonts w:ascii="Verdana" w:hAnsi="Verdana"/>
          <w:b/>
          <w:sz w:val="20"/>
          <w:szCs w:val="20"/>
          <w:lang w:val="es-CR"/>
        </w:rPr>
        <w:t xml:space="preserve"> </w:t>
      </w:r>
      <w:r w:rsidRPr="0032068E">
        <w:rPr>
          <w:rFonts w:ascii="Verdana" w:hAnsi="Verdana"/>
          <w:sz w:val="20"/>
          <w:szCs w:val="20"/>
          <w:lang w:val="es-CR"/>
        </w:rPr>
        <w:t xml:space="preserve">b) una diligencia </w:t>
      </w:r>
      <w:r w:rsidR="00221FD0">
        <w:rPr>
          <w:rFonts w:ascii="Verdana" w:hAnsi="Verdana"/>
          <w:sz w:val="20"/>
          <w:szCs w:val="20"/>
          <w:lang w:val="es-CR"/>
        </w:rPr>
        <w:t>realizada</w:t>
      </w:r>
      <w:r w:rsidR="00221FD0" w:rsidRPr="0032068E">
        <w:rPr>
          <w:rFonts w:ascii="Verdana" w:hAnsi="Verdana"/>
          <w:sz w:val="20"/>
          <w:szCs w:val="20"/>
          <w:lang w:val="es-CR"/>
        </w:rPr>
        <w:t xml:space="preserve"> </w:t>
      </w:r>
      <w:r w:rsidRPr="0032068E">
        <w:rPr>
          <w:rFonts w:ascii="Verdana" w:hAnsi="Verdana"/>
          <w:sz w:val="20"/>
          <w:szCs w:val="20"/>
          <w:lang w:val="es-CR"/>
        </w:rPr>
        <w:t xml:space="preserve">en </w:t>
      </w:r>
      <w:r w:rsidR="00221FD0">
        <w:rPr>
          <w:rFonts w:ascii="Verdana" w:hAnsi="Verdana"/>
          <w:sz w:val="20"/>
          <w:szCs w:val="20"/>
          <w:lang w:val="es-CR"/>
        </w:rPr>
        <w:t>diciembre de</w:t>
      </w:r>
      <w:r w:rsidRPr="0032068E">
        <w:rPr>
          <w:rFonts w:ascii="Verdana" w:hAnsi="Verdana"/>
          <w:sz w:val="20"/>
          <w:szCs w:val="20"/>
          <w:lang w:val="es-CR"/>
        </w:rPr>
        <w:t xml:space="preserve"> 2012 por la Dirección de Investigaciones Criminalísticas del Ministerio Público, mediante la cual se apersonaron en la residencia del señor Juan Valencia Osorio</w:t>
      </w:r>
      <w:r w:rsidR="00221FD0">
        <w:rPr>
          <w:rStyle w:val="FootnoteReference"/>
          <w:rFonts w:ascii="Verdana" w:hAnsi="Verdana"/>
          <w:sz w:val="20"/>
          <w:szCs w:val="20"/>
          <w:lang w:val="es-CR"/>
        </w:rPr>
        <w:footnoteReference w:id="80"/>
      </w:r>
      <w:r w:rsidRPr="0032068E">
        <w:rPr>
          <w:rFonts w:ascii="Verdana" w:hAnsi="Verdana"/>
          <w:sz w:val="20"/>
          <w:szCs w:val="20"/>
          <w:lang w:val="es-CR"/>
        </w:rPr>
        <w:t>, entre otr</w:t>
      </w:r>
      <w:r w:rsidR="00221FD0">
        <w:rPr>
          <w:rFonts w:ascii="Verdana" w:hAnsi="Verdana"/>
          <w:sz w:val="20"/>
          <w:szCs w:val="20"/>
          <w:lang w:val="es-CR"/>
        </w:rPr>
        <w:t>a</w:t>
      </w:r>
      <w:r w:rsidRPr="0032068E">
        <w:rPr>
          <w:rFonts w:ascii="Verdana" w:hAnsi="Verdana"/>
          <w:sz w:val="20"/>
          <w:szCs w:val="20"/>
          <w:lang w:val="es-CR"/>
        </w:rPr>
        <w:t xml:space="preserve">s </w:t>
      </w:r>
      <w:r w:rsidR="00221FD0">
        <w:rPr>
          <w:rFonts w:ascii="Verdana" w:hAnsi="Verdana"/>
          <w:sz w:val="20"/>
          <w:szCs w:val="20"/>
          <w:lang w:val="es-CR"/>
        </w:rPr>
        <w:t>dependencias</w:t>
      </w:r>
      <w:r w:rsidRPr="0032068E">
        <w:rPr>
          <w:rFonts w:ascii="Verdana" w:hAnsi="Verdana"/>
          <w:sz w:val="20"/>
          <w:szCs w:val="20"/>
          <w:lang w:val="es-CR"/>
        </w:rPr>
        <w:t>, con resultado negativo</w:t>
      </w:r>
      <w:r w:rsidR="000E5997">
        <w:rPr>
          <w:rFonts w:ascii="Verdana" w:hAnsi="Verdana"/>
          <w:sz w:val="20"/>
          <w:szCs w:val="20"/>
          <w:lang w:val="es-CR"/>
        </w:rPr>
        <w:t xml:space="preserve"> para su captura, pero en las cuales se habrían obtenido más datos para poder localizarlo</w:t>
      </w:r>
      <w:r w:rsidRPr="0032068E">
        <w:rPr>
          <w:rFonts w:ascii="Verdana" w:hAnsi="Verdana"/>
          <w:sz w:val="20"/>
          <w:szCs w:val="20"/>
          <w:lang w:val="es-CR"/>
        </w:rPr>
        <w:t>; y c) una solicitud</w:t>
      </w:r>
      <w:r w:rsidR="00272054">
        <w:rPr>
          <w:rFonts w:ascii="Verdana" w:hAnsi="Verdana"/>
          <w:sz w:val="20"/>
          <w:szCs w:val="20"/>
          <w:lang w:val="es-CR"/>
        </w:rPr>
        <w:t xml:space="preserve"> </w:t>
      </w:r>
      <w:r w:rsidR="000E5997">
        <w:rPr>
          <w:rFonts w:ascii="Verdana" w:hAnsi="Verdana"/>
          <w:sz w:val="20"/>
          <w:szCs w:val="20"/>
          <w:lang w:val="es-CR"/>
        </w:rPr>
        <w:t xml:space="preserve"> presentada en diciembre</w:t>
      </w:r>
      <w:r w:rsidR="00272054">
        <w:rPr>
          <w:rFonts w:ascii="Verdana" w:hAnsi="Verdana"/>
          <w:sz w:val="20"/>
          <w:szCs w:val="20"/>
          <w:lang w:val="es-CR"/>
        </w:rPr>
        <w:t xml:space="preserve"> </w:t>
      </w:r>
      <w:r w:rsidR="00003AF7">
        <w:rPr>
          <w:rFonts w:ascii="Verdana" w:hAnsi="Verdana"/>
          <w:sz w:val="20"/>
          <w:szCs w:val="20"/>
          <w:lang w:val="es-CR"/>
        </w:rPr>
        <w:t xml:space="preserve">de </w:t>
      </w:r>
      <w:r w:rsidR="00272054">
        <w:rPr>
          <w:rFonts w:ascii="Verdana" w:hAnsi="Verdana"/>
          <w:sz w:val="20"/>
          <w:szCs w:val="20"/>
          <w:lang w:val="es-CR"/>
        </w:rPr>
        <w:t>2013</w:t>
      </w:r>
      <w:r w:rsidRPr="0032068E">
        <w:rPr>
          <w:rFonts w:ascii="Verdana" w:hAnsi="Verdana"/>
          <w:sz w:val="20"/>
          <w:szCs w:val="20"/>
          <w:lang w:val="es-CR"/>
        </w:rPr>
        <w:t xml:space="preserve"> ante </w:t>
      </w:r>
      <w:r w:rsidR="000E5997">
        <w:rPr>
          <w:rFonts w:ascii="Verdana" w:hAnsi="Verdana"/>
          <w:sz w:val="20"/>
          <w:szCs w:val="20"/>
          <w:lang w:val="es-CR"/>
        </w:rPr>
        <w:t>el</w:t>
      </w:r>
      <w:r w:rsidR="000E5997" w:rsidRPr="0032068E">
        <w:rPr>
          <w:rFonts w:ascii="Verdana" w:hAnsi="Verdana"/>
          <w:sz w:val="20"/>
          <w:szCs w:val="20"/>
          <w:lang w:val="es-CR"/>
        </w:rPr>
        <w:t xml:space="preserve"> </w:t>
      </w:r>
      <w:r w:rsidRPr="0032068E">
        <w:rPr>
          <w:rFonts w:ascii="Verdana" w:hAnsi="Verdana"/>
          <w:sz w:val="20"/>
          <w:szCs w:val="20"/>
          <w:lang w:val="es-CR"/>
        </w:rPr>
        <w:t>Juzgado</w:t>
      </w:r>
      <w:r w:rsidR="000E5997">
        <w:rPr>
          <w:rFonts w:ascii="Verdana" w:hAnsi="Verdana"/>
          <w:sz w:val="20"/>
          <w:szCs w:val="20"/>
          <w:lang w:val="es-CR"/>
        </w:rPr>
        <w:t xml:space="preserve"> Noveno de Primera Instancia Penal, Narcoactividad y Delitos contra el Ambiente con el fin de</w:t>
      </w:r>
      <w:r w:rsidRPr="0032068E">
        <w:rPr>
          <w:rFonts w:ascii="Verdana" w:hAnsi="Verdana"/>
          <w:sz w:val="20"/>
          <w:szCs w:val="20"/>
          <w:lang w:val="es-CR"/>
        </w:rPr>
        <w:t xml:space="preserve"> reiterar la orden de aprehensión en contra del mencionado imputado</w:t>
      </w:r>
      <w:r w:rsidRPr="00967B39">
        <w:rPr>
          <w:rFonts w:ascii="Verdana" w:hAnsi="Verdana"/>
          <w:sz w:val="20"/>
          <w:szCs w:val="20"/>
          <w:lang w:val="es-CR"/>
        </w:rPr>
        <w:t>.</w:t>
      </w:r>
      <w:r w:rsidRPr="0032068E">
        <w:rPr>
          <w:rFonts w:ascii="Verdana" w:hAnsi="Verdana"/>
          <w:b/>
          <w:sz w:val="20"/>
          <w:szCs w:val="20"/>
          <w:lang w:val="es-CR"/>
        </w:rPr>
        <w:t xml:space="preserve"> </w:t>
      </w:r>
      <w:r w:rsidR="000E5997" w:rsidRPr="0032068E">
        <w:rPr>
          <w:rFonts w:ascii="Verdana" w:hAnsi="Verdana"/>
          <w:sz w:val="20"/>
          <w:szCs w:val="20"/>
          <w:lang w:val="es-CR"/>
        </w:rPr>
        <w:t>Aunado a ello, en su informe de octubre de 2015, el Estado identificó tres solicitudes de información dirigidas a</w:t>
      </w:r>
      <w:r w:rsidR="000E5997">
        <w:rPr>
          <w:rFonts w:ascii="Verdana" w:hAnsi="Verdana"/>
          <w:sz w:val="20"/>
          <w:szCs w:val="20"/>
          <w:lang w:val="es-CR"/>
        </w:rPr>
        <w:t>: a)</w:t>
      </w:r>
      <w:r w:rsidR="000E5997" w:rsidRPr="0032068E">
        <w:rPr>
          <w:rFonts w:ascii="Verdana" w:hAnsi="Verdana"/>
          <w:sz w:val="20"/>
          <w:szCs w:val="20"/>
          <w:lang w:val="es-CR"/>
        </w:rPr>
        <w:t xml:space="preserve"> la Dirección de Investigaciones Criminalísticas</w:t>
      </w:r>
      <w:r w:rsidR="000E5997">
        <w:rPr>
          <w:rFonts w:ascii="Verdana" w:hAnsi="Verdana"/>
          <w:sz w:val="20"/>
          <w:szCs w:val="20"/>
          <w:lang w:val="es-CR"/>
        </w:rPr>
        <w:t xml:space="preserve"> del Ministerio Público para investigar el paradero del señor Valencia Osorio</w:t>
      </w:r>
      <w:r w:rsidR="000E5997" w:rsidRPr="0032068E">
        <w:rPr>
          <w:rFonts w:ascii="Verdana" w:hAnsi="Verdana"/>
          <w:sz w:val="20"/>
          <w:szCs w:val="20"/>
          <w:lang w:val="es-CR"/>
        </w:rPr>
        <w:t xml:space="preserve">, </w:t>
      </w:r>
      <w:r w:rsidR="000E5997">
        <w:rPr>
          <w:rFonts w:ascii="Verdana" w:hAnsi="Verdana"/>
          <w:sz w:val="20"/>
          <w:szCs w:val="20"/>
          <w:lang w:val="es-CR"/>
        </w:rPr>
        <w:t>b)</w:t>
      </w:r>
      <w:r w:rsidR="000E5997" w:rsidRPr="0032068E">
        <w:rPr>
          <w:rFonts w:ascii="Verdana" w:hAnsi="Verdana"/>
          <w:sz w:val="20"/>
          <w:szCs w:val="20"/>
          <w:lang w:val="es-CR"/>
        </w:rPr>
        <w:t xml:space="preserve"> la Dirección General de Migración </w:t>
      </w:r>
      <w:r w:rsidR="000E5997">
        <w:rPr>
          <w:rFonts w:ascii="Verdana" w:hAnsi="Verdana"/>
          <w:sz w:val="20"/>
          <w:szCs w:val="20"/>
          <w:lang w:val="es-CR"/>
        </w:rPr>
        <w:t xml:space="preserve">en relación con el movimiento migratorio de éste, </w:t>
      </w:r>
      <w:r w:rsidR="000E5997" w:rsidRPr="0032068E">
        <w:rPr>
          <w:rFonts w:ascii="Verdana" w:hAnsi="Verdana"/>
          <w:sz w:val="20"/>
          <w:szCs w:val="20"/>
          <w:lang w:val="es-CR"/>
        </w:rPr>
        <w:t xml:space="preserve">y </w:t>
      </w:r>
      <w:r w:rsidR="000E5997">
        <w:rPr>
          <w:rFonts w:ascii="Verdana" w:hAnsi="Verdana"/>
          <w:sz w:val="20"/>
          <w:szCs w:val="20"/>
          <w:lang w:val="es-CR"/>
        </w:rPr>
        <w:t>c)</w:t>
      </w:r>
      <w:r w:rsidR="000E5997" w:rsidRPr="0032068E">
        <w:rPr>
          <w:rFonts w:ascii="Verdana" w:hAnsi="Verdana"/>
          <w:sz w:val="20"/>
          <w:szCs w:val="20"/>
          <w:lang w:val="es-CR"/>
        </w:rPr>
        <w:t xml:space="preserve"> INTERPOL</w:t>
      </w:r>
      <w:r w:rsidR="000E5997">
        <w:rPr>
          <w:rFonts w:ascii="Verdana" w:hAnsi="Verdana"/>
          <w:sz w:val="20"/>
          <w:szCs w:val="20"/>
          <w:lang w:val="es-CR"/>
        </w:rPr>
        <w:t xml:space="preserve"> Guatemala respecto de la or</w:t>
      </w:r>
      <w:r w:rsidR="00397A65">
        <w:rPr>
          <w:rFonts w:ascii="Verdana" w:hAnsi="Verdana"/>
          <w:sz w:val="20"/>
          <w:szCs w:val="20"/>
          <w:lang w:val="es-CR"/>
        </w:rPr>
        <w:t>den de captura internacional</w:t>
      </w:r>
      <w:r w:rsidR="00607AEE">
        <w:rPr>
          <w:rStyle w:val="FootnoteReference"/>
          <w:rFonts w:ascii="Verdana" w:hAnsi="Verdana"/>
          <w:sz w:val="20"/>
          <w:szCs w:val="20"/>
          <w:lang w:val="es-CR"/>
        </w:rPr>
        <w:footnoteReference w:id="81"/>
      </w:r>
      <w:r w:rsidR="00607AEE">
        <w:rPr>
          <w:rFonts w:ascii="Verdana" w:hAnsi="Verdana"/>
          <w:sz w:val="20"/>
          <w:szCs w:val="20"/>
          <w:lang w:val="es-CR"/>
        </w:rPr>
        <w:t>.</w:t>
      </w:r>
      <w:r w:rsidR="000E5997" w:rsidRPr="0032068E">
        <w:rPr>
          <w:rFonts w:ascii="Verdana" w:hAnsi="Verdana"/>
          <w:sz w:val="20"/>
          <w:szCs w:val="20"/>
          <w:lang w:val="es-CR"/>
        </w:rPr>
        <w:t xml:space="preserve"> </w:t>
      </w:r>
      <w:r w:rsidR="00607AEE" w:rsidRPr="0032068E">
        <w:rPr>
          <w:rFonts w:ascii="Verdana" w:hAnsi="Verdana"/>
          <w:sz w:val="20"/>
          <w:szCs w:val="20"/>
          <w:lang w:val="es-CR"/>
        </w:rPr>
        <w:t xml:space="preserve">Al respecto, los representantes </w:t>
      </w:r>
      <w:r w:rsidR="00352EA1">
        <w:rPr>
          <w:rFonts w:ascii="Verdana" w:hAnsi="Verdana"/>
          <w:sz w:val="20"/>
          <w:szCs w:val="20"/>
          <w:lang w:val="es-CR"/>
        </w:rPr>
        <w:t xml:space="preserve">consideraron </w:t>
      </w:r>
      <w:r w:rsidR="00434559">
        <w:rPr>
          <w:rFonts w:ascii="Verdana" w:hAnsi="Verdana"/>
          <w:sz w:val="20"/>
          <w:szCs w:val="20"/>
          <w:lang w:val="es-CR"/>
        </w:rPr>
        <w:t xml:space="preserve">que </w:t>
      </w:r>
      <w:r w:rsidR="00607AEE" w:rsidRPr="0032068E">
        <w:rPr>
          <w:rFonts w:ascii="Verdana" w:hAnsi="Verdana"/>
          <w:sz w:val="20"/>
          <w:szCs w:val="20"/>
          <w:lang w:val="es-CR"/>
        </w:rPr>
        <w:t xml:space="preserve">la información presentada </w:t>
      </w:r>
      <w:r w:rsidR="00352EA1">
        <w:rPr>
          <w:rFonts w:ascii="Verdana" w:hAnsi="Verdana"/>
          <w:sz w:val="20"/>
          <w:szCs w:val="20"/>
          <w:lang w:val="es-CR"/>
        </w:rPr>
        <w:lastRenderedPageBreak/>
        <w:t xml:space="preserve">por el Estado </w:t>
      </w:r>
      <w:r w:rsidR="00607AEE" w:rsidRPr="0032068E">
        <w:rPr>
          <w:rFonts w:ascii="Verdana" w:hAnsi="Verdana"/>
          <w:sz w:val="20"/>
          <w:szCs w:val="20"/>
          <w:lang w:val="es-CR"/>
        </w:rPr>
        <w:t>“no representa un esfuerzo real y serio para dar cumplimiento a la obligación de sancionar a todos los autores materiales e intelectuales de la ejecución extrajudicial de Myrna Mack”</w:t>
      </w:r>
      <w:r w:rsidR="00352EA1">
        <w:rPr>
          <w:rFonts w:ascii="Verdana" w:hAnsi="Verdana"/>
          <w:sz w:val="20"/>
          <w:szCs w:val="20"/>
          <w:lang w:val="es-CR"/>
        </w:rPr>
        <w:t xml:space="preserve">. Agregaron que las acciones informadas por Guatemala son “mínimas e iniciales” y muestran la “falta de interés y negligencia frente a la obligación de sancionar al [señor Osorio Valencia,] autor intelectual de la ejecución extrajudicial”. Por su parte, la Comisión sostuvo que “la falta de captura de los responsables </w:t>
      </w:r>
      <w:r w:rsidR="00607AEE" w:rsidRPr="0032068E">
        <w:rPr>
          <w:rFonts w:ascii="Verdana" w:hAnsi="Verdana"/>
          <w:sz w:val="20"/>
          <w:szCs w:val="20"/>
          <w:lang w:val="es-CR"/>
        </w:rPr>
        <w:t>perpetúa la incertidumbre de riesgo de las víctimas</w:t>
      </w:r>
      <w:r w:rsidR="00352EA1">
        <w:rPr>
          <w:rFonts w:ascii="Verdana" w:hAnsi="Verdana"/>
          <w:sz w:val="20"/>
          <w:szCs w:val="20"/>
          <w:lang w:val="es-CR"/>
        </w:rPr>
        <w:t>”</w:t>
      </w:r>
      <w:r w:rsidR="00B86070">
        <w:rPr>
          <w:rFonts w:ascii="Verdana" w:hAnsi="Verdana"/>
          <w:sz w:val="20"/>
          <w:szCs w:val="20"/>
          <w:lang w:val="es-CR"/>
        </w:rPr>
        <w:t xml:space="preserve"> y que el Estado no ha informado sobre su plan para “lograr la condena efectiva de la totalidad de personas que resulten responsables” de los hechos de este caso</w:t>
      </w:r>
      <w:r w:rsidR="000E5997" w:rsidRPr="00352EA1">
        <w:rPr>
          <w:rFonts w:ascii="Verdana" w:hAnsi="Verdana"/>
          <w:sz w:val="20"/>
          <w:szCs w:val="20"/>
          <w:lang w:val="es-CR"/>
        </w:rPr>
        <w:t xml:space="preserve">. </w:t>
      </w:r>
    </w:p>
    <w:p w14:paraId="15B12B6D" w14:textId="77777777" w:rsidR="003A7CD5" w:rsidRDefault="003A7CD5" w:rsidP="00960891">
      <w:pPr>
        <w:pStyle w:val="ListParagraph"/>
        <w:spacing w:after="0" w:line="240" w:lineRule="auto"/>
        <w:ind w:left="0" w:right="1444"/>
        <w:jc w:val="both"/>
        <w:rPr>
          <w:rFonts w:ascii="Verdana" w:hAnsi="Verdana"/>
          <w:sz w:val="20"/>
          <w:szCs w:val="20"/>
          <w:lang w:val="es-CR"/>
        </w:rPr>
      </w:pPr>
    </w:p>
    <w:p w14:paraId="34DE0664" w14:textId="5A3D6643" w:rsidR="00320559" w:rsidRPr="003A7CD5" w:rsidRDefault="00B86070" w:rsidP="003A7CD5">
      <w:pPr>
        <w:pStyle w:val="ListParagraph"/>
        <w:numPr>
          <w:ilvl w:val="0"/>
          <w:numId w:val="2"/>
        </w:numPr>
        <w:spacing w:after="0" w:line="240" w:lineRule="auto"/>
        <w:ind w:left="0" w:right="1444" w:firstLine="0"/>
        <w:jc w:val="both"/>
        <w:rPr>
          <w:rFonts w:ascii="Verdana" w:hAnsi="Verdana"/>
          <w:sz w:val="20"/>
          <w:szCs w:val="20"/>
          <w:lang w:val="es-CR"/>
        </w:rPr>
      </w:pPr>
      <w:r w:rsidRPr="003A7CD5">
        <w:rPr>
          <w:rFonts w:ascii="Verdana" w:hAnsi="Verdana"/>
          <w:sz w:val="20"/>
          <w:szCs w:val="20"/>
          <w:lang w:val="es-CR"/>
        </w:rPr>
        <w:t>Con base la información presentada por el Estado y las consideraciones de los representantes y la Comisi</w:t>
      </w:r>
      <w:r w:rsidRPr="004A2819">
        <w:rPr>
          <w:rFonts w:ascii="Verdana" w:hAnsi="Verdana"/>
          <w:sz w:val="20"/>
          <w:szCs w:val="20"/>
          <w:lang w:val="es-CR"/>
        </w:rPr>
        <w:t>ón</w:t>
      </w:r>
      <w:r w:rsidR="000E5997" w:rsidRPr="004A2819">
        <w:rPr>
          <w:rFonts w:ascii="Verdana" w:hAnsi="Verdana"/>
          <w:sz w:val="20"/>
          <w:szCs w:val="20"/>
          <w:lang w:val="es-CR"/>
        </w:rPr>
        <w:t xml:space="preserve">, la Corte considera que </w:t>
      </w:r>
      <w:r w:rsidR="00352EA1" w:rsidRPr="004A2819">
        <w:rPr>
          <w:rFonts w:ascii="Verdana" w:hAnsi="Verdana"/>
          <w:sz w:val="20"/>
          <w:szCs w:val="20"/>
          <w:lang w:val="es-CR"/>
        </w:rPr>
        <w:t xml:space="preserve">en el presente caso </w:t>
      </w:r>
      <w:r w:rsidR="00434559">
        <w:rPr>
          <w:rFonts w:ascii="Verdana" w:hAnsi="Verdana"/>
          <w:sz w:val="20"/>
          <w:szCs w:val="20"/>
          <w:lang w:val="es-CR"/>
        </w:rPr>
        <w:t xml:space="preserve">Guatemala </w:t>
      </w:r>
      <w:r w:rsidR="00352EA1" w:rsidRPr="004A2819">
        <w:rPr>
          <w:rFonts w:ascii="Verdana" w:hAnsi="Verdana"/>
          <w:sz w:val="20"/>
          <w:szCs w:val="20"/>
          <w:lang w:val="es-CR"/>
        </w:rPr>
        <w:t xml:space="preserve">se ha limitado a informar sobre </w:t>
      </w:r>
      <w:r w:rsidR="000E5997" w:rsidRPr="00577BD4">
        <w:rPr>
          <w:rFonts w:ascii="Verdana" w:hAnsi="Verdana"/>
          <w:sz w:val="20"/>
          <w:szCs w:val="20"/>
          <w:lang w:val="es-CR"/>
        </w:rPr>
        <w:t>diligencias de carácter aislado</w:t>
      </w:r>
      <w:r w:rsidR="003A7CD5" w:rsidRPr="007B64FD">
        <w:rPr>
          <w:rFonts w:ascii="Verdana" w:hAnsi="Verdana"/>
          <w:sz w:val="20"/>
          <w:szCs w:val="20"/>
          <w:lang w:val="es-CR"/>
        </w:rPr>
        <w:t xml:space="preserve"> llevadas a cabo entre el 2011 y el 2015,</w:t>
      </w:r>
      <w:r w:rsidR="000E5997" w:rsidRPr="00B773ED">
        <w:rPr>
          <w:rFonts w:ascii="Verdana" w:hAnsi="Verdana"/>
          <w:sz w:val="20"/>
          <w:szCs w:val="20"/>
          <w:lang w:val="es-CR"/>
        </w:rPr>
        <w:t xml:space="preserve"> </w:t>
      </w:r>
      <w:r w:rsidRPr="00045477">
        <w:rPr>
          <w:rFonts w:ascii="Verdana" w:hAnsi="Verdana"/>
          <w:sz w:val="20"/>
          <w:szCs w:val="20"/>
          <w:lang w:val="es-CR"/>
        </w:rPr>
        <w:t xml:space="preserve">que </w:t>
      </w:r>
      <w:r w:rsidR="000E5997" w:rsidRPr="00045477">
        <w:rPr>
          <w:rFonts w:ascii="Verdana" w:hAnsi="Verdana"/>
          <w:sz w:val="20"/>
          <w:szCs w:val="20"/>
          <w:lang w:val="es-CR"/>
        </w:rPr>
        <w:t>no muestran un verdadero plan de acción dirigido a encontrar y capturar al señ</w:t>
      </w:r>
      <w:r w:rsidR="000E5997" w:rsidRPr="00170A19">
        <w:rPr>
          <w:rFonts w:ascii="Verdana" w:hAnsi="Verdana"/>
          <w:sz w:val="20"/>
          <w:szCs w:val="20"/>
          <w:lang w:val="es-CR"/>
        </w:rPr>
        <w:t>or Valencia Osorio</w:t>
      </w:r>
      <w:r w:rsidR="009E44C3">
        <w:rPr>
          <w:rFonts w:ascii="Verdana" w:hAnsi="Verdana"/>
          <w:sz w:val="20"/>
          <w:szCs w:val="20"/>
          <w:lang w:val="es-CR"/>
        </w:rPr>
        <w:t>, sentenciado hace más de once años por el delito de asesinato</w:t>
      </w:r>
      <w:r w:rsidR="000E5997" w:rsidRPr="003A7CD5">
        <w:rPr>
          <w:rFonts w:ascii="Verdana" w:hAnsi="Verdana"/>
          <w:sz w:val="20"/>
          <w:szCs w:val="20"/>
          <w:lang w:val="es-CR"/>
        </w:rPr>
        <w:t>.</w:t>
      </w:r>
      <w:r w:rsidRPr="003A7CD5">
        <w:rPr>
          <w:rFonts w:ascii="Verdana" w:hAnsi="Verdana"/>
          <w:sz w:val="20"/>
          <w:szCs w:val="20"/>
          <w:lang w:val="es-CR"/>
        </w:rPr>
        <w:t xml:space="preserve"> </w:t>
      </w:r>
      <w:r w:rsidR="003A7CD5" w:rsidRPr="003A7CD5">
        <w:rPr>
          <w:rFonts w:ascii="Verdana" w:hAnsi="Verdana"/>
          <w:sz w:val="20"/>
          <w:szCs w:val="20"/>
          <w:lang w:val="es-CR"/>
        </w:rPr>
        <w:t xml:space="preserve">En ese sentido, este Tribunal estima que </w:t>
      </w:r>
      <w:bookmarkEnd w:id="77"/>
      <w:r w:rsidR="003A7CD5" w:rsidRPr="003A7CD5">
        <w:rPr>
          <w:rFonts w:ascii="Verdana" w:hAnsi="Verdana"/>
          <w:sz w:val="20"/>
          <w:szCs w:val="20"/>
          <w:lang w:val="es-CR"/>
        </w:rPr>
        <w:t>Guatemala</w:t>
      </w:r>
      <w:bookmarkStart w:id="78" w:name="_Ref437964376"/>
      <w:r w:rsidR="003A7CD5">
        <w:rPr>
          <w:rFonts w:ascii="Verdana" w:hAnsi="Verdana"/>
          <w:sz w:val="20"/>
          <w:szCs w:val="20"/>
          <w:lang w:val="es-CR"/>
        </w:rPr>
        <w:t xml:space="preserve"> </w:t>
      </w:r>
      <w:r w:rsidR="00320559" w:rsidRPr="003A7CD5">
        <w:rPr>
          <w:rFonts w:ascii="Verdana" w:hAnsi="Verdana"/>
          <w:sz w:val="20"/>
          <w:szCs w:val="20"/>
          <w:lang w:val="es-CR"/>
        </w:rPr>
        <w:t xml:space="preserve">no ha continuado con seriedad su deber de </w:t>
      </w:r>
      <w:r w:rsidR="00083604" w:rsidRPr="003A7CD5">
        <w:rPr>
          <w:rFonts w:ascii="Verdana" w:hAnsi="Verdana"/>
          <w:sz w:val="20"/>
          <w:szCs w:val="20"/>
          <w:lang w:val="es-CR"/>
        </w:rPr>
        <w:t>dar pronto y total acatamiento a su obligación de dar cumplimiento a la sentencia emitida por las autoridades en el fuer</w:t>
      </w:r>
      <w:r w:rsidR="00083604" w:rsidRPr="004A2819">
        <w:rPr>
          <w:rFonts w:ascii="Verdana" w:hAnsi="Verdana"/>
          <w:sz w:val="20"/>
          <w:szCs w:val="20"/>
          <w:lang w:val="es-CR"/>
        </w:rPr>
        <w:t>o interno</w:t>
      </w:r>
      <w:r w:rsidR="003A7CD5">
        <w:rPr>
          <w:rFonts w:ascii="Verdana" w:hAnsi="Verdana"/>
          <w:sz w:val="20"/>
          <w:szCs w:val="20"/>
          <w:lang w:val="es-CR"/>
        </w:rPr>
        <w:t xml:space="preserve"> en relación con las responsabilidades penales encontradas por los hechos del presente caso</w:t>
      </w:r>
      <w:r w:rsidR="00083604" w:rsidRPr="003A7CD5">
        <w:rPr>
          <w:rFonts w:ascii="Verdana" w:hAnsi="Verdana"/>
          <w:sz w:val="20"/>
          <w:szCs w:val="20"/>
          <w:lang w:val="es-CR"/>
        </w:rPr>
        <w:t>.</w:t>
      </w:r>
      <w:r w:rsidR="00320559" w:rsidRPr="003A7CD5">
        <w:rPr>
          <w:rFonts w:ascii="Verdana" w:hAnsi="Verdana"/>
          <w:i/>
          <w:sz w:val="20"/>
          <w:szCs w:val="20"/>
          <w:lang w:val="es-CR"/>
        </w:rPr>
        <w:t xml:space="preserve"> </w:t>
      </w:r>
      <w:r w:rsidR="00320559" w:rsidRPr="003A7CD5">
        <w:rPr>
          <w:rFonts w:ascii="Verdana" w:hAnsi="Verdana"/>
          <w:sz w:val="20"/>
          <w:szCs w:val="20"/>
          <w:lang w:val="es-CR"/>
        </w:rPr>
        <w:t xml:space="preserve">Por esa razón, la Corte requiere al Estado que </w:t>
      </w:r>
      <w:r w:rsidR="00946412" w:rsidRPr="003A7CD5">
        <w:rPr>
          <w:rFonts w:ascii="Verdana" w:hAnsi="Verdana"/>
          <w:sz w:val="20"/>
          <w:szCs w:val="20"/>
          <w:lang w:val="es-UY"/>
        </w:rPr>
        <w:t>a</w:t>
      </w:r>
      <w:r w:rsidR="00946412" w:rsidRPr="003A7CD5">
        <w:rPr>
          <w:rFonts w:ascii="Verdana" w:hAnsi="Verdana"/>
          <w:sz w:val="20"/>
          <w:szCs w:val="20"/>
          <w:lang w:val="es-CR"/>
        </w:rPr>
        <w:t>porte información específica y actualizada acerca de los avances llevados a cabo</w:t>
      </w:r>
      <w:r w:rsidR="009E44C3">
        <w:rPr>
          <w:rFonts w:ascii="Verdana" w:hAnsi="Verdana"/>
          <w:sz w:val="20"/>
          <w:szCs w:val="20"/>
          <w:lang w:val="es-CR"/>
        </w:rPr>
        <w:t xml:space="preserve"> </w:t>
      </w:r>
      <w:r w:rsidR="00946412" w:rsidRPr="003A7CD5">
        <w:rPr>
          <w:rFonts w:ascii="Verdana" w:hAnsi="Verdana"/>
          <w:sz w:val="20"/>
          <w:szCs w:val="20"/>
          <w:lang w:val="es-CR"/>
        </w:rPr>
        <w:t>para la aprehensión del señor Juan Valencia Osorio</w:t>
      </w:r>
      <w:r w:rsidR="00320559" w:rsidRPr="003A7CD5">
        <w:rPr>
          <w:rFonts w:ascii="Verdana" w:hAnsi="Verdana"/>
          <w:sz w:val="20"/>
          <w:szCs w:val="20"/>
          <w:lang w:val="es-CR"/>
        </w:rPr>
        <w:t>.</w:t>
      </w:r>
      <w:bookmarkEnd w:id="78"/>
    </w:p>
    <w:p w14:paraId="44A80584" w14:textId="77777777" w:rsidR="00320559" w:rsidRPr="0032068E" w:rsidRDefault="00320559" w:rsidP="00320559">
      <w:pPr>
        <w:pStyle w:val="ListParagraph"/>
        <w:spacing w:after="0" w:line="240" w:lineRule="auto"/>
        <w:ind w:left="0" w:right="1444"/>
        <w:jc w:val="both"/>
        <w:rPr>
          <w:rFonts w:ascii="Verdana" w:hAnsi="Verdana"/>
          <w:sz w:val="20"/>
          <w:szCs w:val="20"/>
          <w:lang w:val="es-CR"/>
        </w:rPr>
      </w:pPr>
    </w:p>
    <w:p w14:paraId="7CE874F6" w14:textId="77777777" w:rsidR="00320559" w:rsidRPr="00837FB7" w:rsidRDefault="00320559" w:rsidP="00AD5701">
      <w:pPr>
        <w:pStyle w:val="Heading3"/>
      </w:pPr>
      <w:bookmarkStart w:id="79" w:name="_Toc435778531"/>
      <w:bookmarkStart w:id="80" w:name="_Toc439248789"/>
      <w:r w:rsidRPr="00837FB7">
        <w:t>Caso Maritza Urrutia</w:t>
      </w:r>
      <w:bookmarkEnd w:id="79"/>
      <w:bookmarkEnd w:id="80"/>
    </w:p>
    <w:p w14:paraId="7CDC03AA" w14:textId="77777777" w:rsidR="00320559" w:rsidRPr="0032068E" w:rsidRDefault="00320559" w:rsidP="00320559">
      <w:pPr>
        <w:pStyle w:val="ListParagraph"/>
        <w:spacing w:after="0" w:line="240" w:lineRule="auto"/>
        <w:ind w:left="1080" w:right="1444" w:hanging="360"/>
        <w:jc w:val="both"/>
        <w:rPr>
          <w:rFonts w:ascii="Verdana" w:hAnsi="Verdana"/>
          <w:sz w:val="20"/>
          <w:szCs w:val="20"/>
          <w:lang w:val="es-CR"/>
        </w:rPr>
      </w:pPr>
    </w:p>
    <w:p w14:paraId="1F858C2B" w14:textId="1634887D" w:rsidR="00320559" w:rsidRPr="009E44C3" w:rsidRDefault="00320559" w:rsidP="00320559">
      <w:pPr>
        <w:numPr>
          <w:ilvl w:val="0"/>
          <w:numId w:val="2"/>
        </w:numPr>
        <w:spacing w:after="0" w:line="240" w:lineRule="auto"/>
        <w:ind w:left="0" w:right="1444" w:firstLine="0"/>
        <w:contextualSpacing/>
        <w:jc w:val="both"/>
        <w:rPr>
          <w:rFonts w:ascii="Verdana" w:hAnsi="Verdana" w:cs="Verdana"/>
          <w:sz w:val="20"/>
          <w:szCs w:val="20"/>
          <w:lang w:val="es-ES"/>
        </w:rPr>
      </w:pPr>
      <w:r w:rsidRPr="009E44C3">
        <w:rPr>
          <w:rFonts w:ascii="Verdana" w:hAnsi="Verdana" w:cs="Verdana"/>
          <w:sz w:val="20"/>
          <w:szCs w:val="20"/>
          <w:lang w:val="es-ES"/>
        </w:rPr>
        <w:t xml:space="preserve">En la </w:t>
      </w:r>
      <w:r w:rsidR="004A2819" w:rsidRPr="009E44C3">
        <w:rPr>
          <w:rFonts w:ascii="Verdana" w:hAnsi="Verdana" w:cs="Verdana"/>
          <w:sz w:val="20"/>
          <w:szCs w:val="20"/>
          <w:lang w:val="es-ES"/>
        </w:rPr>
        <w:t>R</w:t>
      </w:r>
      <w:r w:rsidRPr="009E44C3">
        <w:rPr>
          <w:rFonts w:ascii="Verdana" w:hAnsi="Verdana" w:cs="Verdana"/>
          <w:sz w:val="20"/>
          <w:szCs w:val="20"/>
          <w:lang w:val="es-ES"/>
        </w:rPr>
        <w:t xml:space="preserve">esolución de </w:t>
      </w:r>
      <w:r w:rsidR="004A2819" w:rsidRPr="009E44C3">
        <w:rPr>
          <w:rFonts w:ascii="Verdana" w:hAnsi="Verdana" w:cs="Verdana"/>
          <w:sz w:val="20"/>
          <w:szCs w:val="20"/>
          <w:lang w:val="es-ES"/>
        </w:rPr>
        <w:t xml:space="preserve">enero de </w:t>
      </w:r>
      <w:r w:rsidRPr="009E44C3">
        <w:rPr>
          <w:rFonts w:ascii="Verdana" w:hAnsi="Verdana" w:cs="Verdana"/>
          <w:sz w:val="20"/>
          <w:szCs w:val="20"/>
          <w:lang w:val="es-ES"/>
        </w:rPr>
        <w:t>2009</w:t>
      </w:r>
      <w:r w:rsidR="004A2819" w:rsidRPr="009E44C3">
        <w:rPr>
          <w:rStyle w:val="FootnoteReference"/>
          <w:rFonts w:ascii="Verdana" w:hAnsi="Verdana" w:cs="Verdana"/>
          <w:sz w:val="20"/>
          <w:szCs w:val="20"/>
          <w:lang w:val="es-ES"/>
        </w:rPr>
        <w:footnoteReference w:id="82"/>
      </w:r>
      <w:r w:rsidRPr="009E44C3">
        <w:rPr>
          <w:rFonts w:ascii="Verdana" w:hAnsi="Verdana" w:cs="Verdana"/>
          <w:sz w:val="20"/>
          <w:szCs w:val="20"/>
          <w:lang w:val="es-ES"/>
        </w:rPr>
        <w:t>, la Corte</w:t>
      </w:r>
      <w:r w:rsidR="004A2819" w:rsidRPr="009E44C3">
        <w:rPr>
          <w:rFonts w:ascii="Verdana" w:hAnsi="Verdana" w:cs="Verdana"/>
          <w:sz w:val="20"/>
          <w:szCs w:val="20"/>
          <w:lang w:val="es-ES"/>
        </w:rPr>
        <w:t xml:space="preserve"> tomó nota de lo informado por el Estado respecto de que “el expediente</w:t>
      </w:r>
      <w:r w:rsidRPr="009E44C3">
        <w:rPr>
          <w:rFonts w:ascii="Verdana" w:hAnsi="Verdana" w:cs="Verdana"/>
          <w:sz w:val="20"/>
          <w:szCs w:val="20"/>
          <w:lang w:val="es-ES"/>
        </w:rPr>
        <w:t xml:space="preserve"> </w:t>
      </w:r>
      <w:r w:rsidR="004A2819" w:rsidRPr="009E44C3">
        <w:rPr>
          <w:rFonts w:ascii="Verdana" w:hAnsi="Verdana" w:cs="Verdana"/>
          <w:sz w:val="20"/>
          <w:szCs w:val="20"/>
          <w:lang w:val="es-ES"/>
        </w:rPr>
        <w:t>correspondiente a los hechos del presente caso se encuentra radicado en la Fiscalía [de] Derechos Humanos, [en la] Unidad [que] se aboca a la investigación de los hechos derivados del conflicto armado interno”. Asimismo,</w:t>
      </w:r>
      <w:r w:rsidR="00104103" w:rsidRPr="009E44C3">
        <w:rPr>
          <w:rFonts w:ascii="Verdana" w:hAnsi="Verdana" w:cs="Verdana"/>
          <w:sz w:val="20"/>
          <w:szCs w:val="20"/>
          <w:lang w:val="es-ES"/>
        </w:rPr>
        <w:t xml:space="preserve"> este Tribunal hizo constar que según lo indicado por Guatemala la causa todavía se encontraba en fase de investigación e</w:t>
      </w:r>
      <w:r w:rsidR="004A2819" w:rsidRPr="009E44C3">
        <w:rPr>
          <w:rFonts w:ascii="Verdana" w:hAnsi="Verdana" w:cs="Verdana"/>
          <w:sz w:val="20"/>
          <w:szCs w:val="20"/>
          <w:lang w:val="es-ES"/>
        </w:rPr>
        <w:t xml:space="preserve"> </w:t>
      </w:r>
      <w:r w:rsidR="00104103" w:rsidRPr="009E44C3">
        <w:rPr>
          <w:rFonts w:ascii="Verdana" w:hAnsi="Verdana" w:cs="Verdana"/>
          <w:sz w:val="20"/>
          <w:szCs w:val="20"/>
          <w:lang w:val="es-ES"/>
        </w:rPr>
        <w:t>hizo notar que el</w:t>
      </w:r>
      <w:r w:rsidRPr="009E44C3">
        <w:rPr>
          <w:rFonts w:ascii="Verdana" w:hAnsi="Verdana"/>
          <w:sz w:val="20"/>
          <w:szCs w:val="20"/>
          <w:lang w:val="es-CR"/>
        </w:rPr>
        <w:t xml:space="preserve"> Estado </w:t>
      </w:r>
      <w:r w:rsidR="00104103" w:rsidRPr="009E44C3">
        <w:rPr>
          <w:rFonts w:ascii="Verdana" w:hAnsi="Verdana"/>
          <w:sz w:val="20"/>
          <w:szCs w:val="20"/>
          <w:lang w:val="es-CR"/>
        </w:rPr>
        <w:t xml:space="preserve">presentó </w:t>
      </w:r>
      <w:r w:rsidRPr="009E44C3">
        <w:rPr>
          <w:rFonts w:ascii="Verdana" w:hAnsi="Verdana"/>
          <w:sz w:val="20"/>
          <w:szCs w:val="20"/>
          <w:lang w:val="es-CR"/>
        </w:rPr>
        <w:t xml:space="preserve">información “sobre algunas gestiones y diligencias realizadas </w:t>
      </w:r>
      <w:r w:rsidR="00104103" w:rsidRPr="009E44C3">
        <w:rPr>
          <w:rFonts w:ascii="Verdana" w:hAnsi="Verdana"/>
          <w:sz w:val="20"/>
          <w:szCs w:val="20"/>
          <w:lang w:val="es-CR"/>
        </w:rPr>
        <w:t xml:space="preserve">[por el Ministerio Público] </w:t>
      </w:r>
      <w:r w:rsidRPr="009E44C3">
        <w:rPr>
          <w:rFonts w:ascii="Verdana" w:hAnsi="Verdana"/>
          <w:sz w:val="20"/>
          <w:szCs w:val="20"/>
          <w:lang w:val="es-CR"/>
        </w:rPr>
        <w:t>durante el año 2008</w:t>
      </w:r>
      <w:r w:rsidR="00104103" w:rsidRPr="009E44C3">
        <w:rPr>
          <w:rFonts w:ascii="Verdana" w:hAnsi="Verdana"/>
          <w:sz w:val="20"/>
          <w:szCs w:val="20"/>
          <w:lang w:val="es-CR"/>
        </w:rPr>
        <w:t>”</w:t>
      </w:r>
      <w:r w:rsidRPr="009E44C3">
        <w:rPr>
          <w:rFonts w:ascii="Verdana" w:hAnsi="Verdana"/>
          <w:sz w:val="20"/>
          <w:szCs w:val="20"/>
          <w:lang w:val="es-CR"/>
        </w:rPr>
        <w:t xml:space="preserve"> </w:t>
      </w:r>
      <w:r w:rsidR="00104103" w:rsidRPr="009E44C3">
        <w:rPr>
          <w:rFonts w:ascii="Verdana" w:hAnsi="Verdana"/>
          <w:sz w:val="20"/>
          <w:szCs w:val="20"/>
          <w:lang w:val="es-CR"/>
        </w:rPr>
        <w:t>con el fin de “identificar a las personas que ocupaban cargos de dependencias del Estado que podrían tener relación con [los] hechos [de</w:t>
      </w:r>
      <w:r w:rsidR="007B64FD" w:rsidRPr="009E44C3">
        <w:rPr>
          <w:rFonts w:ascii="Verdana" w:hAnsi="Verdana"/>
          <w:sz w:val="20"/>
          <w:szCs w:val="20"/>
          <w:lang w:val="es-CR"/>
        </w:rPr>
        <w:t xml:space="preserve"> secuestro, </w:t>
      </w:r>
      <w:r w:rsidR="00104103" w:rsidRPr="009E44C3">
        <w:rPr>
          <w:rFonts w:ascii="Verdana" w:hAnsi="Verdana"/>
          <w:sz w:val="20"/>
          <w:szCs w:val="20"/>
          <w:lang w:val="es-CR"/>
        </w:rPr>
        <w:t>detenci</w:t>
      </w:r>
      <w:r w:rsidR="007B64FD" w:rsidRPr="009E44C3">
        <w:rPr>
          <w:rFonts w:ascii="Verdana" w:hAnsi="Verdana"/>
          <w:sz w:val="20"/>
          <w:szCs w:val="20"/>
          <w:lang w:val="es-CR"/>
        </w:rPr>
        <w:t xml:space="preserve">ón, </w:t>
      </w:r>
      <w:r w:rsidR="00104103" w:rsidRPr="009E44C3">
        <w:rPr>
          <w:rFonts w:ascii="Verdana" w:hAnsi="Verdana"/>
          <w:sz w:val="20"/>
          <w:szCs w:val="20"/>
          <w:lang w:val="es-CR"/>
        </w:rPr>
        <w:t xml:space="preserve">tortura </w:t>
      </w:r>
      <w:r w:rsidR="007B64FD" w:rsidRPr="009E44C3">
        <w:rPr>
          <w:rFonts w:ascii="Verdana" w:hAnsi="Verdana"/>
          <w:sz w:val="20"/>
          <w:szCs w:val="20"/>
          <w:lang w:val="es-CR"/>
        </w:rPr>
        <w:t xml:space="preserve">y tratos crueles inhumanos o degradantes cometidos </w:t>
      </w:r>
      <w:r w:rsidR="00104103" w:rsidRPr="009E44C3">
        <w:rPr>
          <w:rFonts w:ascii="Verdana" w:hAnsi="Verdana"/>
          <w:sz w:val="20"/>
          <w:szCs w:val="20"/>
          <w:lang w:val="es-CR"/>
        </w:rPr>
        <w:t xml:space="preserve">en perjuicio de Maritza Urrutia]” </w:t>
      </w:r>
      <w:r w:rsidRPr="009E44C3">
        <w:rPr>
          <w:rFonts w:ascii="Verdana" w:hAnsi="Verdana"/>
          <w:sz w:val="20"/>
          <w:szCs w:val="20"/>
          <w:lang w:val="es-CR"/>
        </w:rPr>
        <w:t xml:space="preserve">. Sin </w:t>
      </w:r>
      <w:r w:rsidR="00104103" w:rsidRPr="009E44C3">
        <w:rPr>
          <w:rFonts w:ascii="Verdana" w:hAnsi="Verdana"/>
          <w:sz w:val="20"/>
          <w:szCs w:val="20"/>
          <w:lang w:val="es-CR"/>
        </w:rPr>
        <w:t>bien</w:t>
      </w:r>
      <w:r w:rsidRPr="009E44C3">
        <w:rPr>
          <w:rFonts w:ascii="Verdana" w:hAnsi="Verdana"/>
          <w:sz w:val="20"/>
          <w:szCs w:val="20"/>
          <w:lang w:val="es-CR"/>
        </w:rPr>
        <w:t xml:space="preserve"> la Corte</w:t>
      </w:r>
      <w:r w:rsidR="00104103" w:rsidRPr="009E44C3">
        <w:rPr>
          <w:rFonts w:ascii="Verdana" w:hAnsi="Verdana"/>
          <w:sz w:val="20"/>
          <w:szCs w:val="20"/>
          <w:lang w:val="es-CR"/>
        </w:rPr>
        <w:t xml:space="preserve"> tomó nota de las acciones informadas por el Estado,</w:t>
      </w:r>
      <w:r w:rsidRPr="009E44C3">
        <w:rPr>
          <w:rFonts w:ascii="Verdana" w:hAnsi="Verdana"/>
          <w:sz w:val="20"/>
          <w:szCs w:val="20"/>
          <w:lang w:val="es-CR"/>
        </w:rPr>
        <w:t xml:space="preserve"> observó que </w:t>
      </w:r>
      <w:r w:rsidR="00104103" w:rsidRPr="009E44C3">
        <w:rPr>
          <w:rFonts w:ascii="Verdana" w:hAnsi="Verdana"/>
          <w:sz w:val="20"/>
          <w:szCs w:val="20"/>
          <w:lang w:val="es-CR"/>
        </w:rPr>
        <w:t xml:space="preserve">había transcurrido a ese entonces más de cinco años desde la emisión de la Sentencia y la investigación aún </w:t>
      </w:r>
      <w:r w:rsidRPr="009E44C3">
        <w:rPr>
          <w:rFonts w:ascii="Verdana" w:hAnsi="Verdana"/>
          <w:sz w:val="20"/>
          <w:szCs w:val="20"/>
          <w:lang w:val="es-CR"/>
        </w:rPr>
        <w:t>“</w:t>
      </w:r>
      <w:proofErr w:type="gramStart"/>
      <w:r w:rsidR="00104103" w:rsidRPr="009E44C3">
        <w:rPr>
          <w:rFonts w:ascii="Verdana" w:hAnsi="Verdana"/>
          <w:sz w:val="20"/>
          <w:szCs w:val="20"/>
          <w:lang w:val="es-CR"/>
        </w:rPr>
        <w:t>contin[</w:t>
      </w:r>
      <w:proofErr w:type="gramEnd"/>
      <w:r w:rsidR="00104103" w:rsidRPr="009E44C3">
        <w:rPr>
          <w:rFonts w:ascii="Verdana" w:hAnsi="Verdana"/>
          <w:sz w:val="20"/>
          <w:szCs w:val="20"/>
          <w:lang w:val="es-CR"/>
        </w:rPr>
        <w:t xml:space="preserve">uaba] </w:t>
      </w:r>
      <w:r w:rsidRPr="009E44C3">
        <w:rPr>
          <w:rFonts w:ascii="Verdana" w:hAnsi="Verdana"/>
          <w:sz w:val="20"/>
          <w:szCs w:val="20"/>
          <w:lang w:val="es-CR"/>
        </w:rPr>
        <w:t xml:space="preserve">en fase de investigación a nivel interno, sin que existan resultados precisos”. </w:t>
      </w:r>
    </w:p>
    <w:p w14:paraId="615F0764" w14:textId="77777777" w:rsidR="00320559" w:rsidRPr="0032068E" w:rsidRDefault="00320559" w:rsidP="00320559">
      <w:pPr>
        <w:pStyle w:val="ListParagraph"/>
        <w:spacing w:after="0" w:line="240" w:lineRule="auto"/>
        <w:ind w:left="0" w:right="1444"/>
        <w:jc w:val="both"/>
        <w:rPr>
          <w:rFonts w:ascii="Verdana" w:hAnsi="Verdana"/>
          <w:sz w:val="20"/>
          <w:szCs w:val="20"/>
          <w:lang w:val="es-CR"/>
        </w:rPr>
      </w:pPr>
    </w:p>
    <w:p w14:paraId="6AFD9D51" w14:textId="5FBF2D0D" w:rsidR="00320559" w:rsidRPr="009E44C3" w:rsidRDefault="00320559" w:rsidP="00A1012B">
      <w:pPr>
        <w:pStyle w:val="ListParagraph"/>
        <w:numPr>
          <w:ilvl w:val="0"/>
          <w:numId w:val="2"/>
        </w:numPr>
        <w:spacing w:after="0" w:line="240" w:lineRule="auto"/>
        <w:ind w:left="0" w:right="1444" w:firstLine="0"/>
        <w:jc w:val="both"/>
        <w:rPr>
          <w:rFonts w:ascii="Verdana" w:hAnsi="Verdana"/>
          <w:sz w:val="20"/>
          <w:szCs w:val="20"/>
          <w:lang w:val="es-CR"/>
        </w:rPr>
      </w:pPr>
      <w:bookmarkStart w:id="81" w:name="_Ref437867932"/>
      <w:r w:rsidRPr="009E44C3">
        <w:rPr>
          <w:rFonts w:ascii="Verdana" w:hAnsi="Verdana"/>
          <w:sz w:val="20"/>
          <w:szCs w:val="20"/>
          <w:lang w:val="es-CR"/>
        </w:rPr>
        <w:t>Al respecto, de l</w:t>
      </w:r>
      <w:r w:rsidR="00F7349B" w:rsidRPr="009E44C3">
        <w:rPr>
          <w:rFonts w:ascii="Verdana" w:hAnsi="Verdana"/>
          <w:sz w:val="20"/>
          <w:szCs w:val="20"/>
          <w:lang w:val="es-CR"/>
        </w:rPr>
        <w:t>os</w:t>
      </w:r>
      <w:r w:rsidRPr="009E44C3">
        <w:rPr>
          <w:rFonts w:ascii="Verdana" w:hAnsi="Verdana"/>
          <w:sz w:val="20"/>
          <w:szCs w:val="20"/>
          <w:lang w:val="es-CR"/>
        </w:rPr>
        <w:t xml:space="preserve"> inform</w:t>
      </w:r>
      <w:r w:rsidR="00F7349B" w:rsidRPr="009E44C3">
        <w:rPr>
          <w:rFonts w:ascii="Verdana" w:hAnsi="Verdana"/>
          <w:sz w:val="20"/>
          <w:szCs w:val="20"/>
          <w:lang w:val="es-CR"/>
        </w:rPr>
        <w:t>es</w:t>
      </w:r>
      <w:r w:rsidRPr="009E44C3">
        <w:rPr>
          <w:rFonts w:ascii="Verdana" w:hAnsi="Verdana"/>
          <w:sz w:val="20"/>
          <w:szCs w:val="20"/>
          <w:lang w:val="es-CR"/>
        </w:rPr>
        <w:t xml:space="preserve"> </w:t>
      </w:r>
      <w:r w:rsidR="00F7349B" w:rsidRPr="009E44C3">
        <w:rPr>
          <w:rFonts w:ascii="Verdana" w:hAnsi="Verdana"/>
          <w:sz w:val="20"/>
          <w:szCs w:val="20"/>
          <w:lang w:val="es-CR"/>
        </w:rPr>
        <w:t xml:space="preserve">presentados </w:t>
      </w:r>
      <w:r w:rsidRPr="009E44C3">
        <w:rPr>
          <w:rFonts w:ascii="Verdana" w:hAnsi="Verdana"/>
          <w:sz w:val="20"/>
          <w:szCs w:val="20"/>
          <w:lang w:val="es-CR"/>
        </w:rPr>
        <w:t xml:space="preserve">por </w:t>
      </w:r>
      <w:r w:rsidR="00D00DAE" w:rsidRPr="009E44C3">
        <w:rPr>
          <w:rFonts w:ascii="Verdana" w:hAnsi="Verdana"/>
          <w:sz w:val="20"/>
          <w:szCs w:val="20"/>
          <w:lang w:val="es-CR"/>
        </w:rPr>
        <w:t xml:space="preserve">el </w:t>
      </w:r>
      <w:r w:rsidR="00F7349B" w:rsidRPr="009E44C3">
        <w:rPr>
          <w:rFonts w:ascii="Verdana" w:hAnsi="Verdana"/>
          <w:sz w:val="20"/>
          <w:szCs w:val="20"/>
          <w:lang w:val="es-CR"/>
        </w:rPr>
        <w:t xml:space="preserve">Ministerio Público </w:t>
      </w:r>
      <w:r w:rsidR="00F7349B" w:rsidRPr="009E44C3">
        <w:rPr>
          <w:rFonts w:ascii="Verdana" w:hAnsi="Verdana" w:cs="Verdana"/>
          <w:sz w:val="20"/>
          <w:szCs w:val="20"/>
          <w:lang w:val="es-ES"/>
        </w:rPr>
        <w:t xml:space="preserve">en mayo de 2014 y por </w:t>
      </w:r>
      <w:r w:rsidRPr="009E44C3">
        <w:rPr>
          <w:rFonts w:ascii="Verdana" w:hAnsi="Verdana"/>
          <w:sz w:val="20"/>
          <w:szCs w:val="20"/>
          <w:lang w:val="es-CR"/>
        </w:rPr>
        <w:t xml:space="preserve">el Estado en </w:t>
      </w:r>
      <w:r w:rsidR="00F7349B" w:rsidRPr="009E44C3">
        <w:rPr>
          <w:rFonts w:ascii="Verdana" w:hAnsi="Verdana"/>
          <w:sz w:val="20"/>
          <w:szCs w:val="20"/>
          <w:lang w:val="es-CR"/>
        </w:rPr>
        <w:t>abril y octubre de</w:t>
      </w:r>
      <w:r w:rsidRPr="009E44C3">
        <w:rPr>
          <w:rFonts w:ascii="Verdana" w:hAnsi="Verdana"/>
          <w:sz w:val="20"/>
          <w:szCs w:val="20"/>
          <w:lang w:val="es-CR"/>
        </w:rPr>
        <w:t xml:space="preserve"> 2015 y se desprende que</w:t>
      </w:r>
      <w:r w:rsidR="00F7349B" w:rsidRPr="009E44C3">
        <w:rPr>
          <w:rFonts w:ascii="Verdana" w:hAnsi="Verdana"/>
          <w:sz w:val="20"/>
          <w:szCs w:val="20"/>
          <w:lang w:val="es-CR"/>
        </w:rPr>
        <w:t xml:space="preserve"> a la fecha </w:t>
      </w:r>
      <w:r w:rsidR="00F476E0" w:rsidRPr="009E44C3">
        <w:rPr>
          <w:rFonts w:ascii="Verdana" w:hAnsi="Verdana"/>
          <w:sz w:val="20"/>
          <w:szCs w:val="20"/>
          <w:lang w:val="es-CR"/>
        </w:rPr>
        <w:t>los hechos del presente caso continúan en “etapa de investigación”</w:t>
      </w:r>
      <w:r w:rsidR="00DA37FE" w:rsidRPr="009E44C3">
        <w:rPr>
          <w:rFonts w:ascii="Verdana" w:hAnsi="Verdana"/>
          <w:sz w:val="20"/>
          <w:szCs w:val="20"/>
          <w:lang w:val="es-CR"/>
        </w:rPr>
        <w:t>,</w:t>
      </w:r>
      <w:r w:rsidR="00F476E0" w:rsidRPr="009E44C3">
        <w:rPr>
          <w:rFonts w:ascii="Verdana" w:hAnsi="Verdana"/>
          <w:sz w:val="20"/>
          <w:szCs w:val="20"/>
          <w:lang w:val="es-CR"/>
        </w:rPr>
        <w:t xml:space="preserve"> y que </w:t>
      </w:r>
      <w:r w:rsidR="00F7349B" w:rsidRPr="009E44C3">
        <w:rPr>
          <w:rFonts w:ascii="Verdana" w:hAnsi="Verdana"/>
          <w:sz w:val="20"/>
          <w:szCs w:val="20"/>
          <w:lang w:val="es-CR"/>
        </w:rPr>
        <w:t>aún</w:t>
      </w:r>
      <w:r w:rsidRPr="009E44C3">
        <w:rPr>
          <w:rFonts w:ascii="Verdana" w:hAnsi="Verdana"/>
          <w:sz w:val="20"/>
          <w:szCs w:val="20"/>
          <w:lang w:val="es-CR"/>
        </w:rPr>
        <w:t xml:space="preserve"> </w:t>
      </w:r>
      <w:r w:rsidR="00F7349B" w:rsidRPr="009E44C3">
        <w:rPr>
          <w:rFonts w:ascii="Verdana" w:hAnsi="Verdana"/>
          <w:sz w:val="20"/>
          <w:szCs w:val="20"/>
          <w:lang w:val="es-CR"/>
        </w:rPr>
        <w:t xml:space="preserve">no </w:t>
      </w:r>
      <w:r w:rsidRPr="009E44C3">
        <w:rPr>
          <w:rFonts w:ascii="Verdana" w:hAnsi="Verdana"/>
          <w:sz w:val="20"/>
          <w:szCs w:val="20"/>
          <w:lang w:val="es-CR"/>
        </w:rPr>
        <w:t>exist</w:t>
      </w:r>
      <w:r w:rsidR="00F7349B" w:rsidRPr="009E44C3">
        <w:rPr>
          <w:rFonts w:ascii="Verdana" w:hAnsi="Verdana"/>
          <w:sz w:val="20"/>
          <w:szCs w:val="20"/>
          <w:lang w:val="es-CR"/>
        </w:rPr>
        <w:t>en</w:t>
      </w:r>
      <w:r w:rsidRPr="009E44C3">
        <w:rPr>
          <w:rFonts w:ascii="Verdana" w:hAnsi="Verdana"/>
          <w:sz w:val="20"/>
          <w:szCs w:val="20"/>
          <w:lang w:val="es-CR"/>
        </w:rPr>
        <w:t xml:space="preserve"> imputado</w:t>
      </w:r>
      <w:r w:rsidR="00F7349B" w:rsidRPr="009E44C3">
        <w:rPr>
          <w:rFonts w:ascii="Verdana" w:hAnsi="Verdana"/>
          <w:sz w:val="20"/>
          <w:szCs w:val="20"/>
          <w:lang w:val="es-CR"/>
        </w:rPr>
        <w:t>s</w:t>
      </w:r>
      <w:r w:rsidR="00DA37FE" w:rsidRPr="009E44C3">
        <w:rPr>
          <w:rFonts w:ascii="Verdana" w:hAnsi="Verdana"/>
          <w:sz w:val="20"/>
          <w:szCs w:val="20"/>
          <w:lang w:val="es-CR"/>
        </w:rPr>
        <w:t xml:space="preserve"> dentro del proceso</w:t>
      </w:r>
      <w:r w:rsidRPr="009E44C3">
        <w:rPr>
          <w:rFonts w:ascii="Verdana" w:hAnsi="Verdana"/>
          <w:sz w:val="20"/>
          <w:szCs w:val="20"/>
          <w:lang w:val="es-CR"/>
        </w:rPr>
        <w:t xml:space="preserve">. </w:t>
      </w:r>
      <w:r w:rsidR="003176CD" w:rsidRPr="009E44C3">
        <w:rPr>
          <w:rFonts w:ascii="Verdana" w:hAnsi="Verdana"/>
          <w:sz w:val="20"/>
          <w:szCs w:val="20"/>
          <w:lang w:val="es-CR"/>
        </w:rPr>
        <w:t>En dichos informes se da cuenta de las acciones que se habrían llevado a cabo entre el 2008 y el 2015 en el marco de la investigación penal</w:t>
      </w:r>
      <w:r w:rsidR="00DA37FE" w:rsidRPr="009E44C3">
        <w:rPr>
          <w:rFonts w:ascii="Verdana" w:hAnsi="Verdana"/>
          <w:sz w:val="20"/>
          <w:szCs w:val="20"/>
          <w:lang w:val="es-CR"/>
        </w:rPr>
        <w:t xml:space="preserve">, las cuales la Corte constata que </w:t>
      </w:r>
      <w:r w:rsidR="00F476E0" w:rsidRPr="009E44C3">
        <w:rPr>
          <w:rFonts w:ascii="Verdana" w:hAnsi="Verdana"/>
          <w:sz w:val="20"/>
          <w:szCs w:val="20"/>
          <w:lang w:val="es-CR"/>
        </w:rPr>
        <w:t xml:space="preserve">se han orientado </w:t>
      </w:r>
      <w:r w:rsidR="00BD7EA2" w:rsidRPr="009E44C3">
        <w:rPr>
          <w:rFonts w:ascii="Verdana" w:hAnsi="Verdana"/>
          <w:sz w:val="20"/>
          <w:szCs w:val="20"/>
          <w:lang w:val="es-CR"/>
        </w:rPr>
        <w:t xml:space="preserve">principalmente </w:t>
      </w:r>
      <w:r w:rsidR="00F476E0" w:rsidRPr="009E44C3">
        <w:rPr>
          <w:rFonts w:ascii="Verdana" w:hAnsi="Verdana"/>
          <w:sz w:val="20"/>
          <w:szCs w:val="20"/>
          <w:lang w:val="es-CR"/>
        </w:rPr>
        <w:t xml:space="preserve">a </w:t>
      </w:r>
      <w:r w:rsidR="00BD7EA2" w:rsidRPr="009E44C3">
        <w:rPr>
          <w:rFonts w:ascii="Verdana" w:hAnsi="Verdana"/>
          <w:sz w:val="20"/>
          <w:szCs w:val="20"/>
          <w:lang w:val="es-CR"/>
        </w:rPr>
        <w:t>recabar</w:t>
      </w:r>
      <w:r w:rsidR="00F476E0" w:rsidRPr="009E44C3">
        <w:rPr>
          <w:rFonts w:ascii="Verdana" w:hAnsi="Verdana"/>
          <w:sz w:val="20"/>
          <w:szCs w:val="20"/>
          <w:lang w:val="es-CR"/>
        </w:rPr>
        <w:t xml:space="preserve"> datos</w:t>
      </w:r>
      <w:r w:rsidR="00BD7EA2" w:rsidRPr="009E44C3">
        <w:rPr>
          <w:rFonts w:ascii="Verdana" w:hAnsi="Verdana"/>
          <w:sz w:val="20"/>
          <w:szCs w:val="20"/>
          <w:lang w:val="es-CR"/>
        </w:rPr>
        <w:t xml:space="preserve"> e información</w:t>
      </w:r>
      <w:r w:rsidR="00F476E0" w:rsidRPr="009E44C3">
        <w:rPr>
          <w:rFonts w:ascii="Verdana" w:hAnsi="Verdana"/>
          <w:sz w:val="20"/>
          <w:szCs w:val="20"/>
          <w:lang w:val="es-CR"/>
        </w:rPr>
        <w:t xml:space="preserve"> sobre la víctima Maritza Urrutia y </w:t>
      </w:r>
      <w:r w:rsidR="00DA37FE" w:rsidRPr="009E44C3">
        <w:rPr>
          <w:rFonts w:ascii="Verdana" w:hAnsi="Verdana"/>
          <w:sz w:val="20"/>
          <w:szCs w:val="20"/>
          <w:lang w:val="es-CR"/>
        </w:rPr>
        <w:t xml:space="preserve">respecto de </w:t>
      </w:r>
      <w:r w:rsidR="00F476E0" w:rsidRPr="009E44C3">
        <w:rPr>
          <w:rFonts w:ascii="Verdana" w:hAnsi="Verdana"/>
          <w:sz w:val="20"/>
          <w:szCs w:val="20"/>
          <w:lang w:val="es-CR"/>
        </w:rPr>
        <w:t>su ubicación</w:t>
      </w:r>
      <w:r w:rsidR="00BD7EA2" w:rsidRPr="009E44C3">
        <w:rPr>
          <w:rFonts w:ascii="Verdana" w:hAnsi="Verdana"/>
          <w:sz w:val="20"/>
          <w:szCs w:val="20"/>
          <w:lang w:val="es-CR"/>
        </w:rPr>
        <w:t>,</w:t>
      </w:r>
      <w:r w:rsidR="00F476E0" w:rsidRPr="009E44C3">
        <w:rPr>
          <w:rFonts w:ascii="Verdana" w:hAnsi="Verdana"/>
          <w:sz w:val="20"/>
          <w:szCs w:val="20"/>
          <w:lang w:val="es-CR"/>
        </w:rPr>
        <w:t xml:space="preserve"> ya que se encontraría residiendo fuera de Guatemala, </w:t>
      </w:r>
      <w:r w:rsidR="00DA37FE" w:rsidRPr="009E44C3">
        <w:rPr>
          <w:rFonts w:ascii="Verdana" w:hAnsi="Verdana"/>
          <w:sz w:val="20"/>
          <w:szCs w:val="20"/>
          <w:lang w:val="es-CR"/>
        </w:rPr>
        <w:t>y</w:t>
      </w:r>
      <w:r w:rsidR="00F476E0" w:rsidRPr="009E44C3">
        <w:rPr>
          <w:rFonts w:ascii="Verdana" w:hAnsi="Verdana"/>
          <w:sz w:val="20"/>
          <w:szCs w:val="20"/>
          <w:lang w:val="es-CR"/>
        </w:rPr>
        <w:t xml:space="preserve"> </w:t>
      </w:r>
      <w:r w:rsidR="00BD7EA2" w:rsidRPr="009E44C3">
        <w:rPr>
          <w:rFonts w:ascii="Verdana" w:hAnsi="Verdana"/>
          <w:sz w:val="20"/>
          <w:szCs w:val="20"/>
          <w:lang w:val="es-CR"/>
        </w:rPr>
        <w:t xml:space="preserve">la ubicación </w:t>
      </w:r>
      <w:r w:rsidR="00F476E0" w:rsidRPr="009E44C3">
        <w:rPr>
          <w:rFonts w:ascii="Verdana" w:hAnsi="Verdana"/>
          <w:sz w:val="20"/>
          <w:szCs w:val="20"/>
          <w:lang w:val="es-CR"/>
        </w:rPr>
        <w:t>de sus familiares</w:t>
      </w:r>
      <w:r w:rsidR="00DA37FE" w:rsidRPr="009E44C3">
        <w:rPr>
          <w:rFonts w:ascii="Verdana" w:hAnsi="Verdana"/>
          <w:sz w:val="20"/>
          <w:szCs w:val="20"/>
          <w:lang w:val="es-CR"/>
        </w:rPr>
        <w:t>,</w:t>
      </w:r>
      <w:r w:rsidR="00F476E0" w:rsidRPr="009E44C3">
        <w:rPr>
          <w:rFonts w:ascii="Verdana" w:hAnsi="Verdana"/>
          <w:sz w:val="20"/>
          <w:szCs w:val="20"/>
          <w:lang w:val="es-CR"/>
        </w:rPr>
        <w:t xml:space="preserve"> con el fin de </w:t>
      </w:r>
      <w:r w:rsidR="00BD7EA2" w:rsidRPr="009E44C3">
        <w:rPr>
          <w:rFonts w:ascii="Verdana" w:hAnsi="Verdana"/>
          <w:sz w:val="20"/>
          <w:szCs w:val="20"/>
          <w:lang w:val="es-CR"/>
        </w:rPr>
        <w:t>que “</w:t>
      </w:r>
      <w:r w:rsidRPr="009E44C3">
        <w:rPr>
          <w:rFonts w:ascii="Verdana" w:hAnsi="Verdana"/>
          <w:sz w:val="20"/>
          <w:szCs w:val="20"/>
          <w:lang w:val="es-CR"/>
        </w:rPr>
        <w:t>comparezcan a prestar su declaración testimonial</w:t>
      </w:r>
      <w:r w:rsidR="00BD7EA2" w:rsidRPr="009E44C3">
        <w:rPr>
          <w:rFonts w:ascii="Verdana" w:hAnsi="Verdana"/>
          <w:sz w:val="20"/>
          <w:szCs w:val="20"/>
          <w:lang w:val="es-CR"/>
        </w:rPr>
        <w:t>, en torno a los hechos que les constan en relación al hecho investigado</w:t>
      </w:r>
      <w:r w:rsidRPr="009E44C3">
        <w:rPr>
          <w:rFonts w:ascii="Verdana" w:hAnsi="Verdana"/>
          <w:sz w:val="20"/>
          <w:szCs w:val="20"/>
          <w:lang w:val="es-CR"/>
        </w:rPr>
        <w:t xml:space="preserve">”. En efecto, </w:t>
      </w:r>
      <w:r w:rsidR="00BD7EA2" w:rsidRPr="009E44C3">
        <w:rPr>
          <w:rFonts w:ascii="Verdana" w:hAnsi="Verdana"/>
          <w:sz w:val="20"/>
          <w:szCs w:val="20"/>
          <w:lang w:val="es-CR"/>
        </w:rPr>
        <w:t xml:space="preserve">la Corte hace notar que </w:t>
      </w:r>
      <w:r w:rsidRPr="009E44C3">
        <w:rPr>
          <w:rFonts w:ascii="Verdana" w:hAnsi="Verdana"/>
          <w:sz w:val="20"/>
          <w:szCs w:val="20"/>
          <w:lang w:val="es-CR"/>
        </w:rPr>
        <w:t xml:space="preserve">en su informe de 2011, el Estado señaló que requerían </w:t>
      </w:r>
      <w:r w:rsidR="00BD7EA2" w:rsidRPr="009E44C3">
        <w:rPr>
          <w:rFonts w:ascii="Verdana" w:hAnsi="Verdana"/>
          <w:sz w:val="20"/>
          <w:szCs w:val="20"/>
          <w:lang w:val="es-CR"/>
        </w:rPr>
        <w:t xml:space="preserve">la </w:t>
      </w:r>
      <w:r w:rsidRPr="009E44C3">
        <w:rPr>
          <w:rFonts w:ascii="Verdana" w:hAnsi="Verdana"/>
          <w:sz w:val="20"/>
          <w:szCs w:val="20"/>
          <w:lang w:val="es-CR"/>
        </w:rPr>
        <w:t>declaración testimonial</w:t>
      </w:r>
      <w:r w:rsidR="00BD7EA2" w:rsidRPr="009E44C3">
        <w:rPr>
          <w:rFonts w:ascii="Verdana" w:hAnsi="Verdana"/>
          <w:sz w:val="20"/>
          <w:szCs w:val="20"/>
          <w:lang w:val="es-CR"/>
        </w:rPr>
        <w:t xml:space="preserve"> de la señora Maritza Urrutia</w:t>
      </w:r>
      <w:r w:rsidRPr="009E44C3">
        <w:rPr>
          <w:rFonts w:ascii="Verdana" w:hAnsi="Verdana"/>
          <w:sz w:val="20"/>
          <w:szCs w:val="20"/>
          <w:lang w:val="es-CR"/>
        </w:rPr>
        <w:t xml:space="preserve"> “como medio de prueba para continuar con las investigaciones que permitan dar con las personas responsables de las violaciones en </w:t>
      </w:r>
      <w:r w:rsidR="00DA37FE" w:rsidRPr="009E44C3">
        <w:rPr>
          <w:rFonts w:ascii="Verdana" w:hAnsi="Verdana"/>
          <w:sz w:val="20"/>
          <w:szCs w:val="20"/>
          <w:lang w:val="es-CR"/>
        </w:rPr>
        <w:t xml:space="preserve">[su] </w:t>
      </w:r>
      <w:r w:rsidRPr="009E44C3">
        <w:rPr>
          <w:rFonts w:ascii="Verdana" w:hAnsi="Verdana"/>
          <w:sz w:val="20"/>
          <w:szCs w:val="20"/>
          <w:lang w:val="es-CR"/>
        </w:rPr>
        <w:t>contra”</w:t>
      </w:r>
      <w:r w:rsidR="00DA37FE" w:rsidRPr="009E44C3">
        <w:rPr>
          <w:rFonts w:ascii="Verdana" w:hAnsi="Verdana"/>
          <w:sz w:val="20"/>
          <w:szCs w:val="20"/>
          <w:lang w:val="es-CR"/>
        </w:rPr>
        <w:t>. Asimismo, se hace notar</w:t>
      </w:r>
      <w:r w:rsidR="00BD7EA2" w:rsidRPr="009E44C3">
        <w:rPr>
          <w:rFonts w:ascii="Verdana" w:hAnsi="Verdana"/>
          <w:sz w:val="20"/>
          <w:szCs w:val="20"/>
          <w:lang w:val="es-CR"/>
        </w:rPr>
        <w:t xml:space="preserve"> que en el referido informe del Ministerio Público se identificó </w:t>
      </w:r>
      <w:r w:rsidR="00BD7EA2" w:rsidRPr="009E44C3">
        <w:rPr>
          <w:rFonts w:ascii="Verdana" w:hAnsi="Verdana"/>
          <w:sz w:val="20"/>
          <w:szCs w:val="20"/>
          <w:lang w:val="es-CR"/>
        </w:rPr>
        <w:lastRenderedPageBreak/>
        <w:t>como una “posible dificultad o problemática” para la investigación que “la víctima no se encuentra residiendo en el país”.</w:t>
      </w:r>
      <w:r w:rsidRPr="009E44C3">
        <w:rPr>
          <w:rFonts w:ascii="Verdana" w:hAnsi="Verdana"/>
          <w:sz w:val="20"/>
          <w:szCs w:val="20"/>
          <w:lang w:val="es-CR"/>
        </w:rPr>
        <w:t xml:space="preserve"> Al respecto, los representantes destacaron que “el hecho que la víctima no se encuentre en el país ha sido del conocimiento del Ministerio Público desde hace más de cinco años”, añadiendo que no ha realizado diligencias dirigidas a remover los obstáculos </w:t>
      </w:r>
      <w:r w:rsidR="00FA0A27" w:rsidRPr="009E44C3">
        <w:rPr>
          <w:rFonts w:ascii="Verdana" w:hAnsi="Verdana"/>
          <w:sz w:val="20"/>
          <w:szCs w:val="20"/>
          <w:lang w:val="es-CR"/>
        </w:rPr>
        <w:t>para procurar que la misma sea rendida. Asimismo, sostuvieron que el Estado debe adoptar acciones concretas y útiles para el avance de la investigación, que vayan más allá de “las acciones ya hechas, es decir, tomar declaraciones, establecer comunicación y citar a otras personas involucradas en el caso”</w:t>
      </w:r>
      <w:r w:rsidRPr="009E44C3">
        <w:rPr>
          <w:rFonts w:ascii="Verdana" w:hAnsi="Verdana"/>
          <w:sz w:val="20"/>
          <w:szCs w:val="20"/>
          <w:lang w:val="es-CR"/>
        </w:rPr>
        <w:t xml:space="preserve">. La Comisión señala que </w:t>
      </w:r>
      <w:r w:rsidR="00FA0A27" w:rsidRPr="009E44C3">
        <w:rPr>
          <w:rFonts w:ascii="Verdana" w:hAnsi="Verdana"/>
          <w:sz w:val="20"/>
          <w:szCs w:val="20"/>
          <w:lang w:val="es-CR"/>
        </w:rPr>
        <w:t>la información del Estado</w:t>
      </w:r>
      <w:r w:rsidRPr="009E44C3">
        <w:rPr>
          <w:rFonts w:ascii="Verdana" w:hAnsi="Verdana"/>
          <w:sz w:val="20"/>
          <w:szCs w:val="20"/>
          <w:lang w:val="es-CR"/>
        </w:rPr>
        <w:t xml:space="preserve"> </w:t>
      </w:r>
      <w:r w:rsidR="00FA0A27" w:rsidRPr="009E44C3">
        <w:rPr>
          <w:rFonts w:ascii="Verdana" w:hAnsi="Verdana"/>
          <w:sz w:val="20"/>
          <w:szCs w:val="20"/>
          <w:lang w:val="es-CR"/>
        </w:rPr>
        <w:t>“</w:t>
      </w:r>
      <w:r w:rsidRPr="009E44C3">
        <w:rPr>
          <w:rFonts w:ascii="Verdana" w:hAnsi="Verdana"/>
          <w:sz w:val="20"/>
          <w:szCs w:val="20"/>
          <w:lang w:val="es-CR"/>
        </w:rPr>
        <w:t xml:space="preserve">no refleja avance alguno” </w:t>
      </w:r>
      <w:r w:rsidR="00FA0A27" w:rsidRPr="009E44C3">
        <w:rPr>
          <w:rFonts w:ascii="Verdana" w:hAnsi="Verdana"/>
          <w:sz w:val="20"/>
          <w:szCs w:val="20"/>
          <w:lang w:val="es-CR"/>
        </w:rPr>
        <w:t xml:space="preserve">en la investigación, por el contrario evidencia </w:t>
      </w:r>
      <w:r w:rsidRPr="009E44C3">
        <w:rPr>
          <w:rFonts w:ascii="Verdana" w:hAnsi="Verdana"/>
          <w:sz w:val="20"/>
          <w:szCs w:val="20"/>
          <w:lang w:val="es-CR"/>
        </w:rPr>
        <w:t>“un estancamiento</w:t>
      </w:r>
      <w:r w:rsidR="00FA0A27" w:rsidRPr="009E44C3">
        <w:rPr>
          <w:rFonts w:ascii="Verdana" w:hAnsi="Verdana"/>
          <w:sz w:val="20"/>
          <w:szCs w:val="20"/>
          <w:lang w:val="es-CR"/>
        </w:rPr>
        <w:t>” de la misma</w:t>
      </w:r>
      <w:r w:rsidRPr="009E44C3">
        <w:rPr>
          <w:rFonts w:ascii="Verdana" w:hAnsi="Verdana"/>
          <w:sz w:val="20"/>
          <w:szCs w:val="20"/>
          <w:lang w:val="es-CR"/>
        </w:rPr>
        <w:t xml:space="preserve"> </w:t>
      </w:r>
      <w:r w:rsidR="00FA0A27" w:rsidRPr="009E44C3">
        <w:rPr>
          <w:rFonts w:ascii="Verdana" w:hAnsi="Verdana"/>
          <w:sz w:val="20"/>
          <w:szCs w:val="20"/>
          <w:lang w:val="es-CR"/>
        </w:rPr>
        <w:t>“</w:t>
      </w:r>
      <w:r w:rsidRPr="009E44C3">
        <w:rPr>
          <w:rFonts w:ascii="Verdana" w:hAnsi="Verdana"/>
          <w:sz w:val="20"/>
          <w:szCs w:val="20"/>
          <w:lang w:val="es-CR"/>
        </w:rPr>
        <w:t xml:space="preserve">atribuible a la falta de cumplimiento de </w:t>
      </w:r>
      <w:r w:rsidR="00FA0A27" w:rsidRPr="009E44C3">
        <w:rPr>
          <w:rFonts w:ascii="Verdana" w:hAnsi="Verdana"/>
          <w:sz w:val="20"/>
          <w:szCs w:val="20"/>
          <w:lang w:val="es-CR"/>
        </w:rPr>
        <w:t xml:space="preserve">[l]a </w:t>
      </w:r>
      <w:r w:rsidRPr="009E44C3">
        <w:rPr>
          <w:rFonts w:ascii="Verdana" w:hAnsi="Verdana"/>
          <w:sz w:val="20"/>
          <w:szCs w:val="20"/>
          <w:lang w:val="es-CR"/>
        </w:rPr>
        <w:t>diligencia</w:t>
      </w:r>
      <w:r w:rsidR="00FA0A27" w:rsidRPr="009E44C3">
        <w:rPr>
          <w:rFonts w:ascii="Verdana" w:hAnsi="Verdana"/>
          <w:sz w:val="20"/>
          <w:szCs w:val="20"/>
          <w:lang w:val="es-CR"/>
        </w:rPr>
        <w:t xml:space="preserve"> [relacionada con tomar la declaración a la señora Maritza Urrutia]</w:t>
      </w:r>
      <w:r w:rsidRPr="009E44C3">
        <w:rPr>
          <w:rFonts w:ascii="Verdana" w:hAnsi="Verdana"/>
          <w:sz w:val="20"/>
          <w:szCs w:val="20"/>
          <w:lang w:val="es-CR"/>
        </w:rPr>
        <w:t xml:space="preserve">, sin demostrar esfuerzos para verificarla y sin aportar información sobre otras medidas adoptadas en el marco de la investigación”. </w:t>
      </w:r>
      <w:bookmarkEnd w:id="81"/>
    </w:p>
    <w:p w14:paraId="2C34A67A" w14:textId="77777777" w:rsidR="005B480E" w:rsidRPr="009E44C3" w:rsidRDefault="005B480E" w:rsidP="005B480E">
      <w:pPr>
        <w:pStyle w:val="ListParagraph"/>
        <w:spacing w:after="0" w:line="240" w:lineRule="auto"/>
        <w:ind w:left="0" w:right="1444"/>
        <w:jc w:val="both"/>
        <w:rPr>
          <w:rFonts w:ascii="Verdana" w:hAnsi="Verdana"/>
          <w:sz w:val="20"/>
          <w:szCs w:val="20"/>
          <w:lang w:val="es-CR"/>
        </w:rPr>
      </w:pPr>
    </w:p>
    <w:p w14:paraId="09953DFB" w14:textId="61CE7032" w:rsidR="005B480E" w:rsidRPr="009E44C3" w:rsidRDefault="005B480E" w:rsidP="005B480E">
      <w:pPr>
        <w:pStyle w:val="ListParagraph"/>
        <w:numPr>
          <w:ilvl w:val="0"/>
          <w:numId w:val="2"/>
        </w:numPr>
        <w:spacing w:after="0" w:line="240" w:lineRule="auto"/>
        <w:ind w:left="0" w:right="1444" w:firstLine="0"/>
        <w:jc w:val="both"/>
        <w:rPr>
          <w:rFonts w:ascii="Verdana" w:hAnsi="Verdana"/>
          <w:sz w:val="20"/>
          <w:szCs w:val="20"/>
          <w:lang w:val="es-CR"/>
        </w:rPr>
      </w:pPr>
      <w:r w:rsidRPr="009E44C3">
        <w:rPr>
          <w:rFonts w:ascii="Verdana" w:hAnsi="Verdana"/>
          <w:sz w:val="20"/>
          <w:szCs w:val="20"/>
          <w:lang w:val="es-CR"/>
        </w:rPr>
        <w:t>Además, en este caso, el Ministerio Público</w:t>
      </w:r>
      <w:r w:rsidR="00FA0A27" w:rsidRPr="009E44C3">
        <w:rPr>
          <w:rFonts w:ascii="Verdana" w:hAnsi="Verdana"/>
          <w:sz w:val="20"/>
          <w:szCs w:val="20"/>
          <w:lang w:val="es-CR"/>
        </w:rPr>
        <w:t xml:space="preserve"> </w:t>
      </w:r>
      <w:r w:rsidR="009E44C3">
        <w:rPr>
          <w:rFonts w:ascii="Verdana" w:hAnsi="Verdana"/>
          <w:sz w:val="20"/>
          <w:szCs w:val="20"/>
          <w:lang w:val="es-CR"/>
        </w:rPr>
        <w:t xml:space="preserve">identificó, </w:t>
      </w:r>
      <w:r w:rsidR="00FA0A27" w:rsidRPr="009E44C3">
        <w:rPr>
          <w:rFonts w:ascii="Verdana" w:hAnsi="Verdana"/>
          <w:sz w:val="20"/>
          <w:szCs w:val="20"/>
          <w:lang w:val="es-CR"/>
        </w:rPr>
        <w:t>en su informe de mayo de 2014</w:t>
      </w:r>
      <w:r w:rsidRPr="009E44C3">
        <w:rPr>
          <w:rFonts w:ascii="Verdana" w:hAnsi="Verdana"/>
          <w:sz w:val="20"/>
          <w:szCs w:val="20"/>
          <w:lang w:val="es-CR"/>
        </w:rPr>
        <w:t xml:space="preserve">, </w:t>
      </w:r>
      <w:r w:rsidR="006F64E0" w:rsidRPr="009E44C3">
        <w:rPr>
          <w:rFonts w:ascii="Verdana" w:hAnsi="Verdana"/>
          <w:sz w:val="20"/>
          <w:szCs w:val="20"/>
          <w:lang w:val="es-CR"/>
        </w:rPr>
        <w:t>como una “posible problemática o dificultad” para la investigación</w:t>
      </w:r>
      <w:r w:rsidR="00FA0A27" w:rsidRPr="009E44C3">
        <w:rPr>
          <w:rFonts w:ascii="Verdana" w:hAnsi="Verdana"/>
          <w:sz w:val="20"/>
          <w:szCs w:val="20"/>
          <w:lang w:val="es-CR"/>
        </w:rPr>
        <w:t>,</w:t>
      </w:r>
      <w:r w:rsidR="006F64E0" w:rsidRPr="009E44C3">
        <w:rPr>
          <w:rFonts w:ascii="Verdana" w:hAnsi="Verdana"/>
          <w:sz w:val="20"/>
          <w:szCs w:val="20"/>
          <w:lang w:val="es-CR"/>
        </w:rPr>
        <w:t xml:space="preserve"> la negativa d</w:t>
      </w:r>
      <w:r w:rsidRPr="009E44C3">
        <w:rPr>
          <w:rFonts w:ascii="Verdana" w:hAnsi="Verdana"/>
          <w:sz w:val="20"/>
          <w:szCs w:val="20"/>
          <w:lang w:val="es-CR"/>
        </w:rPr>
        <w:t xml:space="preserve">el Instituto de Previsión Militar </w:t>
      </w:r>
      <w:r w:rsidR="006F64E0" w:rsidRPr="009E44C3">
        <w:rPr>
          <w:rFonts w:ascii="Verdana" w:hAnsi="Verdana"/>
          <w:sz w:val="20"/>
          <w:szCs w:val="20"/>
          <w:lang w:val="es-CR"/>
        </w:rPr>
        <w:t>en</w:t>
      </w:r>
      <w:r w:rsidRPr="009E44C3">
        <w:rPr>
          <w:rFonts w:ascii="Verdana" w:hAnsi="Verdana"/>
          <w:sz w:val="20"/>
          <w:szCs w:val="20"/>
          <w:lang w:val="es-CR"/>
        </w:rPr>
        <w:t xml:space="preserve"> agosto de 2009 </w:t>
      </w:r>
      <w:r w:rsidR="009E44C3">
        <w:rPr>
          <w:rFonts w:ascii="Verdana" w:hAnsi="Verdana"/>
          <w:sz w:val="20"/>
          <w:szCs w:val="20"/>
          <w:lang w:val="es-CR"/>
        </w:rPr>
        <w:t>de atender su</w:t>
      </w:r>
      <w:r w:rsidR="00C60465" w:rsidRPr="009E44C3">
        <w:rPr>
          <w:rFonts w:ascii="Verdana" w:hAnsi="Verdana"/>
          <w:sz w:val="20"/>
          <w:szCs w:val="20"/>
          <w:lang w:val="es-CR"/>
        </w:rPr>
        <w:t xml:space="preserve"> solicitud de </w:t>
      </w:r>
      <w:r w:rsidRPr="009E44C3">
        <w:rPr>
          <w:rFonts w:ascii="Verdana" w:hAnsi="Verdana"/>
          <w:sz w:val="20"/>
          <w:szCs w:val="20"/>
          <w:lang w:val="es-CR"/>
        </w:rPr>
        <w:t xml:space="preserve">información sobre los datos que obraran en </w:t>
      </w:r>
      <w:r w:rsidR="00C60465" w:rsidRPr="009E44C3">
        <w:rPr>
          <w:rFonts w:ascii="Verdana" w:hAnsi="Verdana"/>
          <w:sz w:val="20"/>
          <w:szCs w:val="20"/>
          <w:lang w:val="es-CR"/>
        </w:rPr>
        <w:t xml:space="preserve">los </w:t>
      </w:r>
      <w:r w:rsidRPr="009E44C3">
        <w:rPr>
          <w:rFonts w:ascii="Verdana" w:hAnsi="Verdana"/>
          <w:sz w:val="20"/>
          <w:szCs w:val="20"/>
          <w:lang w:val="es-CR"/>
        </w:rPr>
        <w:t xml:space="preserve">archivos </w:t>
      </w:r>
      <w:r w:rsidR="00C60465" w:rsidRPr="009E44C3">
        <w:rPr>
          <w:rFonts w:ascii="Verdana" w:hAnsi="Verdana"/>
          <w:sz w:val="20"/>
          <w:szCs w:val="20"/>
          <w:lang w:val="es-CR"/>
        </w:rPr>
        <w:t>de dicho Instituto respecto de una persona en particular</w:t>
      </w:r>
      <w:r w:rsidRPr="009E44C3">
        <w:rPr>
          <w:rFonts w:ascii="Verdana" w:hAnsi="Verdana"/>
          <w:sz w:val="20"/>
          <w:szCs w:val="20"/>
          <w:lang w:val="es-CR"/>
        </w:rPr>
        <w:t xml:space="preserve">, </w:t>
      </w:r>
      <w:r w:rsidR="00C60465" w:rsidRPr="009E44C3">
        <w:rPr>
          <w:rFonts w:ascii="Verdana" w:hAnsi="Verdana"/>
          <w:sz w:val="20"/>
          <w:szCs w:val="20"/>
          <w:lang w:val="es-CR"/>
        </w:rPr>
        <w:t xml:space="preserve">ya </w:t>
      </w:r>
      <w:r w:rsidRPr="009E44C3">
        <w:rPr>
          <w:rFonts w:ascii="Verdana" w:hAnsi="Verdana"/>
          <w:sz w:val="20"/>
          <w:szCs w:val="20"/>
          <w:lang w:val="es-CR"/>
        </w:rPr>
        <w:t xml:space="preserve">que </w:t>
      </w:r>
      <w:r w:rsidR="00C60465" w:rsidRPr="009E44C3">
        <w:rPr>
          <w:rFonts w:ascii="Verdana" w:hAnsi="Verdana"/>
          <w:sz w:val="20"/>
          <w:szCs w:val="20"/>
          <w:lang w:val="es-CR"/>
        </w:rPr>
        <w:t xml:space="preserve">no existía </w:t>
      </w:r>
      <w:r w:rsidR="000E3EA1">
        <w:rPr>
          <w:rFonts w:ascii="Verdana" w:hAnsi="Verdana"/>
          <w:sz w:val="20"/>
          <w:szCs w:val="20"/>
          <w:lang w:val="es-CR"/>
        </w:rPr>
        <w:t>orden por parte de j</w:t>
      </w:r>
      <w:r w:rsidRPr="009E44C3">
        <w:rPr>
          <w:rFonts w:ascii="Verdana" w:hAnsi="Verdana"/>
          <w:sz w:val="20"/>
          <w:szCs w:val="20"/>
          <w:lang w:val="es-CR"/>
        </w:rPr>
        <w:t>uez competente</w:t>
      </w:r>
      <w:r w:rsidR="00C60465" w:rsidRPr="009E44C3">
        <w:rPr>
          <w:rFonts w:ascii="Verdana" w:hAnsi="Verdana"/>
          <w:sz w:val="20"/>
          <w:szCs w:val="20"/>
          <w:lang w:val="es-CR"/>
        </w:rPr>
        <w:t xml:space="preserve"> para proporcionarla</w:t>
      </w:r>
      <w:r w:rsidRPr="009E44C3">
        <w:rPr>
          <w:rFonts w:ascii="Verdana" w:hAnsi="Verdana"/>
          <w:sz w:val="20"/>
          <w:szCs w:val="20"/>
          <w:lang w:val="es-CR"/>
        </w:rPr>
        <w:t xml:space="preserve">. Al respecto, </w:t>
      </w:r>
      <w:r w:rsidR="00103853" w:rsidRPr="009E44C3">
        <w:rPr>
          <w:rFonts w:ascii="Verdana" w:hAnsi="Verdana"/>
          <w:sz w:val="20"/>
          <w:szCs w:val="20"/>
          <w:lang w:val="es-CR"/>
        </w:rPr>
        <w:t xml:space="preserve">la Corte se referirá posteriormente a los obstáculos en el acceso a la información </w:t>
      </w:r>
      <w:r w:rsidR="00C60465" w:rsidRPr="009E44C3">
        <w:rPr>
          <w:rFonts w:ascii="Verdana" w:hAnsi="Verdana"/>
          <w:sz w:val="20"/>
          <w:szCs w:val="20"/>
          <w:lang w:val="es-CR"/>
        </w:rPr>
        <w:t xml:space="preserve">relevante para la investigación, </w:t>
      </w:r>
      <w:r w:rsidR="00103853" w:rsidRPr="009E44C3">
        <w:rPr>
          <w:rFonts w:ascii="Verdana" w:hAnsi="Verdana"/>
          <w:sz w:val="20"/>
          <w:szCs w:val="20"/>
          <w:lang w:val="es-CR"/>
        </w:rPr>
        <w:t xml:space="preserve">en manos </w:t>
      </w:r>
      <w:r w:rsidR="00C60465" w:rsidRPr="009E44C3">
        <w:rPr>
          <w:rFonts w:ascii="Verdana" w:hAnsi="Verdana"/>
          <w:sz w:val="20"/>
          <w:szCs w:val="20"/>
          <w:lang w:val="es-CR"/>
        </w:rPr>
        <w:t xml:space="preserve">principalmente de </w:t>
      </w:r>
      <w:r w:rsidR="00103853" w:rsidRPr="009E44C3">
        <w:rPr>
          <w:rFonts w:ascii="Verdana" w:hAnsi="Verdana"/>
          <w:sz w:val="20"/>
          <w:szCs w:val="20"/>
          <w:lang w:val="es-CR"/>
        </w:rPr>
        <w:t>instituciones militares (</w:t>
      </w:r>
      <w:r w:rsidR="00103853" w:rsidRPr="009E44C3">
        <w:rPr>
          <w:rFonts w:ascii="Verdana" w:hAnsi="Verdana"/>
          <w:i/>
          <w:sz w:val="20"/>
          <w:szCs w:val="20"/>
          <w:lang w:val="es-CR"/>
        </w:rPr>
        <w:t>infra</w:t>
      </w:r>
      <w:r w:rsidR="00103853" w:rsidRPr="009E44C3">
        <w:rPr>
          <w:rFonts w:ascii="Verdana" w:hAnsi="Verdana"/>
          <w:sz w:val="20"/>
          <w:szCs w:val="20"/>
          <w:lang w:val="es-CR"/>
        </w:rPr>
        <w:t xml:space="preserve"> Considerando </w:t>
      </w:r>
      <w:r w:rsidR="00D730C9" w:rsidRPr="009E44C3">
        <w:rPr>
          <w:rFonts w:ascii="Verdana" w:hAnsi="Verdana"/>
          <w:sz w:val="20"/>
          <w:szCs w:val="20"/>
          <w:lang w:val="es-CR"/>
        </w:rPr>
        <w:fldChar w:fldCharType="begin"/>
      </w:r>
      <w:r w:rsidR="00D730C9" w:rsidRPr="009E44C3">
        <w:rPr>
          <w:rFonts w:ascii="Verdana" w:hAnsi="Verdana"/>
          <w:sz w:val="20"/>
          <w:szCs w:val="20"/>
          <w:lang w:val="es-CR"/>
        </w:rPr>
        <w:instrText xml:space="preserve"> REF _Ref437858242 \r \h </w:instrText>
      </w:r>
      <w:r w:rsidR="004B4974" w:rsidRPr="009E44C3">
        <w:rPr>
          <w:rFonts w:ascii="Verdana" w:hAnsi="Verdana"/>
          <w:sz w:val="20"/>
          <w:szCs w:val="20"/>
          <w:lang w:val="es-CR"/>
        </w:rPr>
        <w:instrText xml:space="preserve"> \* MERGEFORMAT </w:instrText>
      </w:r>
      <w:r w:rsidR="00D730C9" w:rsidRPr="009E44C3">
        <w:rPr>
          <w:rFonts w:ascii="Verdana" w:hAnsi="Verdana"/>
          <w:sz w:val="20"/>
          <w:szCs w:val="20"/>
          <w:lang w:val="es-CR"/>
        </w:rPr>
      </w:r>
      <w:r w:rsidR="00D730C9" w:rsidRPr="009E44C3">
        <w:rPr>
          <w:rFonts w:ascii="Verdana" w:hAnsi="Verdana"/>
          <w:sz w:val="20"/>
          <w:szCs w:val="20"/>
          <w:lang w:val="es-CR"/>
        </w:rPr>
        <w:fldChar w:fldCharType="separate"/>
      </w:r>
      <w:r w:rsidR="007E3C4B">
        <w:rPr>
          <w:rFonts w:ascii="Verdana" w:hAnsi="Verdana"/>
          <w:sz w:val="20"/>
          <w:szCs w:val="20"/>
          <w:lang w:val="es-CR"/>
        </w:rPr>
        <w:t>127</w:t>
      </w:r>
      <w:r w:rsidR="00D730C9" w:rsidRPr="009E44C3">
        <w:rPr>
          <w:rFonts w:ascii="Verdana" w:hAnsi="Verdana"/>
          <w:sz w:val="20"/>
          <w:szCs w:val="20"/>
          <w:lang w:val="es-CR"/>
        </w:rPr>
        <w:fldChar w:fldCharType="end"/>
      </w:r>
      <w:r w:rsidR="00D730C9" w:rsidRPr="009E44C3">
        <w:rPr>
          <w:rFonts w:ascii="Verdana" w:hAnsi="Verdana"/>
          <w:sz w:val="20"/>
          <w:szCs w:val="20"/>
          <w:lang w:val="es-CR"/>
        </w:rPr>
        <w:t xml:space="preserve"> a </w:t>
      </w:r>
      <w:r w:rsidR="00D730C9" w:rsidRPr="009E44C3">
        <w:rPr>
          <w:rFonts w:ascii="Verdana" w:hAnsi="Verdana"/>
          <w:sz w:val="20"/>
          <w:szCs w:val="20"/>
          <w:lang w:val="es-CR"/>
        </w:rPr>
        <w:fldChar w:fldCharType="begin"/>
      </w:r>
      <w:r w:rsidR="00D730C9" w:rsidRPr="009E44C3">
        <w:rPr>
          <w:rFonts w:ascii="Verdana" w:hAnsi="Verdana"/>
          <w:sz w:val="20"/>
          <w:szCs w:val="20"/>
          <w:lang w:val="es-CR"/>
        </w:rPr>
        <w:instrText xml:space="preserve"> REF _Ref437939544 \r \h </w:instrText>
      </w:r>
      <w:r w:rsidR="004B4974" w:rsidRPr="009E44C3">
        <w:rPr>
          <w:rFonts w:ascii="Verdana" w:hAnsi="Verdana"/>
          <w:sz w:val="20"/>
          <w:szCs w:val="20"/>
          <w:lang w:val="es-CR"/>
        </w:rPr>
        <w:instrText xml:space="preserve"> \* MERGEFORMAT </w:instrText>
      </w:r>
      <w:r w:rsidR="00D730C9" w:rsidRPr="009E44C3">
        <w:rPr>
          <w:rFonts w:ascii="Verdana" w:hAnsi="Verdana"/>
          <w:sz w:val="20"/>
          <w:szCs w:val="20"/>
          <w:lang w:val="es-CR"/>
        </w:rPr>
      </w:r>
      <w:r w:rsidR="00D730C9" w:rsidRPr="009E44C3">
        <w:rPr>
          <w:rFonts w:ascii="Verdana" w:hAnsi="Verdana"/>
          <w:sz w:val="20"/>
          <w:szCs w:val="20"/>
          <w:lang w:val="es-CR"/>
        </w:rPr>
        <w:fldChar w:fldCharType="separate"/>
      </w:r>
      <w:r w:rsidR="007E3C4B">
        <w:rPr>
          <w:rFonts w:ascii="Verdana" w:hAnsi="Verdana"/>
          <w:sz w:val="20"/>
          <w:szCs w:val="20"/>
          <w:lang w:val="es-CR"/>
        </w:rPr>
        <w:t>131</w:t>
      </w:r>
      <w:r w:rsidR="00D730C9" w:rsidRPr="009E44C3">
        <w:rPr>
          <w:rFonts w:ascii="Verdana" w:hAnsi="Verdana"/>
          <w:sz w:val="20"/>
          <w:szCs w:val="20"/>
          <w:lang w:val="es-CR"/>
        </w:rPr>
        <w:fldChar w:fldCharType="end"/>
      </w:r>
      <w:r w:rsidR="00103853" w:rsidRPr="009E44C3">
        <w:rPr>
          <w:rFonts w:ascii="Verdana" w:hAnsi="Verdana"/>
          <w:sz w:val="20"/>
          <w:szCs w:val="20"/>
          <w:lang w:val="es-CR"/>
        </w:rPr>
        <w:t>).</w:t>
      </w:r>
    </w:p>
    <w:p w14:paraId="33C6C6F9" w14:textId="77777777" w:rsidR="005B480E" w:rsidRPr="0032068E" w:rsidRDefault="005B480E" w:rsidP="005B480E">
      <w:pPr>
        <w:pStyle w:val="ListParagraph"/>
        <w:spacing w:after="0" w:line="240" w:lineRule="auto"/>
        <w:ind w:left="0" w:right="1444"/>
        <w:jc w:val="both"/>
        <w:rPr>
          <w:rFonts w:ascii="Verdana" w:hAnsi="Verdana"/>
          <w:sz w:val="20"/>
          <w:szCs w:val="20"/>
          <w:lang w:val="es-CR"/>
        </w:rPr>
      </w:pPr>
    </w:p>
    <w:p w14:paraId="1AEB03CE" w14:textId="47B3138B" w:rsidR="00577BD4" w:rsidRDefault="00320559" w:rsidP="00320559">
      <w:pPr>
        <w:pStyle w:val="ListParagraph"/>
        <w:numPr>
          <w:ilvl w:val="0"/>
          <w:numId w:val="2"/>
        </w:numPr>
        <w:spacing w:after="0" w:line="240" w:lineRule="auto"/>
        <w:ind w:left="0" w:right="1444" w:firstLine="0"/>
        <w:jc w:val="both"/>
        <w:rPr>
          <w:rFonts w:ascii="Verdana" w:hAnsi="Verdana"/>
          <w:sz w:val="20"/>
          <w:szCs w:val="20"/>
          <w:lang w:val="es-CR"/>
        </w:rPr>
      </w:pPr>
      <w:bookmarkStart w:id="82" w:name="_Ref437962577"/>
      <w:r w:rsidRPr="0032068E">
        <w:rPr>
          <w:rFonts w:ascii="Verdana" w:hAnsi="Verdana"/>
          <w:sz w:val="20"/>
          <w:szCs w:val="20"/>
          <w:lang w:val="es-CR"/>
        </w:rPr>
        <w:t xml:space="preserve">La Corte </w:t>
      </w:r>
      <w:r w:rsidR="00F91F70">
        <w:rPr>
          <w:rFonts w:ascii="Verdana" w:hAnsi="Verdana"/>
          <w:sz w:val="20"/>
          <w:szCs w:val="20"/>
          <w:lang w:val="es-CR"/>
        </w:rPr>
        <w:t>observa</w:t>
      </w:r>
      <w:r w:rsidRPr="0032068E">
        <w:rPr>
          <w:rFonts w:ascii="Verdana" w:hAnsi="Verdana"/>
          <w:sz w:val="20"/>
          <w:szCs w:val="20"/>
          <w:lang w:val="es-CR"/>
        </w:rPr>
        <w:t xml:space="preserve"> que han transcurrido aproximadamente 23 años </w:t>
      </w:r>
      <w:r w:rsidR="00A05819">
        <w:rPr>
          <w:rFonts w:ascii="Verdana" w:hAnsi="Verdana"/>
          <w:sz w:val="20"/>
          <w:szCs w:val="20"/>
          <w:lang w:val="es-CR"/>
        </w:rPr>
        <w:t>desde que</w:t>
      </w:r>
      <w:r w:rsidRPr="0032068E">
        <w:rPr>
          <w:rFonts w:ascii="Verdana" w:hAnsi="Verdana"/>
          <w:sz w:val="20"/>
          <w:szCs w:val="20"/>
          <w:lang w:val="es-CR"/>
        </w:rPr>
        <w:t xml:space="preserve"> ocurrieron los hechos, y aproximadamente 12 años desde que emitió su Sentencia </w:t>
      </w:r>
      <w:r w:rsidR="00F91F70">
        <w:rPr>
          <w:rFonts w:ascii="Verdana" w:hAnsi="Verdana"/>
          <w:sz w:val="20"/>
          <w:szCs w:val="20"/>
          <w:lang w:val="es-CR"/>
        </w:rPr>
        <w:t>y aún no ha habido avances sustanciales en la investigación</w:t>
      </w:r>
      <w:r w:rsidRPr="0032068E">
        <w:rPr>
          <w:rFonts w:ascii="Verdana" w:hAnsi="Verdana"/>
          <w:sz w:val="20"/>
          <w:szCs w:val="20"/>
          <w:lang w:val="es-CR"/>
        </w:rPr>
        <w:t xml:space="preserve">. </w:t>
      </w:r>
      <w:r w:rsidR="00631A59">
        <w:rPr>
          <w:rFonts w:ascii="Verdana" w:hAnsi="Verdana"/>
          <w:sz w:val="20"/>
          <w:szCs w:val="20"/>
          <w:lang w:val="es-CR"/>
        </w:rPr>
        <w:t xml:space="preserve">Si bien </w:t>
      </w:r>
      <w:r w:rsidR="00631A59" w:rsidRPr="0032068E">
        <w:rPr>
          <w:rFonts w:ascii="Verdana" w:hAnsi="Verdana"/>
          <w:sz w:val="20"/>
          <w:szCs w:val="20"/>
          <w:lang w:val="es-CR"/>
        </w:rPr>
        <w:t xml:space="preserve">la Corte entiende la necesidad </w:t>
      </w:r>
      <w:r w:rsidR="00631A59">
        <w:rPr>
          <w:rFonts w:ascii="Verdana" w:hAnsi="Verdana"/>
          <w:sz w:val="20"/>
          <w:szCs w:val="20"/>
          <w:lang w:val="es-CR"/>
        </w:rPr>
        <w:t>de recabar información sobre la víctima Maritza Urrutia</w:t>
      </w:r>
      <w:r w:rsidR="00631A59" w:rsidRPr="0032068E">
        <w:rPr>
          <w:rFonts w:ascii="Verdana" w:hAnsi="Verdana"/>
          <w:sz w:val="20"/>
          <w:szCs w:val="20"/>
          <w:lang w:val="es-CR"/>
        </w:rPr>
        <w:t xml:space="preserve"> a fin de esclarecer los hechos y llevar a cabo una investigación diligente, no encuentra justificable ni razonable que durante </w:t>
      </w:r>
      <w:r w:rsidR="00631A59">
        <w:rPr>
          <w:rFonts w:ascii="Verdana" w:hAnsi="Verdana"/>
          <w:sz w:val="20"/>
          <w:szCs w:val="20"/>
          <w:lang w:val="es-CR"/>
        </w:rPr>
        <w:t>un prolongado</w:t>
      </w:r>
      <w:r w:rsidR="00631A59" w:rsidRPr="0032068E">
        <w:rPr>
          <w:rFonts w:ascii="Verdana" w:hAnsi="Verdana"/>
          <w:sz w:val="20"/>
          <w:szCs w:val="20"/>
          <w:lang w:val="es-CR"/>
        </w:rPr>
        <w:t xml:space="preserve"> período </w:t>
      </w:r>
      <w:r w:rsidR="00631A59">
        <w:rPr>
          <w:rFonts w:ascii="Verdana" w:hAnsi="Verdana"/>
          <w:sz w:val="20"/>
          <w:szCs w:val="20"/>
          <w:lang w:val="es-CR"/>
        </w:rPr>
        <w:t xml:space="preserve">de </w:t>
      </w:r>
      <w:r w:rsidR="00631A59" w:rsidRPr="0032068E">
        <w:rPr>
          <w:rFonts w:ascii="Verdana" w:hAnsi="Verdana"/>
          <w:sz w:val="20"/>
          <w:szCs w:val="20"/>
          <w:lang w:val="es-CR"/>
        </w:rPr>
        <w:t xml:space="preserve">tiempo </w:t>
      </w:r>
      <w:r w:rsidR="00631A59">
        <w:rPr>
          <w:rFonts w:ascii="Verdana" w:hAnsi="Verdana"/>
          <w:sz w:val="20"/>
          <w:szCs w:val="20"/>
          <w:lang w:val="es-CR"/>
        </w:rPr>
        <w:t>las</w:t>
      </w:r>
      <w:r w:rsidR="00631A59" w:rsidRPr="0032068E">
        <w:rPr>
          <w:rFonts w:ascii="Verdana" w:hAnsi="Verdana"/>
          <w:sz w:val="20"/>
          <w:szCs w:val="20"/>
          <w:lang w:val="es-CR"/>
        </w:rPr>
        <w:t xml:space="preserve"> solicitudes de información hayan sido el eje central de las diligencias realizadas por las autoridades a cargo de la investigación de los hechos del presente caso</w:t>
      </w:r>
      <w:r w:rsidR="00631A59">
        <w:rPr>
          <w:rStyle w:val="FootnoteReference"/>
          <w:rFonts w:ascii="Verdana" w:hAnsi="Verdana"/>
          <w:sz w:val="20"/>
          <w:szCs w:val="20"/>
          <w:lang w:val="es-CR"/>
        </w:rPr>
        <w:footnoteReference w:id="83"/>
      </w:r>
      <w:r w:rsidR="00631A59" w:rsidRPr="0032068E">
        <w:rPr>
          <w:rFonts w:ascii="Verdana" w:hAnsi="Verdana"/>
          <w:sz w:val="20"/>
          <w:szCs w:val="20"/>
          <w:lang w:val="es-CR"/>
        </w:rPr>
        <w:t xml:space="preserve">. </w:t>
      </w:r>
      <w:r w:rsidR="00577BD4" w:rsidRPr="00577BD4">
        <w:rPr>
          <w:rFonts w:ascii="Verdana" w:hAnsi="Verdana"/>
          <w:sz w:val="20"/>
          <w:szCs w:val="20"/>
          <w:lang w:val="es-CR"/>
        </w:rPr>
        <w:t>La Corte recuerda que la debida diligencia en una investigación exige que la misma sea desarrollada con el fin de comprobar materialmente los hechos e identificar a los responsables y, eventualmente, sancionarlos</w:t>
      </w:r>
      <w:r w:rsidR="00577BD4" w:rsidRPr="00577BD4">
        <w:rPr>
          <w:rStyle w:val="FootnoteReference"/>
          <w:rFonts w:ascii="Verdana" w:hAnsi="Verdana"/>
          <w:sz w:val="20"/>
          <w:szCs w:val="20"/>
          <w:lang w:val="es-CR"/>
        </w:rPr>
        <w:footnoteReference w:id="84"/>
      </w:r>
      <w:r w:rsidR="00577BD4" w:rsidRPr="00577BD4">
        <w:rPr>
          <w:rFonts w:ascii="Verdana" w:hAnsi="Verdana"/>
          <w:sz w:val="20"/>
          <w:szCs w:val="20"/>
          <w:lang w:val="es-CR"/>
        </w:rPr>
        <w:t xml:space="preserve">. </w:t>
      </w:r>
    </w:p>
    <w:p w14:paraId="2BECD86F" w14:textId="77777777" w:rsidR="00577BD4" w:rsidRPr="00577BD4" w:rsidRDefault="00577BD4" w:rsidP="00577BD4">
      <w:pPr>
        <w:pStyle w:val="ListParagraph"/>
        <w:rPr>
          <w:rFonts w:ascii="Verdana" w:hAnsi="Verdana"/>
          <w:sz w:val="20"/>
          <w:szCs w:val="20"/>
          <w:lang w:val="es-CR"/>
        </w:rPr>
      </w:pPr>
    </w:p>
    <w:p w14:paraId="1E891A20" w14:textId="4717CD57" w:rsidR="00320559" w:rsidRPr="0032068E" w:rsidRDefault="00577BD4" w:rsidP="00320559">
      <w:pPr>
        <w:pStyle w:val="ListParagraph"/>
        <w:numPr>
          <w:ilvl w:val="0"/>
          <w:numId w:val="2"/>
        </w:numPr>
        <w:spacing w:after="0" w:line="240" w:lineRule="auto"/>
        <w:ind w:left="0" w:right="1444" w:firstLine="0"/>
        <w:jc w:val="both"/>
        <w:rPr>
          <w:rFonts w:ascii="Verdana" w:hAnsi="Verdana"/>
          <w:sz w:val="20"/>
          <w:szCs w:val="20"/>
          <w:lang w:val="es-CR"/>
        </w:rPr>
      </w:pPr>
      <w:r w:rsidRPr="00244E5F">
        <w:rPr>
          <w:rFonts w:ascii="Verdana" w:hAnsi="Verdana"/>
          <w:sz w:val="20"/>
          <w:szCs w:val="20"/>
          <w:lang w:val="es-CR"/>
        </w:rPr>
        <w:t>Asimismo, la Corte tampoco encuentra justificable ni razonable que</w:t>
      </w:r>
      <w:r w:rsidR="00B773ED" w:rsidRPr="00244E5F">
        <w:rPr>
          <w:rFonts w:ascii="Verdana" w:hAnsi="Verdana"/>
          <w:sz w:val="20"/>
          <w:szCs w:val="20"/>
          <w:lang w:val="es-CR"/>
        </w:rPr>
        <w:t xml:space="preserve"> no hayan habido mayores avances en la investigación debido a que no se ha recabado el testimonio de</w:t>
      </w:r>
      <w:r w:rsidR="00320559" w:rsidRPr="00244E5F">
        <w:rPr>
          <w:rFonts w:ascii="Verdana" w:hAnsi="Verdana"/>
          <w:sz w:val="20"/>
          <w:szCs w:val="20"/>
          <w:lang w:val="es-CR"/>
        </w:rPr>
        <w:t xml:space="preserve"> la víctima </w:t>
      </w:r>
      <w:r w:rsidR="00B773ED" w:rsidRPr="00244E5F">
        <w:rPr>
          <w:rFonts w:ascii="Verdana" w:hAnsi="Verdana"/>
          <w:sz w:val="20"/>
          <w:szCs w:val="20"/>
          <w:lang w:val="es-CR"/>
        </w:rPr>
        <w:t xml:space="preserve">por encontrarse </w:t>
      </w:r>
      <w:r w:rsidR="00320559" w:rsidRPr="00244E5F">
        <w:rPr>
          <w:rFonts w:ascii="Verdana" w:hAnsi="Verdana"/>
          <w:sz w:val="20"/>
          <w:szCs w:val="20"/>
          <w:lang w:val="es-CR"/>
        </w:rPr>
        <w:t>en el extranjero</w:t>
      </w:r>
      <w:r w:rsidR="00B773ED" w:rsidRPr="00244E5F">
        <w:rPr>
          <w:rFonts w:ascii="Verdana" w:hAnsi="Verdana"/>
          <w:sz w:val="20"/>
          <w:szCs w:val="20"/>
          <w:lang w:val="es-CR"/>
        </w:rPr>
        <w:t>, lo cual</w:t>
      </w:r>
      <w:r w:rsidR="00320559" w:rsidRPr="00244E5F">
        <w:rPr>
          <w:rFonts w:ascii="Verdana" w:hAnsi="Verdana"/>
          <w:sz w:val="20"/>
          <w:szCs w:val="20"/>
          <w:lang w:val="es-CR"/>
        </w:rPr>
        <w:t xml:space="preserve"> muestra la falta de voluntad del Estado en cumplir con </w:t>
      </w:r>
      <w:r w:rsidR="00B773ED" w:rsidRPr="00244E5F">
        <w:rPr>
          <w:rFonts w:ascii="Verdana" w:hAnsi="Verdana"/>
          <w:sz w:val="20"/>
          <w:szCs w:val="20"/>
          <w:lang w:val="es-CR"/>
        </w:rPr>
        <w:t>la obligación de investigar</w:t>
      </w:r>
      <w:r w:rsidR="00320559" w:rsidRPr="00244E5F">
        <w:rPr>
          <w:rFonts w:ascii="Verdana" w:hAnsi="Verdana"/>
          <w:sz w:val="20"/>
          <w:szCs w:val="20"/>
          <w:lang w:val="es-CR"/>
        </w:rPr>
        <w:t>, y promueve que dichas graves violaciones a derechos humanos queden impunes.</w:t>
      </w:r>
      <w:r w:rsidR="00320559" w:rsidRPr="004E6D6D">
        <w:rPr>
          <w:rFonts w:ascii="Verdana" w:hAnsi="Verdana"/>
          <w:sz w:val="20"/>
          <w:szCs w:val="20"/>
          <w:lang w:val="es-CR"/>
        </w:rPr>
        <w:t xml:space="preserve"> </w:t>
      </w:r>
      <w:r w:rsidR="000E3EA1">
        <w:rPr>
          <w:rFonts w:ascii="Verdana" w:hAnsi="Verdana"/>
          <w:sz w:val="20"/>
          <w:szCs w:val="20"/>
          <w:lang w:val="es-CR"/>
        </w:rPr>
        <w:t>E</w:t>
      </w:r>
      <w:r w:rsidR="004E6D6D">
        <w:rPr>
          <w:rFonts w:ascii="Verdana" w:hAnsi="Verdana"/>
          <w:sz w:val="20"/>
          <w:szCs w:val="20"/>
          <w:lang w:val="es-CR"/>
        </w:rPr>
        <w:t xml:space="preserve">l Estado no puede excusarse en la falta de la declaración o participación de la víctima para justificar la falta de avances en la investigación o eximirse de su obligación de investigar, pues ello no se condice con el deber estatal de conducir de oficio la investigación de graves violaciones de derechos humanos. </w:t>
      </w:r>
      <w:r w:rsidR="004A1EFC" w:rsidRPr="0032068E">
        <w:rPr>
          <w:rFonts w:ascii="Verdana" w:hAnsi="Verdana"/>
          <w:sz w:val="20"/>
          <w:szCs w:val="20"/>
          <w:lang w:val="es-CR"/>
        </w:rPr>
        <w:t xml:space="preserve"> </w:t>
      </w:r>
      <w:bookmarkEnd w:id="82"/>
    </w:p>
    <w:p w14:paraId="0CBBEE1B" w14:textId="77777777" w:rsidR="00320559" w:rsidRPr="0032068E" w:rsidRDefault="00320559" w:rsidP="00320559">
      <w:pPr>
        <w:pStyle w:val="ListParagraph"/>
        <w:rPr>
          <w:rFonts w:ascii="Verdana" w:hAnsi="Verdana"/>
          <w:sz w:val="20"/>
          <w:szCs w:val="20"/>
          <w:lang w:val="es-CR"/>
        </w:rPr>
      </w:pPr>
    </w:p>
    <w:p w14:paraId="20AA494B" w14:textId="6CC1BAB3" w:rsidR="00320559" w:rsidRPr="007C41A8" w:rsidRDefault="00320559" w:rsidP="00320559">
      <w:pPr>
        <w:pStyle w:val="ListParagraph"/>
        <w:numPr>
          <w:ilvl w:val="0"/>
          <w:numId w:val="2"/>
        </w:numPr>
        <w:spacing w:after="0" w:line="240" w:lineRule="auto"/>
        <w:ind w:left="0" w:right="1444" w:firstLine="0"/>
        <w:jc w:val="both"/>
        <w:rPr>
          <w:rFonts w:ascii="Verdana" w:hAnsi="Verdana"/>
          <w:sz w:val="20"/>
          <w:szCs w:val="20"/>
          <w:lang w:val="es-CR"/>
        </w:rPr>
      </w:pPr>
      <w:bookmarkStart w:id="83" w:name="_Ref437964385"/>
      <w:r w:rsidRPr="007C41A8">
        <w:rPr>
          <w:rFonts w:ascii="Verdana" w:hAnsi="Verdana"/>
          <w:sz w:val="20"/>
          <w:szCs w:val="20"/>
          <w:lang w:val="es-CR"/>
        </w:rPr>
        <w:t xml:space="preserve">Por lo tanto, la Corte </w:t>
      </w:r>
      <w:r w:rsidR="009160F7" w:rsidRPr="007C41A8">
        <w:rPr>
          <w:rFonts w:ascii="Verdana" w:hAnsi="Verdana"/>
          <w:sz w:val="20"/>
          <w:szCs w:val="20"/>
          <w:lang w:val="es-CR"/>
        </w:rPr>
        <w:t>requiere</w:t>
      </w:r>
      <w:r w:rsidRPr="007C41A8">
        <w:rPr>
          <w:rFonts w:ascii="Verdana" w:hAnsi="Verdana"/>
          <w:sz w:val="20"/>
          <w:szCs w:val="20"/>
          <w:lang w:val="es-CR"/>
        </w:rPr>
        <w:t xml:space="preserve"> </w:t>
      </w:r>
      <w:r w:rsidR="007C41A8">
        <w:rPr>
          <w:rFonts w:ascii="Verdana" w:hAnsi="Verdana"/>
          <w:sz w:val="20"/>
          <w:szCs w:val="20"/>
          <w:lang w:val="es-CR"/>
        </w:rPr>
        <w:t>que el</w:t>
      </w:r>
      <w:r w:rsidR="007C41A8" w:rsidRPr="007C41A8">
        <w:rPr>
          <w:rFonts w:ascii="Verdana" w:hAnsi="Verdana"/>
          <w:sz w:val="20"/>
          <w:szCs w:val="20"/>
          <w:lang w:val="es-CR"/>
        </w:rPr>
        <w:t xml:space="preserve"> </w:t>
      </w:r>
      <w:r w:rsidRPr="007C41A8">
        <w:rPr>
          <w:rFonts w:ascii="Verdana" w:hAnsi="Verdana"/>
          <w:sz w:val="20"/>
          <w:szCs w:val="20"/>
          <w:lang w:val="es-CR"/>
        </w:rPr>
        <w:t>Estado</w:t>
      </w:r>
      <w:r w:rsidR="007C41A8">
        <w:rPr>
          <w:rFonts w:ascii="Verdana" w:hAnsi="Verdana"/>
          <w:sz w:val="20"/>
          <w:szCs w:val="20"/>
          <w:lang w:val="es-CR"/>
        </w:rPr>
        <w:t xml:space="preserve"> presente</w:t>
      </w:r>
      <w:r w:rsidRPr="007C41A8">
        <w:rPr>
          <w:rFonts w:ascii="Verdana" w:hAnsi="Verdana"/>
          <w:sz w:val="20"/>
          <w:szCs w:val="20"/>
          <w:lang w:val="es-CR"/>
        </w:rPr>
        <w:t xml:space="preserve"> información actualizada y detallada sobre las medidas que adoptará para continuar </w:t>
      </w:r>
      <w:r w:rsidR="004E6D6D" w:rsidRPr="007C41A8">
        <w:rPr>
          <w:rFonts w:ascii="Verdana" w:hAnsi="Verdana"/>
          <w:sz w:val="20"/>
          <w:szCs w:val="20"/>
          <w:lang w:val="es-CR"/>
        </w:rPr>
        <w:t xml:space="preserve">y avanzar </w:t>
      </w:r>
      <w:r w:rsidRPr="007C41A8">
        <w:rPr>
          <w:rFonts w:ascii="Verdana" w:hAnsi="Verdana"/>
          <w:sz w:val="20"/>
          <w:szCs w:val="20"/>
          <w:lang w:val="es-CR"/>
        </w:rPr>
        <w:t>con la investigación</w:t>
      </w:r>
      <w:r w:rsidR="004E6D6D" w:rsidRPr="007C41A8">
        <w:rPr>
          <w:rFonts w:ascii="Verdana" w:hAnsi="Verdana"/>
          <w:sz w:val="20"/>
          <w:szCs w:val="20"/>
          <w:lang w:val="es-CR"/>
        </w:rPr>
        <w:t xml:space="preserve"> de los hechos del presente caso y la identificación de posibles responsables</w:t>
      </w:r>
      <w:r w:rsidR="007C41A8">
        <w:rPr>
          <w:rFonts w:ascii="Verdana" w:hAnsi="Verdana"/>
          <w:sz w:val="20"/>
          <w:szCs w:val="20"/>
          <w:lang w:val="es-CR"/>
        </w:rPr>
        <w:t>.</w:t>
      </w:r>
      <w:r w:rsidRPr="007C41A8">
        <w:rPr>
          <w:rFonts w:ascii="Verdana" w:hAnsi="Verdana"/>
          <w:sz w:val="20"/>
          <w:szCs w:val="20"/>
          <w:lang w:val="es-CR"/>
        </w:rPr>
        <w:t xml:space="preserve"> </w:t>
      </w:r>
      <w:r w:rsidR="007C41A8">
        <w:rPr>
          <w:rFonts w:ascii="Verdana" w:hAnsi="Verdana"/>
          <w:sz w:val="20"/>
          <w:szCs w:val="20"/>
          <w:lang w:val="es-CR"/>
        </w:rPr>
        <w:t>Asimismo, Guatemala deberá informar sobre</w:t>
      </w:r>
      <w:r w:rsidR="007C41A8" w:rsidRPr="007C41A8">
        <w:rPr>
          <w:rFonts w:ascii="Verdana" w:hAnsi="Verdana"/>
          <w:sz w:val="20"/>
          <w:szCs w:val="20"/>
          <w:lang w:val="es-CR"/>
        </w:rPr>
        <w:t xml:space="preserve"> las</w:t>
      </w:r>
      <w:r w:rsidR="004E6D6D" w:rsidRPr="007C41A8">
        <w:rPr>
          <w:rFonts w:ascii="Verdana" w:hAnsi="Verdana"/>
          <w:sz w:val="20"/>
          <w:szCs w:val="20"/>
          <w:lang w:val="es-CR"/>
        </w:rPr>
        <w:t xml:space="preserve"> </w:t>
      </w:r>
      <w:r w:rsidR="006A4FFE" w:rsidRPr="007C41A8">
        <w:rPr>
          <w:rFonts w:ascii="Verdana" w:hAnsi="Verdana"/>
          <w:sz w:val="20"/>
          <w:szCs w:val="20"/>
          <w:lang w:val="es-CR"/>
        </w:rPr>
        <w:t xml:space="preserve">diligencias </w:t>
      </w:r>
      <w:r w:rsidR="007C41A8" w:rsidRPr="007C41A8">
        <w:rPr>
          <w:rFonts w:ascii="Verdana" w:hAnsi="Verdana"/>
          <w:sz w:val="20"/>
          <w:szCs w:val="20"/>
          <w:lang w:val="es-CR"/>
        </w:rPr>
        <w:t>que lleve a cabo para la</w:t>
      </w:r>
      <w:r w:rsidR="006A4FFE" w:rsidRPr="007C41A8">
        <w:rPr>
          <w:rFonts w:ascii="Verdana" w:hAnsi="Verdana"/>
          <w:sz w:val="20"/>
          <w:szCs w:val="20"/>
          <w:lang w:val="es-CR"/>
        </w:rPr>
        <w:t xml:space="preserve"> obtención del testimonio de la víctima</w:t>
      </w:r>
      <w:r w:rsidR="007C41A8">
        <w:rPr>
          <w:rFonts w:ascii="Verdana" w:hAnsi="Verdana"/>
          <w:sz w:val="20"/>
          <w:szCs w:val="20"/>
          <w:lang w:val="es-CR"/>
        </w:rPr>
        <w:t xml:space="preserve"> Maritza Urrutia</w:t>
      </w:r>
      <w:r w:rsidR="006A4FFE" w:rsidRPr="007C41A8">
        <w:rPr>
          <w:rFonts w:ascii="Verdana" w:hAnsi="Verdana"/>
          <w:sz w:val="20"/>
          <w:szCs w:val="20"/>
          <w:lang w:val="es-CR"/>
        </w:rPr>
        <w:t xml:space="preserve"> </w:t>
      </w:r>
      <w:r w:rsidR="007C41A8" w:rsidRPr="007C41A8">
        <w:rPr>
          <w:rFonts w:ascii="Verdana" w:hAnsi="Verdana"/>
          <w:sz w:val="20"/>
          <w:szCs w:val="20"/>
          <w:lang w:val="es-CR"/>
        </w:rPr>
        <w:t>a la brevedad posible</w:t>
      </w:r>
      <w:r w:rsidR="007C41A8">
        <w:rPr>
          <w:rFonts w:ascii="Verdana" w:hAnsi="Verdana"/>
          <w:sz w:val="20"/>
          <w:szCs w:val="20"/>
          <w:lang w:val="es-CR"/>
        </w:rPr>
        <w:t xml:space="preserve">, siendo necesario que el Estado </w:t>
      </w:r>
      <w:r w:rsidR="007C41A8">
        <w:rPr>
          <w:rFonts w:ascii="Verdana" w:hAnsi="Verdana"/>
          <w:sz w:val="20"/>
          <w:szCs w:val="20"/>
          <w:lang w:val="es-CR"/>
        </w:rPr>
        <w:lastRenderedPageBreak/>
        <w:t>valore las diversas alternativas que podría implementar para recabar dicho testimonio, sin que el hecho que la víctima resida fuera de Guatemala represente un obstáculo para el avance de la investigación</w:t>
      </w:r>
      <w:r w:rsidRPr="007C41A8">
        <w:rPr>
          <w:rFonts w:ascii="Verdana" w:hAnsi="Verdana"/>
          <w:sz w:val="20"/>
          <w:szCs w:val="20"/>
          <w:lang w:val="es-CR"/>
        </w:rPr>
        <w:t>.</w:t>
      </w:r>
      <w:bookmarkEnd w:id="83"/>
      <w:r w:rsidRPr="007C41A8">
        <w:rPr>
          <w:rFonts w:ascii="Verdana" w:hAnsi="Verdana"/>
          <w:sz w:val="20"/>
          <w:szCs w:val="20"/>
          <w:lang w:val="es-CR"/>
        </w:rPr>
        <w:t xml:space="preserve"> </w:t>
      </w:r>
    </w:p>
    <w:p w14:paraId="1C38B358" w14:textId="77777777" w:rsidR="00AD16B1" w:rsidRPr="0032068E" w:rsidRDefault="00AD16B1" w:rsidP="00C3267F">
      <w:pPr>
        <w:pStyle w:val="ListParagraph"/>
        <w:spacing w:after="0" w:line="240" w:lineRule="auto"/>
        <w:ind w:left="0" w:right="1444"/>
        <w:jc w:val="both"/>
        <w:rPr>
          <w:rFonts w:ascii="Verdana" w:hAnsi="Verdana"/>
          <w:sz w:val="20"/>
          <w:szCs w:val="20"/>
          <w:lang w:val="es-CR"/>
        </w:rPr>
      </w:pPr>
    </w:p>
    <w:p w14:paraId="1425EAE8" w14:textId="77777777" w:rsidR="000E7169" w:rsidRPr="0032068E" w:rsidRDefault="000E7169" w:rsidP="00AD5701">
      <w:pPr>
        <w:pStyle w:val="Heading3"/>
      </w:pPr>
      <w:bookmarkStart w:id="84" w:name="_Toc435778532"/>
      <w:bookmarkStart w:id="85" w:name="_Toc439248790"/>
      <w:r w:rsidRPr="0032068E">
        <w:t>Caso Molina Theissen</w:t>
      </w:r>
      <w:bookmarkEnd w:id="84"/>
      <w:bookmarkEnd w:id="85"/>
    </w:p>
    <w:p w14:paraId="28BEA000" w14:textId="77777777" w:rsidR="00F3215A" w:rsidRPr="0032068E" w:rsidRDefault="00F3215A" w:rsidP="00F3215A">
      <w:pPr>
        <w:pStyle w:val="ListParagraph"/>
        <w:spacing w:after="0" w:line="240" w:lineRule="auto"/>
        <w:ind w:left="1080" w:right="1444" w:hanging="360"/>
        <w:jc w:val="both"/>
        <w:rPr>
          <w:rFonts w:ascii="Verdana" w:hAnsi="Verdana"/>
          <w:sz w:val="20"/>
          <w:szCs w:val="20"/>
          <w:lang w:val="es-CR"/>
        </w:rPr>
      </w:pPr>
    </w:p>
    <w:p w14:paraId="340CEFCD" w14:textId="21D03822" w:rsidR="00F3215A" w:rsidRPr="0032068E" w:rsidRDefault="00F3215A" w:rsidP="00F3215A">
      <w:pPr>
        <w:numPr>
          <w:ilvl w:val="0"/>
          <w:numId w:val="2"/>
        </w:numPr>
        <w:spacing w:after="0" w:line="240" w:lineRule="auto"/>
        <w:ind w:left="0" w:right="1444" w:firstLine="0"/>
        <w:contextualSpacing/>
        <w:jc w:val="both"/>
        <w:rPr>
          <w:rFonts w:ascii="Verdana" w:hAnsi="Verdana" w:cs="Verdana"/>
          <w:sz w:val="20"/>
          <w:szCs w:val="20"/>
          <w:lang w:val="es-ES"/>
        </w:rPr>
      </w:pPr>
      <w:r>
        <w:rPr>
          <w:rFonts w:ascii="Verdana" w:hAnsi="Verdana" w:cs="Verdana"/>
          <w:sz w:val="20"/>
          <w:szCs w:val="20"/>
          <w:lang w:val="es-ES"/>
        </w:rPr>
        <w:t xml:space="preserve">La </w:t>
      </w:r>
      <w:r w:rsidRPr="0032068E">
        <w:rPr>
          <w:rFonts w:ascii="Verdana" w:hAnsi="Verdana" w:cs="Verdana"/>
          <w:sz w:val="20"/>
          <w:szCs w:val="20"/>
          <w:lang w:val="es-ES"/>
        </w:rPr>
        <w:t>Corte constató en su Resolución de 2009 que Guatemala no habría satisfecho su obligación de llevar a cabo un procesamiento hasta su conclusión y que, al contrario, dicha falta de procesamiento “continúa afectando a los familiares del joven Molina Theissen”. También la Corte, en dicha oportunidad, hizo notar que los representantes plantearon que el fiscal encargado de la investigación de los hechos “se encontraba imposibilitado de dar un adecuado seguimiento a la investigación por la falta de recursos materiales”</w:t>
      </w:r>
      <w:r>
        <w:rPr>
          <w:rStyle w:val="FootnoteReference"/>
          <w:rFonts w:ascii="Verdana" w:hAnsi="Verdana" w:cs="Verdana"/>
          <w:sz w:val="20"/>
          <w:szCs w:val="20"/>
          <w:lang w:val="es-ES"/>
        </w:rPr>
        <w:footnoteReference w:id="85"/>
      </w:r>
      <w:r w:rsidRPr="0032068E">
        <w:rPr>
          <w:rFonts w:ascii="Verdana" w:hAnsi="Verdana" w:cs="Verdana"/>
          <w:sz w:val="20"/>
          <w:szCs w:val="20"/>
          <w:lang w:val="es-ES"/>
        </w:rPr>
        <w:t xml:space="preserve">. La Corte no </w:t>
      </w:r>
      <w:r>
        <w:rPr>
          <w:rFonts w:ascii="Verdana" w:hAnsi="Verdana" w:cs="Verdana"/>
          <w:sz w:val="20"/>
          <w:szCs w:val="20"/>
          <w:lang w:val="es-ES"/>
        </w:rPr>
        <w:t>constató</w:t>
      </w:r>
      <w:r w:rsidRPr="0032068E">
        <w:rPr>
          <w:rFonts w:ascii="Verdana" w:hAnsi="Verdana" w:cs="Verdana"/>
          <w:sz w:val="20"/>
          <w:szCs w:val="20"/>
          <w:lang w:val="es-ES"/>
        </w:rPr>
        <w:t xml:space="preserve"> avances en la investigación de los hechos correspondientes</w:t>
      </w:r>
      <w:r>
        <w:rPr>
          <w:rFonts w:ascii="Verdana" w:hAnsi="Verdana" w:cs="Verdana"/>
          <w:sz w:val="20"/>
          <w:szCs w:val="20"/>
          <w:lang w:val="es-ES"/>
        </w:rPr>
        <w:t xml:space="preserve"> y</w:t>
      </w:r>
      <w:r w:rsidR="000E3EA1">
        <w:rPr>
          <w:rFonts w:ascii="Verdana" w:hAnsi="Verdana" w:cs="Verdana"/>
          <w:sz w:val="20"/>
          <w:szCs w:val="20"/>
          <w:lang w:val="es-ES"/>
        </w:rPr>
        <w:t>,</w:t>
      </w:r>
      <w:r>
        <w:rPr>
          <w:rFonts w:ascii="Verdana" w:hAnsi="Verdana" w:cs="Verdana"/>
          <w:sz w:val="20"/>
          <w:szCs w:val="20"/>
          <w:lang w:val="es-ES"/>
        </w:rPr>
        <w:t xml:space="preserve"> por </w:t>
      </w:r>
      <w:r w:rsidRPr="0032068E">
        <w:rPr>
          <w:rFonts w:ascii="Verdana" w:hAnsi="Verdana" w:cs="Verdana"/>
          <w:sz w:val="20"/>
          <w:szCs w:val="20"/>
          <w:lang w:val="es-ES"/>
        </w:rPr>
        <w:t xml:space="preserve">ello, </w:t>
      </w:r>
      <w:r>
        <w:rPr>
          <w:rFonts w:ascii="Verdana" w:hAnsi="Verdana" w:cs="Verdana"/>
          <w:sz w:val="20"/>
          <w:szCs w:val="20"/>
          <w:lang w:val="es-ES"/>
        </w:rPr>
        <w:t>solicitó</w:t>
      </w:r>
      <w:r w:rsidRPr="0032068E">
        <w:rPr>
          <w:rFonts w:ascii="Verdana" w:hAnsi="Verdana" w:cs="Verdana"/>
          <w:sz w:val="20"/>
          <w:szCs w:val="20"/>
          <w:lang w:val="es-ES"/>
        </w:rPr>
        <w:t xml:space="preserve"> al Estado información específica</w:t>
      </w:r>
      <w:r>
        <w:rPr>
          <w:rFonts w:ascii="Verdana" w:hAnsi="Verdana" w:cs="Verdana"/>
          <w:sz w:val="20"/>
          <w:szCs w:val="20"/>
          <w:lang w:val="es-ES"/>
        </w:rPr>
        <w:t xml:space="preserve"> sobre</w:t>
      </w:r>
      <w:r w:rsidRPr="0032068E">
        <w:rPr>
          <w:rFonts w:ascii="Verdana" w:hAnsi="Verdana" w:cs="Verdana"/>
          <w:sz w:val="20"/>
          <w:szCs w:val="20"/>
          <w:lang w:val="es-ES"/>
        </w:rPr>
        <w:t xml:space="preserve"> </w:t>
      </w:r>
      <w:r>
        <w:rPr>
          <w:rFonts w:ascii="Verdana" w:hAnsi="Verdana" w:cs="Verdana"/>
          <w:sz w:val="20"/>
          <w:szCs w:val="20"/>
          <w:lang w:val="es-ES"/>
        </w:rPr>
        <w:t xml:space="preserve"> medidas dirigidas a</w:t>
      </w:r>
      <w:r w:rsidRPr="0032068E">
        <w:rPr>
          <w:rFonts w:ascii="Verdana" w:hAnsi="Verdana" w:cs="Verdana"/>
          <w:sz w:val="20"/>
          <w:szCs w:val="20"/>
          <w:lang w:val="es-ES"/>
        </w:rPr>
        <w:t xml:space="preserve"> la continuación de la investigación, </w:t>
      </w:r>
      <w:r>
        <w:rPr>
          <w:rFonts w:ascii="Verdana" w:hAnsi="Verdana" w:cs="Verdana"/>
          <w:sz w:val="20"/>
          <w:szCs w:val="20"/>
          <w:lang w:val="es-ES"/>
        </w:rPr>
        <w:t>tales como:</w:t>
      </w:r>
      <w:r w:rsidRPr="0032068E">
        <w:rPr>
          <w:rFonts w:ascii="Verdana" w:hAnsi="Verdana" w:cs="Verdana"/>
          <w:sz w:val="20"/>
          <w:szCs w:val="20"/>
          <w:lang w:val="es-ES"/>
        </w:rPr>
        <w:t xml:space="preserve"> favorecer la coordinación interinstitucional</w:t>
      </w:r>
      <w:r>
        <w:rPr>
          <w:rFonts w:ascii="Verdana" w:hAnsi="Verdana" w:cs="Verdana"/>
          <w:sz w:val="20"/>
          <w:szCs w:val="20"/>
          <w:lang w:val="es-ES"/>
        </w:rPr>
        <w:t>;</w:t>
      </w:r>
      <w:r w:rsidRPr="0032068E">
        <w:rPr>
          <w:rFonts w:ascii="Verdana" w:hAnsi="Verdana" w:cs="Verdana"/>
          <w:sz w:val="20"/>
          <w:szCs w:val="20"/>
          <w:lang w:val="es-ES"/>
        </w:rPr>
        <w:t xml:space="preserve"> facilitar la realización de </w:t>
      </w:r>
      <w:r>
        <w:rPr>
          <w:rFonts w:ascii="Verdana" w:hAnsi="Verdana" w:cs="Verdana"/>
          <w:sz w:val="20"/>
          <w:szCs w:val="20"/>
          <w:lang w:val="es-ES"/>
        </w:rPr>
        <w:t>un</w:t>
      </w:r>
      <w:r w:rsidRPr="0032068E">
        <w:rPr>
          <w:rFonts w:ascii="Verdana" w:hAnsi="Verdana" w:cs="Verdana"/>
          <w:sz w:val="20"/>
          <w:szCs w:val="20"/>
          <w:lang w:val="es-ES"/>
        </w:rPr>
        <w:t xml:space="preserve"> cronograma y la búsqueda de los restos de la víctima</w:t>
      </w:r>
      <w:r w:rsidRPr="0032068E">
        <w:rPr>
          <w:rStyle w:val="FootnoteReference"/>
          <w:rFonts w:ascii="Verdana" w:hAnsi="Verdana" w:cs="Verdana"/>
          <w:sz w:val="20"/>
          <w:szCs w:val="20"/>
          <w:lang w:val="es-ES"/>
        </w:rPr>
        <w:footnoteReference w:id="86"/>
      </w:r>
      <w:r w:rsidRPr="0032068E">
        <w:rPr>
          <w:rFonts w:ascii="Verdana" w:hAnsi="Verdana" w:cs="Verdana"/>
          <w:sz w:val="20"/>
          <w:szCs w:val="20"/>
          <w:lang w:val="es-ES"/>
        </w:rPr>
        <w:t xml:space="preserve">. </w:t>
      </w:r>
    </w:p>
    <w:p w14:paraId="6F58501B" w14:textId="77777777" w:rsidR="00F3215A" w:rsidRPr="0032068E" w:rsidRDefault="00F3215A" w:rsidP="00F3215A">
      <w:pPr>
        <w:pStyle w:val="ListParagraph"/>
        <w:spacing w:after="0" w:line="240" w:lineRule="auto"/>
        <w:ind w:left="0" w:right="1444"/>
        <w:jc w:val="both"/>
        <w:rPr>
          <w:rFonts w:ascii="Verdana" w:hAnsi="Verdana"/>
          <w:sz w:val="20"/>
          <w:szCs w:val="20"/>
          <w:lang w:val="es-CR"/>
        </w:rPr>
      </w:pPr>
    </w:p>
    <w:p w14:paraId="2A060456" w14:textId="0F944045" w:rsidR="00F3215A" w:rsidRDefault="00F3215A" w:rsidP="00F3215A">
      <w:pPr>
        <w:pStyle w:val="ListParagraph"/>
        <w:numPr>
          <w:ilvl w:val="0"/>
          <w:numId w:val="2"/>
        </w:numPr>
        <w:spacing w:after="0" w:line="240" w:lineRule="auto"/>
        <w:ind w:left="0" w:right="1444" w:firstLine="0"/>
        <w:jc w:val="both"/>
        <w:rPr>
          <w:rFonts w:ascii="Verdana" w:hAnsi="Verdana"/>
          <w:sz w:val="20"/>
          <w:szCs w:val="20"/>
          <w:lang w:val="es-CR"/>
        </w:rPr>
      </w:pPr>
      <w:bookmarkStart w:id="86" w:name="_Ref437867942"/>
      <w:r w:rsidRPr="0032068E">
        <w:rPr>
          <w:rFonts w:ascii="Verdana" w:hAnsi="Verdana"/>
          <w:sz w:val="20"/>
          <w:szCs w:val="20"/>
          <w:lang w:val="es-CR"/>
        </w:rPr>
        <w:t xml:space="preserve">En esta oportunidad, la Corte observa que el </w:t>
      </w:r>
      <w:r>
        <w:rPr>
          <w:rFonts w:ascii="Verdana" w:hAnsi="Verdana"/>
          <w:sz w:val="20"/>
          <w:szCs w:val="20"/>
          <w:lang w:val="es-CR"/>
        </w:rPr>
        <w:t>Ministerio Público, en su informe de mayo de 2014, indicó</w:t>
      </w:r>
      <w:r w:rsidRPr="0032068E">
        <w:rPr>
          <w:rFonts w:ascii="Verdana" w:hAnsi="Verdana"/>
          <w:sz w:val="20"/>
          <w:szCs w:val="20"/>
          <w:lang w:val="es-CR"/>
        </w:rPr>
        <w:t xml:space="preserve"> </w:t>
      </w:r>
      <w:r>
        <w:rPr>
          <w:rFonts w:ascii="Verdana" w:hAnsi="Verdana"/>
          <w:sz w:val="20"/>
          <w:szCs w:val="20"/>
          <w:lang w:val="es-CR"/>
        </w:rPr>
        <w:t>una</w:t>
      </w:r>
      <w:r w:rsidRPr="0032068E">
        <w:rPr>
          <w:rFonts w:ascii="Verdana" w:hAnsi="Verdana"/>
          <w:sz w:val="20"/>
          <w:szCs w:val="20"/>
          <w:lang w:val="es-CR"/>
        </w:rPr>
        <w:t xml:space="preserve"> serie de actuaciones </w:t>
      </w:r>
      <w:r>
        <w:rPr>
          <w:rFonts w:ascii="Verdana" w:hAnsi="Verdana"/>
          <w:sz w:val="20"/>
          <w:szCs w:val="20"/>
          <w:lang w:val="es-CR"/>
        </w:rPr>
        <w:t>llevadas a cabo</w:t>
      </w:r>
      <w:r w:rsidRPr="0032068E">
        <w:rPr>
          <w:rFonts w:ascii="Verdana" w:hAnsi="Verdana"/>
          <w:sz w:val="20"/>
          <w:szCs w:val="20"/>
          <w:lang w:val="es-CR"/>
        </w:rPr>
        <w:t xml:space="preserve"> entre los años 1999 y 2013</w:t>
      </w:r>
      <w:r>
        <w:rPr>
          <w:rFonts w:ascii="Verdana" w:hAnsi="Verdana"/>
          <w:sz w:val="20"/>
          <w:szCs w:val="20"/>
          <w:lang w:val="es-CR"/>
        </w:rPr>
        <w:t xml:space="preserve">, tales como: </w:t>
      </w:r>
      <w:r w:rsidRPr="00753F29">
        <w:rPr>
          <w:rFonts w:ascii="Verdana" w:hAnsi="Verdana"/>
          <w:sz w:val="20"/>
          <w:szCs w:val="20"/>
          <w:lang w:val="es-CR"/>
        </w:rPr>
        <w:t xml:space="preserve">la obtención de 29 declaraciones testimoniales; la realización </w:t>
      </w:r>
      <w:r>
        <w:rPr>
          <w:rFonts w:ascii="Verdana" w:hAnsi="Verdana"/>
          <w:sz w:val="20"/>
          <w:szCs w:val="20"/>
          <w:lang w:val="es-CR"/>
        </w:rPr>
        <w:t>de más de 40</w:t>
      </w:r>
      <w:r w:rsidRPr="00753F29">
        <w:rPr>
          <w:rFonts w:ascii="Verdana" w:hAnsi="Verdana"/>
          <w:sz w:val="20"/>
          <w:szCs w:val="20"/>
          <w:lang w:val="es-CR"/>
        </w:rPr>
        <w:t xml:space="preserve"> “diligencias </w:t>
      </w:r>
      <w:r w:rsidRPr="00753F29">
        <w:rPr>
          <w:rFonts w:ascii="Verdana" w:hAnsi="Verdana"/>
          <w:sz w:val="20"/>
          <w:szCs w:val="20"/>
          <w:lang w:val="es-CR"/>
        </w:rPr>
        <w:lastRenderedPageBreak/>
        <w:t>documentales”</w:t>
      </w:r>
      <w:r w:rsidRPr="00753F29">
        <w:rPr>
          <w:rStyle w:val="FootnoteReference"/>
          <w:rFonts w:ascii="Verdana" w:hAnsi="Verdana"/>
          <w:sz w:val="20"/>
          <w:szCs w:val="20"/>
          <w:lang w:val="es-CR"/>
        </w:rPr>
        <w:t xml:space="preserve"> </w:t>
      </w:r>
      <w:r w:rsidRPr="0032068E">
        <w:rPr>
          <w:rStyle w:val="FootnoteReference"/>
          <w:rFonts w:ascii="Verdana" w:hAnsi="Verdana"/>
          <w:sz w:val="20"/>
          <w:szCs w:val="20"/>
          <w:lang w:val="es-CR"/>
        </w:rPr>
        <w:footnoteReference w:id="87"/>
      </w:r>
      <w:r>
        <w:rPr>
          <w:rFonts w:ascii="Verdana" w:hAnsi="Verdana"/>
          <w:sz w:val="20"/>
          <w:szCs w:val="20"/>
          <w:lang w:val="es-CR"/>
        </w:rPr>
        <w:t xml:space="preserve"> </w:t>
      </w:r>
      <w:r w:rsidRPr="00753F29">
        <w:rPr>
          <w:rFonts w:ascii="Verdana" w:hAnsi="Verdana"/>
          <w:sz w:val="20"/>
          <w:szCs w:val="20"/>
          <w:lang w:val="es-CR"/>
        </w:rPr>
        <w:t xml:space="preserve">y la </w:t>
      </w:r>
      <w:r>
        <w:rPr>
          <w:rFonts w:ascii="Verdana" w:hAnsi="Verdana"/>
          <w:sz w:val="20"/>
          <w:szCs w:val="20"/>
          <w:lang w:val="es-CR"/>
        </w:rPr>
        <w:t>elaboración</w:t>
      </w:r>
      <w:r w:rsidRPr="00753F29">
        <w:rPr>
          <w:rFonts w:ascii="Verdana" w:hAnsi="Verdana"/>
          <w:sz w:val="20"/>
          <w:szCs w:val="20"/>
          <w:lang w:val="es-CR"/>
        </w:rPr>
        <w:t xml:space="preserve"> de dos peritajes</w:t>
      </w:r>
      <w:r>
        <w:rPr>
          <w:rStyle w:val="FootnoteReference"/>
          <w:rFonts w:ascii="Verdana" w:hAnsi="Verdana"/>
          <w:sz w:val="20"/>
          <w:szCs w:val="20"/>
          <w:lang w:val="es-CR"/>
        </w:rPr>
        <w:footnoteReference w:id="88"/>
      </w:r>
      <w:r w:rsidRPr="00753F29">
        <w:rPr>
          <w:rFonts w:ascii="Verdana" w:hAnsi="Verdana"/>
          <w:sz w:val="20"/>
          <w:szCs w:val="20"/>
          <w:lang w:val="es-CR"/>
        </w:rPr>
        <w:t>.</w:t>
      </w:r>
      <w:r w:rsidR="000E3EA1">
        <w:rPr>
          <w:rFonts w:ascii="Verdana" w:hAnsi="Verdana"/>
          <w:sz w:val="20"/>
          <w:szCs w:val="20"/>
          <w:lang w:val="es-CR"/>
        </w:rPr>
        <w:t xml:space="preserve"> </w:t>
      </w:r>
      <w:r>
        <w:rPr>
          <w:rFonts w:ascii="Verdana" w:hAnsi="Verdana"/>
          <w:sz w:val="20"/>
          <w:szCs w:val="20"/>
          <w:lang w:val="es-CR"/>
        </w:rPr>
        <w:t>En dicho informe</w:t>
      </w:r>
      <w:r w:rsidR="000E3EA1">
        <w:rPr>
          <w:rFonts w:ascii="Verdana" w:hAnsi="Verdana"/>
          <w:sz w:val="20"/>
          <w:szCs w:val="20"/>
          <w:lang w:val="es-CR"/>
        </w:rPr>
        <w:t xml:space="preserve"> </w:t>
      </w:r>
      <w:r>
        <w:rPr>
          <w:rFonts w:ascii="Verdana" w:hAnsi="Verdana"/>
          <w:sz w:val="20"/>
          <w:szCs w:val="20"/>
          <w:lang w:val="es-CR"/>
        </w:rPr>
        <w:t xml:space="preserve">el Ministerio Público citó como </w:t>
      </w:r>
      <w:r w:rsidRPr="00F6481F">
        <w:rPr>
          <w:rFonts w:ascii="Verdana" w:hAnsi="Verdana"/>
          <w:sz w:val="20"/>
          <w:szCs w:val="20"/>
          <w:lang w:val="es-CR"/>
        </w:rPr>
        <w:t xml:space="preserve">obstáculos </w:t>
      </w:r>
      <w:r>
        <w:rPr>
          <w:rFonts w:ascii="Verdana" w:hAnsi="Verdana"/>
          <w:sz w:val="20"/>
          <w:szCs w:val="20"/>
          <w:lang w:val="es-CR"/>
        </w:rPr>
        <w:t>de la</w:t>
      </w:r>
      <w:r w:rsidRPr="00F6481F">
        <w:rPr>
          <w:rFonts w:ascii="Verdana" w:hAnsi="Verdana"/>
          <w:sz w:val="20"/>
          <w:szCs w:val="20"/>
          <w:lang w:val="es-CR"/>
        </w:rPr>
        <w:t xml:space="preserve"> investigación</w:t>
      </w:r>
      <w:r>
        <w:rPr>
          <w:rFonts w:ascii="Verdana" w:hAnsi="Verdana"/>
          <w:sz w:val="20"/>
          <w:szCs w:val="20"/>
          <w:lang w:val="es-CR"/>
        </w:rPr>
        <w:t>: la “negativa del Ministerio de Defensa Nacional en proporcionar información”; “las dificultades en la realización de peritajes debido a la autorización de los recursos económicos necesarios para la contratación de los expertos propuestos”; y</w:t>
      </w:r>
      <w:r w:rsidRPr="00F6481F">
        <w:rPr>
          <w:rFonts w:ascii="Verdana" w:hAnsi="Verdana"/>
          <w:sz w:val="20"/>
          <w:szCs w:val="20"/>
          <w:lang w:val="es-CR"/>
        </w:rPr>
        <w:t xml:space="preserve"> “el planteamiento de la aplicación o no de la Amnistía [regulada en la Ley de Reconciliación Nacional]</w:t>
      </w:r>
      <w:r>
        <w:rPr>
          <w:rFonts w:ascii="Verdana" w:hAnsi="Verdana"/>
          <w:sz w:val="20"/>
          <w:szCs w:val="20"/>
          <w:lang w:val="es-CR"/>
        </w:rPr>
        <w:t xml:space="preserve">  […] </w:t>
      </w:r>
      <w:r w:rsidRPr="00F6481F">
        <w:rPr>
          <w:rFonts w:ascii="Verdana" w:hAnsi="Verdana"/>
          <w:sz w:val="20"/>
          <w:szCs w:val="20"/>
          <w:lang w:val="es-CR"/>
        </w:rPr>
        <w:t>ya que los abogados defensores de los elementos del Ejército […] que se sindiquen […] pueden hacer uso o valerse de ellos para retardar el mismo”.</w:t>
      </w:r>
      <w:r>
        <w:rPr>
          <w:rFonts w:ascii="Verdana" w:hAnsi="Verdana"/>
          <w:sz w:val="20"/>
          <w:szCs w:val="20"/>
          <w:lang w:val="es-CR"/>
        </w:rPr>
        <w:t xml:space="preserve"> </w:t>
      </w:r>
    </w:p>
    <w:p w14:paraId="43E119B4" w14:textId="77777777" w:rsidR="00F3215A" w:rsidRDefault="00F3215A" w:rsidP="00F3215A">
      <w:pPr>
        <w:pStyle w:val="ListParagraph"/>
        <w:spacing w:after="0" w:line="240" w:lineRule="auto"/>
        <w:ind w:left="0" w:right="1444"/>
        <w:jc w:val="both"/>
        <w:rPr>
          <w:rFonts w:ascii="Verdana" w:hAnsi="Verdana"/>
          <w:sz w:val="20"/>
          <w:szCs w:val="20"/>
          <w:lang w:val="es-CR"/>
        </w:rPr>
      </w:pPr>
    </w:p>
    <w:p w14:paraId="2DA3ECA7" w14:textId="058F0922" w:rsidR="00F3215A" w:rsidRDefault="00F3215A" w:rsidP="00F3215A">
      <w:pPr>
        <w:pStyle w:val="ListParagraph"/>
        <w:numPr>
          <w:ilvl w:val="0"/>
          <w:numId w:val="2"/>
        </w:numPr>
        <w:spacing w:after="0" w:line="240" w:lineRule="auto"/>
        <w:ind w:left="0" w:right="1444" w:firstLine="0"/>
        <w:jc w:val="both"/>
        <w:rPr>
          <w:rFonts w:ascii="Verdana" w:hAnsi="Verdana"/>
          <w:sz w:val="20"/>
          <w:szCs w:val="20"/>
          <w:lang w:val="es-CR"/>
        </w:rPr>
      </w:pPr>
      <w:r>
        <w:rPr>
          <w:rFonts w:ascii="Verdana" w:hAnsi="Verdana"/>
          <w:sz w:val="20"/>
          <w:szCs w:val="20"/>
          <w:lang w:val="es-CR"/>
        </w:rPr>
        <w:t>Posteriormente, en el informe del Estado de abril de 2015, se señalaron como nuevas diligencias pendientes de realizar: la “[s]olicitud de Competencia Penal Ampliada a la Corte Suprema de Justicia” y contar “como mínimo [con] otras tres declaraciones en anticipo de prueba”. En octubre de 2015, el Estado informó: haber incluido en el expediente dos de los peritajes pendientes; establecer contacto “mediante una videoconferencia en agosto de 2015 […] con un perito que reside en un país sudamericano para solicitarle la ampliación del peritaje técnico militar”</w:t>
      </w:r>
      <w:r>
        <w:rPr>
          <w:rStyle w:val="FootnoteReference"/>
          <w:rFonts w:ascii="Verdana" w:hAnsi="Verdana"/>
          <w:sz w:val="20"/>
          <w:szCs w:val="20"/>
          <w:lang w:val="es-CR"/>
        </w:rPr>
        <w:footnoteReference w:id="89"/>
      </w:r>
      <w:r w:rsidR="003B60C2">
        <w:rPr>
          <w:rFonts w:ascii="Verdana" w:hAnsi="Verdana"/>
          <w:sz w:val="20"/>
          <w:szCs w:val="20"/>
          <w:lang w:val="es-CR"/>
        </w:rPr>
        <w:t>;</w:t>
      </w:r>
      <w:r>
        <w:rPr>
          <w:rFonts w:ascii="Verdana" w:hAnsi="Verdana"/>
          <w:sz w:val="20"/>
          <w:szCs w:val="20"/>
          <w:lang w:val="es-CR"/>
        </w:rPr>
        <w:t xml:space="preserve"> la realización de “reuniones con el abogado director que representa a la familia de la víctima y expertos en las cuales se lograron avances en la investigación”; y la realización de solicitudes y sistematización de información de distintas instituciones públicas</w:t>
      </w:r>
      <w:r w:rsidRPr="0032068E">
        <w:rPr>
          <w:rStyle w:val="FootnoteReference"/>
          <w:rFonts w:ascii="Verdana" w:hAnsi="Verdana"/>
          <w:sz w:val="20"/>
          <w:szCs w:val="20"/>
          <w:lang w:val="es-CR"/>
        </w:rPr>
        <w:footnoteReference w:id="90"/>
      </w:r>
      <w:r>
        <w:rPr>
          <w:rFonts w:ascii="Verdana" w:hAnsi="Verdana"/>
          <w:sz w:val="20"/>
          <w:szCs w:val="20"/>
          <w:lang w:val="es-CR"/>
        </w:rPr>
        <w:t xml:space="preserve">. </w:t>
      </w:r>
      <w:r w:rsidR="003B60C2">
        <w:rPr>
          <w:rFonts w:ascii="Verdana" w:hAnsi="Verdana"/>
          <w:sz w:val="20"/>
          <w:szCs w:val="20"/>
          <w:lang w:val="es-CR"/>
        </w:rPr>
        <w:t xml:space="preserve">Guatemala </w:t>
      </w:r>
      <w:r w:rsidRPr="0032068E">
        <w:rPr>
          <w:rFonts w:ascii="Verdana" w:hAnsi="Verdana"/>
          <w:sz w:val="20"/>
          <w:szCs w:val="20"/>
          <w:lang w:val="es-CR"/>
        </w:rPr>
        <w:t>indicó que algunas de las diligencias antes señaladas se encontraban en trámite y que realizaría una “inspección ocular de los lugares que fueron escenario del hecho ocurrido a la hermana de Marco Antonio Molina Theissen así como a él”</w:t>
      </w:r>
      <w:r>
        <w:rPr>
          <w:rFonts w:ascii="Verdana" w:hAnsi="Verdana"/>
          <w:sz w:val="20"/>
          <w:szCs w:val="20"/>
          <w:lang w:val="es-CR"/>
        </w:rPr>
        <w:t>.</w:t>
      </w:r>
      <w:r w:rsidRPr="00016C64">
        <w:rPr>
          <w:rFonts w:ascii="Verdana" w:hAnsi="Verdana"/>
          <w:sz w:val="20"/>
          <w:szCs w:val="20"/>
          <w:lang w:val="es-CR"/>
        </w:rPr>
        <w:t xml:space="preserve"> </w:t>
      </w:r>
      <w:r w:rsidRPr="0032068E">
        <w:rPr>
          <w:rFonts w:ascii="Verdana" w:hAnsi="Verdana"/>
          <w:sz w:val="20"/>
          <w:szCs w:val="20"/>
          <w:lang w:val="es-CR"/>
        </w:rPr>
        <w:t>E</w:t>
      </w:r>
      <w:r>
        <w:rPr>
          <w:rFonts w:ascii="Verdana" w:hAnsi="Verdana"/>
          <w:sz w:val="20"/>
          <w:szCs w:val="20"/>
          <w:lang w:val="es-CR"/>
        </w:rPr>
        <w:t>n</w:t>
      </w:r>
      <w:r w:rsidRPr="0032068E">
        <w:rPr>
          <w:rFonts w:ascii="Verdana" w:hAnsi="Verdana"/>
          <w:sz w:val="20"/>
          <w:szCs w:val="20"/>
          <w:lang w:val="es-CR"/>
        </w:rPr>
        <w:t xml:space="preserve"> </w:t>
      </w:r>
      <w:r>
        <w:rPr>
          <w:rFonts w:ascii="Verdana" w:hAnsi="Verdana"/>
          <w:sz w:val="20"/>
          <w:szCs w:val="20"/>
          <w:lang w:val="es-CR"/>
        </w:rPr>
        <w:t xml:space="preserve">sus informes, el </w:t>
      </w:r>
      <w:r w:rsidRPr="0032068E">
        <w:rPr>
          <w:rFonts w:ascii="Verdana" w:hAnsi="Verdana"/>
          <w:sz w:val="20"/>
          <w:szCs w:val="20"/>
          <w:lang w:val="es-CR"/>
        </w:rPr>
        <w:t>Estado no hizo referencia a ninguno de los puntos ordenados mediante la Resolución de 2009</w:t>
      </w:r>
      <w:r>
        <w:rPr>
          <w:rFonts w:ascii="Verdana" w:hAnsi="Verdana"/>
          <w:sz w:val="20"/>
          <w:szCs w:val="20"/>
          <w:lang w:val="es-CR"/>
        </w:rPr>
        <w:t xml:space="preserve"> </w:t>
      </w:r>
      <w:r w:rsidR="003B60C2">
        <w:rPr>
          <w:rFonts w:ascii="Verdana" w:hAnsi="Verdana"/>
          <w:sz w:val="20"/>
          <w:szCs w:val="20"/>
          <w:lang w:val="es-CR"/>
        </w:rPr>
        <w:t>(</w:t>
      </w:r>
      <w:r w:rsidR="003B60C2" w:rsidRPr="003B60C2">
        <w:rPr>
          <w:rFonts w:ascii="Verdana" w:hAnsi="Verdana"/>
          <w:i/>
          <w:sz w:val="20"/>
          <w:szCs w:val="20"/>
          <w:lang w:val="es-CR"/>
        </w:rPr>
        <w:t>supra</w:t>
      </w:r>
      <w:r w:rsidR="003B60C2">
        <w:rPr>
          <w:rFonts w:ascii="Verdana" w:hAnsi="Verdana"/>
          <w:sz w:val="20"/>
          <w:szCs w:val="20"/>
          <w:lang w:val="es-CR"/>
        </w:rPr>
        <w:t xml:space="preserve"> Considerando 82).</w:t>
      </w:r>
    </w:p>
    <w:p w14:paraId="04BA897B" w14:textId="77777777" w:rsidR="00F3215A" w:rsidRDefault="00F3215A" w:rsidP="00F3215A">
      <w:pPr>
        <w:pStyle w:val="ListParagraph"/>
        <w:spacing w:after="0" w:line="240" w:lineRule="auto"/>
        <w:ind w:left="0" w:right="1444"/>
        <w:jc w:val="both"/>
        <w:rPr>
          <w:rFonts w:ascii="Verdana" w:hAnsi="Verdana"/>
          <w:sz w:val="20"/>
          <w:szCs w:val="20"/>
          <w:lang w:val="es-CR"/>
        </w:rPr>
      </w:pPr>
    </w:p>
    <w:p w14:paraId="0338D9C0" w14:textId="62DB241A" w:rsidR="00F3215A" w:rsidRPr="00F6481F" w:rsidRDefault="00F3215A" w:rsidP="00F3215A">
      <w:pPr>
        <w:pStyle w:val="ListParagraph"/>
        <w:numPr>
          <w:ilvl w:val="0"/>
          <w:numId w:val="2"/>
        </w:numPr>
        <w:spacing w:after="0" w:line="240" w:lineRule="auto"/>
        <w:ind w:left="0" w:right="1444" w:firstLine="0"/>
        <w:jc w:val="both"/>
        <w:rPr>
          <w:rFonts w:ascii="Verdana" w:hAnsi="Verdana"/>
          <w:sz w:val="20"/>
          <w:szCs w:val="20"/>
          <w:lang w:val="es-CR"/>
        </w:rPr>
      </w:pPr>
      <w:r w:rsidRPr="0032068E">
        <w:rPr>
          <w:rFonts w:ascii="Verdana" w:hAnsi="Verdana"/>
          <w:sz w:val="20"/>
          <w:szCs w:val="20"/>
          <w:lang w:val="es-CR"/>
        </w:rPr>
        <w:t>Al respecto, los representantes señala</w:t>
      </w:r>
      <w:r>
        <w:rPr>
          <w:rFonts w:ascii="Verdana" w:hAnsi="Verdana"/>
          <w:sz w:val="20"/>
          <w:szCs w:val="20"/>
          <w:lang w:val="es-CR"/>
        </w:rPr>
        <w:t>ro</w:t>
      </w:r>
      <w:r w:rsidRPr="0032068E">
        <w:rPr>
          <w:rFonts w:ascii="Verdana" w:hAnsi="Verdana"/>
          <w:sz w:val="20"/>
          <w:szCs w:val="20"/>
          <w:lang w:val="es-CR"/>
        </w:rPr>
        <w:t xml:space="preserve">n </w:t>
      </w:r>
      <w:r>
        <w:rPr>
          <w:rFonts w:ascii="Verdana" w:hAnsi="Verdana"/>
          <w:sz w:val="20"/>
          <w:szCs w:val="20"/>
          <w:lang w:val="es-CR"/>
        </w:rPr>
        <w:t xml:space="preserve">en sus observaciones de mayo de 2015 </w:t>
      </w:r>
      <w:r w:rsidRPr="0032068E">
        <w:rPr>
          <w:rFonts w:ascii="Verdana" w:hAnsi="Verdana"/>
          <w:sz w:val="20"/>
          <w:szCs w:val="20"/>
          <w:lang w:val="es-CR"/>
        </w:rPr>
        <w:t xml:space="preserve">que “no se habría realizado ninguna diligencia con víctimas ni testigos” desde el año 2014, y que los peritajes ordenados y las solicitudes de información enunciadas </w:t>
      </w:r>
      <w:r>
        <w:rPr>
          <w:rFonts w:ascii="Verdana" w:hAnsi="Verdana"/>
          <w:sz w:val="20"/>
          <w:szCs w:val="20"/>
          <w:lang w:val="es-CR"/>
        </w:rPr>
        <w:t>eran</w:t>
      </w:r>
      <w:r w:rsidRPr="0032068E">
        <w:rPr>
          <w:rFonts w:ascii="Verdana" w:hAnsi="Verdana"/>
          <w:sz w:val="20"/>
          <w:szCs w:val="20"/>
          <w:lang w:val="es-CR"/>
        </w:rPr>
        <w:t xml:space="preserve"> “diligencias antiguas”.</w:t>
      </w:r>
      <w:r>
        <w:rPr>
          <w:rFonts w:ascii="Verdana" w:hAnsi="Verdana"/>
          <w:sz w:val="20"/>
          <w:szCs w:val="20"/>
          <w:lang w:val="es-CR"/>
        </w:rPr>
        <w:t xml:space="preserve"> Sin embargo, en su</w:t>
      </w:r>
      <w:r w:rsidR="00F0124D">
        <w:rPr>
          <w:rFonts w:ascii="Verdana" w:hAnsi="Verdana"/>
          <w:sz w:val="20"/>
          <w:szCs w:val="20"/>
          <w:lang w:val="es-CR"/>
        </w:rPr>
        <w:t>s observaciones</w:t>
      </w:r>
      <w:r>
        <w:rPr>
          <w:rFonts w:ascii="Verdana" w:hAnsi="Verdana"/>
          <w:sz w:val="20"/>
          <w:szCs w:val="20"/>
          <w:lang w:val="es-CR"/>
        </w:rPr>
        <w:t xml:space="preserve"> de noviembre de 2015,</w:t>
      </w:r>
      <w:r w:rsidRPr="0032068E">
        <w:rPr>
          <w:rFonts w:ascii="Verdana" w:hAnsi="Verdana"/>
          <w:sz w:val="20"/>
          <w:szCs w:val="20"/>
          <w:lang w:val="es-CR"/>
        </w:rPr>
        <w:t xml:space="preserve"> los representantes “</w:t>
      </w:r>
      <w:proofErr w:type="gramStart"/>
      <w:r w:rsidRPr="00016C64">
        <w:rPr>
          <w:rFonts w:ascii="Verdana" w:hAnsi="Verdana"/>
          <w:sz w:val="20"/>
          <w:szCs w:val="20"/>
          <w:lang w:val="es-CR"/>
        </w:rPr>
        <w:t>confirma[</w:t>
      </w:r>
      <w:proofErr w:type="gramEnd"/>
      <w:r w:rsidRPr="00016C64">
        <w:rPr>
          <w:rFonts w:ascii="Verdana" w:hAnsi="Verdana"/>
          <w:sz w:val="20"/>
          <w:szCs w:val="20"/>
          <w:lang w:val="es-CR"/>
        </w:rPr>
        <w:t>ron]</w:t>
      </w:r>
      <w:r w:rsidRPr="0032068E">
        <w:rPr>
          <w:rFonts w:ascii="Verdana" w:hAnsi="Verdana"/>
          <w:sz w:val="20"/>
          <w:szCs w:val="20"/>
          <w:lang w:val="es-CR"/>
        </w:rPr>
        <w:t xml:space="preserve"> que la </w:t>
      </w:r>
      <w:r>
        <w:rPr>
          <w:rFonts w:ascii="Verdana" w:hAnsi="Verdana"/>
          <w:sz w:val="20"/>
          <w:szCs w:val="20"/>
          <w:lang w:val="es-CR"/>
        </w:rPr>
        <w:t xml:space="preserve">última </w:t>
      </w:r>
      <w:r w:rsidRPr="0032068E">
        <w:rPr>
          <w:rFonts w:ascii="Verdana" w:hAnsi="Verdana"/>
          <w:sz w:val="20"/>
          <w:szCs w:val="20"/>
          <w:lang w:val="es-CR"/>
        </w:rPr>
        <w:t xml:space="preserve">información aportada por el Estado </w:t>
      </w:r>
      <w:r>
        <w:rPr>
          <w:rFonts w:ascii="Verdana" w:hAnsi="Verdana"/>
          <w:sz w:val="20"/>
          <w:szCs w:val="20"/>
          <w:lang w:val="es-CR"/>
        </w:rPr>
        <w:t xml:space="preserve">[en octubre de 2015] </w:t>
      </w:r>
      <w:r w:rsidRPr="0032068E">
        <w:rPr>
          <w:rFonts w:ascii="Verdana" w:hAnsi="Verdana"/>
          <w:sz w:val="20"/>
          <w:szCs w:val="20"/>
          <w:lang w:val="es-CR"/>
        </w:rPr>
        <w:t>es cierta” y señala</w:t>
      </w:r>
      <w:r>
        <w:rPr>
          <w:rFonts w:ascii="Verdana" w:hAnsi="Verdana"/>
          <w:sz w:val="20"/>
          <w:szCs w:val="20"/>
          <w:lang w:val="es-CR"/>
        </w:rPr>
        <w:t>ro</w:t>
      </w:r>
      <w:r w:rsidRPr="0032068E">
        <w:rPr>
          <w:rFonts w:ascii="Verdana" w:hAnsi="Verdana"/>
          <w:sz w:val="20"/>
          <w:szCs w:val="20"/>
          <w:lang w:val="es-CR"/>
        </w:rPr>
        <w:t>n que “[s]e valoran positivamente las diligencias hasta ahora realizadas”. No obstante ello, destaca</w:t>
      </w:r>
      <w:r>
        <w:rPr>
          <w:rFonts w:ascii="Verdana" w:hAnsi="Verdana"/>
          <w:sz w:val="20"/>
          <w:szCs w:val="20"/>
          <w:lang w:val="es-CR"/>
        </w:rPr>
        <w:t>ro</w:t>
      </w:r>
      <w:r w:rsidRPr="0032068E">
        <w:rPr>
          <w:rFonts w:ascii="Verdana" w:hAnsi="Verdana"/>
          <w:sz w:val="20"/>
          <w:szCs w:val="20"/>
          <w:lang w:val="es-CR"/>
        </w:rPr>
        <w:t>n que “no se puede obviar que el caso continúa en la etapa de investigación por lo que es preciso que las autoridades del Ministerio Público concreten las acciones necesarias para efectos de que se avance con la siguiente fase de la persecución penal”</w:t>
      </w:r>
      <w:r w:rsidRPr="0032068E">
        <w:rPr>
          <w:rStyle w:val="FootnoteReference"/>
          <w:rFonts w:ascii="Verdana" w:hAnsi="Verdana"/>
          <w:sz w:val="20"/>
          <w:szCs w:val="20"/>
          <w:lang w:val="es-CR"/>
        </w:rPr>
        <w:footnoteReference w:id="91"/>
      </w:r>
      <w:r w:rsidRPr="0032068E">
        <w:rPr>
          <w:rFonts w:ascii="Verdana" w:hAnsi="Verdana"/>
          <w:sz w:val="20"/>
          <w:szCs w:val="20"/>
          <w:lang w:val="es-CR"/>
        </w:rPr>
        <w:t>.</w:t>
      </w:r>
    </w:p>
    <w:p w14:paraId="370658B7" w14:textId="77777777" w:rsidR="00F3215A" w:rsidRPr="0032068E" w:rsidRDefault="00F3215A" w:rsidP="00F3215A">
      <w:pPr>
        <w:pStyle w:val="ListParagraph"/>
        <w:rPr>
          <w:rFonts w:ascii="Verdana" w:hAnsi="Verdana"/>
          <w:sz w:val="20"/>
          <w:szCs w:val="20"/>
          <w:lang w:val="es-CR"/>
        </w:rPr>
      </w:pPr>
    </w:p>
    <w:p w14:paraId="098646A4" w14:textId="3D2D6AD0" w:rsidR="00F3215A" w:rsidRDefault="00F3215A" w:rsidP="00F3215A">
      <w:pPr>
        <w:pStyle w:val="ListParagraph"/>
        <w:numPr>
          <w:ilvl w:val="0"/>
          <w:numId w:val="2"/>
        </w:numPr>
        <w:spacing w:after="0" w:line="240" w:lineRule="auto"/>
        <w:ind w:left="0" w:right="1444" w:firstLine="0"/>
        <w:jc w:val="both"/>
        <w:rPr>
          <w:rFonts w:ascii="Verdana" w:hAnsi="Verdana"/>
          <w:sz w:val="20"/>
          <w:szCs w:val="20"/>
          <w:lang w:val="es-CR"/>
        </w:rPr>
      </w:pPr>
      <w:r>
        <w:rPr>
          <w:rFonts w:ascii="Verdana" w:hAnsi="Verdana"/>
          <w:sz w:val="20"/>
          <w:szCs w:val="20"/>
          <w:lang w:val="es-CR"/>
        </w:rPr>
        <w:lastRenderedPageBreak/>
        <w:t>Por su parte, la Comisión hizo referencia a los referidos obstáculos a la investigación mencionados en el informe del Ministerio Público, particularmente a la “negativa del Ministerio de la Defensa Nacional a proporcionar información bajo los argumentos de que la informació</w:t>
      </w:r>
      <w:r w:rsidR="00F0124D">
        <w:rPr>
          <w:rFonts w:ascii="Verdana" w:hAnsi="Verdana"/>
          <w:sz w:val="20"/>
          <w:szCs w:val="20"/>
          <w:lang w:val="es-CR"/>
        </w:rPr>
        <w:t>n “no aparece en sus registros”,</w:t>
      </w:r>
      <w:r>
        <w:rPr>
          <w:rFonts w:ascii="Verdana" w:hAnsi="Verdana"/>
          <w:sz w:val="20"/>
          <w:szCs w:val="20"/>
          <w:lang w:val="es-CR"/>
        </w:rPr>
        <w:t xml:space="preserve"> “es reservada” o se requiere autorización judicial”.</w:t>
      </w:r>
      <w:r w:rsidR="00F0124D">
        <w:rPr>
          <w:rFonts w:ascii="Verdana" w:hAnsi="Verdana"/>
          <w:sz w:val="20"/>
          <w:szCs w:val="20"/>
          <w:lang w:val="es-CR"/>
        </w:rPr>
        <w:t xml:space="preserve"> </w:t>
      </w:r>
      <w:r>
        <w:rPr>
          <w:rFonts w:ascii="Verdana" w:hAnsi="Verdana"/>
          <w:sz w:val="20"/>
          <w:szCs w:val="20"/>
          <w:lang w:val="es-CR"/>
        </w:rPr>
        <w:t>En este sentido</w:t>
      </w:r>
      <w:r w:rsidRPr="0032068E">
        <w:rPr>
          <w:rFonts w:ascii="Verdana" w:hAnsi="Verdana"/>
          <w:sz w:val="20"/>
          <w:szCs w:val="20"/>
          <w:lang w:val="es-CR"/>
        </w:rPr>
        <w:t>, la Corte observa que, según el Ministerio Público, el Ministerio de Defensa no habría proporcionado la información solicitada para la investigació</w:t>
      </w:r>
      <w:r w:rsidR="00F0124D">
        <w:rPr>
          <w:rFonts w:ascii="Verdana" w:hAnsi="Verdana"/>
          <w:sz w:val="20"/>
          <w:szCs w:val="20"/>
          <w:lang w:val="es-CR"/>
        </w:rPr>
        <w:t>n en fechas 21 de marzo de 1999, 14 de abril de 2005,</w:t>
      </w:r>
      <w:r w:rsidRPr="0032068E">
        <w:rPr>
          <w:rFonts w:ascii="Verdana" w:hAnsi="Verdana"/>
          <w:sz w:val="20"/>
          <w:szCs w:val="20"/>
          <w:lang w:val="es-CR"/>
        </w:rPr>
        <w:t xml:space="preserve"> 29 de abril y 8 de octubre de 2011, y 2 de marzo de 2012. Al respecto, se observa que esas serían cinco de las trece solicitudes de información realizadas por el Ministerio Público al Ministerio de la Defensa</w:t>
      </w:r>
      <w:r w:rsidRPr="0032068E">
        <w:rPr>
          <w:rStyle w:val="FootnoteReference"/>
          <w:rFonts w:ascii="Verdana" w:hAnsi="Verdana"/>
          <w:sz w:val="20"/>
          <w:szCs w:val="20"/>
          <w:lang w:val="es-CR"/>
        </w:rPr>
        <w:footnoteReference w:id="92"/>
      </w:r>
      <w:r w:rsidRPr="0032068E">
        <w:rPr>
          <w:rFonts w:ascii="Verdana" w:hAnsi="Verdana"/>
          <w:sz w:val="20"/>
          <w:szCs w:val="20"/>
          <w:lang w:val="es-CR"/>
        </w:rPr>
        <w:t>.</w:t>
      </w:r>
    </w:p>
    <w:bookmarkEnd w:id="86"/>
    <w:p w14:paraId="1B742B07" w14:textId="008222A4" w:rsidR="00F3215A" w:rsidRPr="00F0124D" w:rsidRDefault="00F3215A" w:rsidP="00F0124D">
      <w:pPr>
        <w:pStyle w:val="ListParagraph"/>
        <w:spacing w:after="0" w:line="240" w:lineRule="auto"/>
        <w:ind w:left="0" w:right="1444"/>
        <w:jc w:val="both"/>
        <w:rPr>
          <w:rFonts w:ascii="Verdana" w:hAnsi="Verdana"/>
          <w:sz w:val="20"/>
          <w:szCs w:val="20"/>
          <w:lang w:val="es-CR"/>
        </w:rPr>
      </w:pPr>
    </w:p>
    <w:p w14:paraId="52A3701A" w14:textId="41AAA9F8" w:rsidR="00F3215A" w:rsidRPr="003E5CDE" w:rsidRDefault="00F3215A" w:rsidP="00F3215A">
      <w:pPr>
        <w:pStyle w:val="ListParagraph"/>
        <w:numPr>
          <w:ilvl w:val="0"/>
          <w:numId w:val="2"/>
        </w:numPr>
        <w:spacing w:after="0" w:line="240" w:lineRule="auto"/>
        <w:ind w:left="0" w:right="1444" w:firstLine="0"/>
        <w:jc w:val="both"/>
        <w:rPr>
          <w:rFonts w:ascii="Verdana" w:hAnsi="Verdana"/>
          <w:sz w:val="20"/>
          <w:szCs w:val="20"/>
          <w:lang w:val="es-CR"/>
        </w:rPr>
      </w:pPr>
      <w:r w:rsidRPr="003E5CDE">
        <w:rPr>
          <w:rFonts w:ascii="Verdana" w:hAnsi="Verdana"/>
          <w:sz w:val="20"/>
          <w:szCs w:val="20"/>
          <w:lang w:val="es-CR"/>
        </w:rPr>
        <w:t>La Corte desarrollará lo correspondiente a los</w:t>
      </w:r>
      <w:r w:rsidR="00885CCC" w:rsidRPr="003E5CDE">
        <w:rPr>
          <w:rFonts w:ascii="Verdana" w:hAnsi="Verdana"/>
          <w:sz w:val="20"/>
          <w:szCs w:val="20"/>
          <w:lang w:val="es-CR"/>
        </w:rPr>
        <w:t xml:space="preserve"> alegados</w:t>
      </w:r>
      <w:r w:rsidRPr="003E5CDE">
        <w:rPr>
          <w:rFonts w:ascii="Verdana" w:hAnsi="Verdana"/>
          <w:sz w:val="20"/>
          <w:szCs w:val="20"/>
          <w:lang w:val="es-CR"/>
        </w:rPr>
        <w:t xml:space="preserve"> obstáculos relacionados a la falta de recursos materiales para proceder en la investigación (</w:t>
      </w:r>
      <w:r w:rsidRPr="003E5CDE">
        <w:rPr>
          <w:rFonts w:ascii="Verdana" w:hAnsi="Verdana"/>
          <w:i/>
          <w:sz w:val="20"/>
          <w:szCs w:val="20"/>
          <w:lang w:val="es-CR"/>
        </w:rPr>
        <w:t>infra</w:t>
      </w:r>
      <w:r w:rsidRPr="003E5CDE">
        <w:rPr>
          <w:rFonts w:ascii="Verdana" w:hAnsi="Verdana"/>
          <w:sz w:val="20"/>
          <w:szCs w:val="20"/>
          <w:lang w:val="es-CR"/>
        </w:rPr>
        <w:t xml:space="preserve"> Considerandos </w:t>
      </w:r>
      <w:r w:rsidRPr="003E5CDE">
        <w:rPr>
          <w:rFonts w:ascii="Verdana" w:hAnsi="Verdana"/>
          <w:sz w:val="20"/>
          <w:szCs w:val="20"/>
          <w:lang w:val="es-CR"/>
        </w:rPr>
        <w:fldChar w:fldCharType="begin"/>
      </w:r>
      <w:r w:rsidRPr="003E5CDE">
        <w:rPr>
          <w:rFonts w:ascii="Verdana" w:hAnsi="Verdana"/>
          <w:sz w:val="20"/>
          <w:szCs w:val="20"/>
          <w:lang w:val="es-CR"/>
        </w:rPr>
        <w:instrText xml:space="preserve"> REF _Ref437870878 \r \h  \* MERGEFORMAT </w:instrText>
      </w:r>
      <w:r w:rsidRPr="003E5CDE">
        <w:rPr>
          <w:rFonts w:ascii="Verdana" w:hAnsi="Verdana"/>
          <w:sz w:val="20"/>
          <w:szCs w:val="20"/>
          <w:lang w:val="es-CR"/>
        </w:rPr>
      </w:r>
      <w:r w:rsidRPr="003E5CDE">
        <w:rPr>
          <w:rFonts w:ascii="Verdana" w:hAnsi="Verdana"/>
          <w:sz w:val="20"/>
          <w:szCs w:val="20"/>
          <w:lang w:val="es-CR"/>
        </w:rPr>
        <w:fldChar w:fldCharType="separate"/>
      </w:r>
      <w:r w:rsidR="007E3C4B">
        <w:rPr>
          <w:rFonts w:ascii="Verdana" w:hAnsi="Verdana"/>
          <w:sz w:val="20"/>
          <w:szCs w:val="20"/>
          <w:lang w:val="es-CR"/>
        </w:rPr>
        <w:t>167</w:t>
      </w:r>
      <w:r w:rsidRPr="003E5CDE">
        <w:rPr>
          <w:rFonts w:ascii="Verdana" w:hAnsi="Verdana"/>
          <w:sz w:val="20"/>
          <w:szCs w:val="20"/>
          <w:lang w:val="es-CR"/>
        </w:rPr>
        <w:fldChar w:fldCharType="end"/>
      </w:r>
      <w:r w:rsidRPr="003E5CDE">
        <w:rPr>
          <w:rFonts w:ascii="Verdana" w:hAnsi="Verdana"/>
          <w:sz w:val="20"/>
          <w:szCs w:val="20"/>
          <w:lang w:val="es-CR"/>
        </w:rPr>
        <w:t xml:space="preserve"> a </w:t>
      </w:r>
      <w:r w:rsidRPr="003E5CDE">
        <w:rPr>
          <w:rFonts w:ascii="Verdana" w:hAnsi="Verdana"/>
          <w:sz w:val="20"/>
          <w:szCs w:val="20"/>
          <w:lang w:val="es-CR"/>
        </w:rPr>
        <w:fldChar w:fldCharType="begin"/>
      </w:r>
      <w:r w:rsidRPr="003E5CDE">
        <w:rPr>
          <w:rFonts w:ascii="Verdana" w:hAnsi="Verdana"/>
          <w:sz w:val="20"/>
          <w:szCs w:val="20"/>
          <w:lang w:val="es-CR"/>
        </w:rPr>
        <w:instrText xml:space="preserve"> REF _Ref437942313 \r \h  \* MERGEFORMAT </w:instrText>
      </w:r>
      <w:r w:rsidRPr="003E5CDE">
        <w:rPr>
          <w:rFonts w:ascii="Verdana" w:hAnsi="Verdana"/>
          <w:sz w:val="20"/>
          <w:szCs w:val="20"/>
          <w:lang w:val="es-CR"/>
        </w:rPr>
      </w:r>
      <w:r w:rsidRPr="003E5CDE">
        <w:rPr>
          <w:rFonts w:ascii="Verdana" w:hAnsi="Verdana"/>
          <w:sz w:val="20"/>
          <w:szCs w:val="20"/>
          <w:lang w:val="es-CR"/>
        </w:rPr>
        <w:fldChar w:fldCharType="separate"/>
      </w:r>
      <w:r w:rsidR="007E3C4B">
        <w:rPr>
          <w:rFonts w:ascii="Verdana" w:hAnsi="Verdana"/>
          <w:sz w:val="20"/>
          <w:szCs w:val="20"/>
          <w:lang w:val="es-CR"/>
        </w:rPr>
        <w:t>169</w:t>
      </w:r>
      <w:r w:rsidRPr="003E5CDE">
        <w:rPr>
          <w:rFonts w:ascii="Verdana" w:hAnsi="Verdana"/>
          <w:sz w:val="20"/>
          <w:szCs w:val="20"/>
          <w:lang w:val="es-CR"/>
        </w:rPr>
        <w:fldChar w:fldCharType="end"/>
      </w:r>
      <w:r w:rsidRPr="003E5CDE">
        <w:rPr>
          <w:rFonts w:ascii="Verdana" w:hAnsi="Verdana"/>
          <w:sz w:val="20"/>
          <w:szCs w:val="20"/>
          <w:lang w:val="es-CR"/>
        </w:rPr>
        <w:t>), la negativa de información por parte de las instituciones militares (</w:t>
      </w:r>
      <w:r w:rsidRPr="003E5CDE">
        <w:rPr>
          <w:rFonts w:ascii="Verdana" w:hAnsi="Verdana"/>
          <w:i/>
          <w:sz w:val="20"/>
          <w:szCs w:val="20"/>
          <w:lang w:val="es-CR"/>
        </w:rPr>
        <w:t>infra</w:t>
      </w:r>
      <w:r w:rsidRPr="003E5CDE">
        <w:rPr>
          <w:rFonts w:ascii="Verdana" w:hAnsi="Verdana"/>
          <w:sz w:val="20"/>
          <w:szCs w:val="20"/>
          <w:lang w:val="es-CR"/>
        </w:rPr>
        <w:t xml:space="preserve"> Considerandos </w:t>
      </w:r>
      <w:r w:rsidRPr="003E5CDE">
        <w:rPr>
          <w:rFonts w:ascii="Verdana" w:hAnsi="Verdana"/>
          <w:sz w:val="20"/>
          <w:szCs w:val="20"/>
          <w:lang w:val="es-CR"/>
        </w:rPr>
        <w:fldChar w:fldCharType="begin"/>
      </w:r>
      <w:r w:rsidRPr="003E5CDE">
        <w:rPr>
          <w:rFonts w:ascii="Verdana" w:hAnsi="Verdana"/>
          <w:sz w:val="20"/>
          <w:szCs w:val="20"/>
          <w:lang w:val="es-CR"/>
        </w:rPr>
        <w:instrText xml:space="preserve"> REF _Ref437858242 \r \h  \* MERGEFORMAT </w:instrText>
      </w:r>
      <w:r w:rsidRPr="003E5CDE">
        <w:rPr>
          <w:rFonts w:ascii="Verdana" w:hAnsi="Verdana"/>
          <w:sz w:val="20"/>
          <w:szCs w:val="20"/>
          <w:lang w:val="es-CR"/>
        </w:rPr>
      </w:r>
      <w:r w:rsidRPr="003E5CDE">
        <w:rPr>
          <w:rFonts w:ascii="Verdana" w:hAnsi="Verdana"/>
          <w:sz w:val="20"/>
          <w:szCs w:val="20"/>
          <w:lang w:val="es-CR"/>
        </w:rPr>
        <w:fldChar w:fldCharType="separate"/>
      </w:r>
      <w:r w:rsidR="007E3C4B">
        <w:rPr>
          <w:rFonts w:ascii="Verdana" w:hAnsi="Verdana"/>
          <w:sz w:val="20"/>
          <w:szCs w:val="20"/>
          <w:lang w:val="es-CR"/>
        </w:rPr>
        <w:t>127</w:t>
      </w:r>
      <w:r w:rsidRPr="003E5CDE">
        <w:rPr>
          <w:rFonts w:ascii="Verdana" w:hAnsi="Verdana"/>
          <w:sz w:val="20"/>
          <w:szCs w:val="20"/>
          <w:lang w:val="es-CR"/>
        </w:rPr>
        <w:fldChar w:fldCharType="end"/>
      </w:r>
      <w:r w:rsidRPr="003E5CDE">
        <w:rPr>
          <w:rFonts w:ascii="Verdana" w:hAnsi="Verdana"/>
          <w:sz w:val="20"/>
          <w:szCs w:val="20"/>
          <w:lang w:val="es-CR"/>
        </w:rPr>
        <w:t xml:space="preserve"> a </w:t>
      </w:r>
      <w:r w:rsidRPr="003E5CDE">
        <w:rPr>
          <w:rFonts w:ascii="Verdana" w:hAnsi="Verdana"/>
          <w:sz w:val="20"/>
          <w:szCs w:val="20"/>
          <w:lang w:val="es-CR"/>
        </w:rPr>
        <w:fldChar w:fldCharType="begin"/>
      </w:r>
      <w:r w:rsidRPr="003E5CDE">
        <w:rPr>
          <w:rFonts w:ascii="Verdana" w:hAnsi="Verdana"/>
          <w:sz w:val="20"/>
          <w:szCs w:val="20"/>
          <w:lang w:val="es-CR"/>
        </w:rPr>
        <w:instrText xml:space="preserve"> REF _Ref437939544 \r \h  \* MERGEFORMAT </w:instrText>
      </w:r>
      <w:r w:rsidRPr="003E5CDE">
        <w:rPr>
          <w:rFonts w:ascii="Verdana" w:hAnsi="Verdana"/>
          <w:sz w:val="20"/>
          <w:szCs w:val="20"/>
          <w:lang w:val="es-CR"/>
        </w:rPr>
      </w:r>
      <w:r w:rsidRPr="003E5CDE">
        <w:rPr>
          <w:rFonts w:ascii="Verdana" w:hAnsi="Verdana"/>
          <w:sz w:val="20"/>
          <w:szCs w:val="20"/>
          <w:lang w:val="es-CR"/>
        </w:rPr>
        <w:fldChar w:fldCharType="separate"/>
      </w:r>
      <w:r w:rsidR="007E3C4B">
        <w:rPr>
          <w:rFonts w:ascii="Verdana" w:hAnsi="Verdana"/>
          <w:sz w:val="20"/>
          <w:szCs w:val="20"/>
          <w:lang w:val="es-CR"/>
        </w:rPr>
        <w:t>131</w:t>
      </w:r>
      <w:r w:rsidRPr="003E5CDE">
        <w:rPr>
          <w:rFonts w:ascii="Verdana" w:hAnsi="Verdana"/>
          <w:sz w:val="20"/>
          <w:szCs w:val="20"/>
          <w:lang w:val="es-CR"/>
        </w:rPr>
        <w:fldChar w:fldCharType="end"/>
      </w:r>
      <w:r w:rsidRPr="003E5CDE">
        <w:rPr>
          <w:rFonts w:ascii="Verdana" w:hAnsi="Verdana"/>
          <w:sz w:val="20"/>
          <w:szCs w:val="20"/>
          <w:lang w:val="es-CR"/>
        </w:rPr>
        <w:t>), el uso de recursos para dilatar el proceso (</w:t>
      </w:r>
      <w:r w:rsidRPr="003E5CDE">
        <w:rPr>
          <w:rFonts w:ascii="Verdana" w:hAnsi="Verdana"/>
          <w:i/>
          <w:sz w:val="20"/>
          <w:szCs w:val="20"/>
          <w:lang w:val="es-CR"/>
        </w:rPr>
        <w:t>infra</w:t>
      </w:r>
      <w:r w:rsidRPr="003E5CDE">
        <w:rPr>
          <w:rFonts w:ascii="Verdana" w:hAnsi="Verdana"/>
          <w:sz w:val="20"/>
          <w:szCs w:val="20"/>
          <w:lang w:val="es-CR"/>
        </w:rPr>
        <w:t xml:space="preserve"> Considerandos </w:t>
      </w:r>
      <w:r w:rsidRPr="003E5CDE">
        <w:rPr>
          <w:rFonts w:ascii="Verdana" w:hAnsi="Verdana"/>
          <w:sz w:val="20"/>
          <w:szCs w:val="20"/>
          <w:lang w:val="es-CR"/>
        </w:rPr>
        <w:fldChar w:fldCharType="begin"/>
      </w:r>
      <w:r w:rsidRPr="003E5CDE">
        <w:rPr>
          <w:rFonts w:ascii="Verdana" w:hAnsi="Verdana"/>
          <w:sz w:val="20"/>
          <w:szCs w:val="20"/>
          <w:lang w:val="es-CR"/>
        </w:rPr>
        <w:instrText xml:space="preserve"> REF _Ref437858589 \r \h  \* MERGEFORMAT </w:instrText>
      </w:r>
      <w:r w:rsidRPr="003E5CDE">
        <w:rPr>
          <w:rFonts w:ascii="Verdana" w:hAnsi="Verdana"/>
          <w:sz w:val="20"/>
          <w:szCs w:val="20"/>
          <w:lang w:val="es-CR"/>
        </w:rPr>
      </w:r>
      <w:r w:rsidRPr="003E5CDE">
        <w:rPr>
          <w:rFonts w:ascii="Verdana" w:hAnsi="Verdana"/>
          <w:sz w:val="20"/>
          <w:szCs w:val="20"/>
          <w:lang w:val="es-CR"/>
        </w:rPr>
        <w:fldChar w:fldCharType="separate"/>
      </w:r>
      <w:r w:rsidR="007E3C4B">
        <w:rPr>
          <w:rFonts w:ascii="Verdana" w:hAnsi="Verdana"/>
          <w:sz w:val="20"/>
          <w:szCs w:val="20"/>
          <w:lang w:val="es-CR"/>
        </w:rPr>
        <w:t>132</w:t>
      </w:r>
      <w:r w:rsidRPr="003E5CDE">
        <w:rPr>
          <w:rFonts w:ascii="Verdana" w:hAnsi="Verdana"/>
          <w:sz w:val="20"/>
          <w:szCs w:val="20"/>
          <w:lang w:val="es-CR"/>
        </w:rPr>
        <w:fldChar w:fldCharType="end"/>
      </w:r>
      <w:r w:rsidRPr="003E5CDE">
        <w:rPr>
          <w:rFonts w:ascii="Verdana" w:hAnsi="Verdana"/>
          <w:sz w:val="20"/>
          <w:szCs w:val="20"/>
          <w:lang w:val="es-CR"/>
        </w:rPr>
        <w:t xml:space="preserve"> a </w:t>
      </w:r>
      <w:r w:rsidRPr="003E5CDE">
        <w:rPr>
          <w:rFonts w:ascii="Verdana" w:hAnsi="Verdana"/>
          <w:sz w:val="20"/>
          <w:szCs w:val="20"/>
          <w:lang w:val="es-CR"/>
        </w:rPr>
        <w:fldChar w:fldCharType="begin"/>
      </w:r>
      <w:r w:rsidRPr="003E5CDE">
        <w:rPr>
          <w:rFonts w:ascii="Verdana" w:hAnsi="Verdana"/>
          <w:sz w:val="20"/>
          <w:szCs w:val="20"/>
          <w:lang w:val="es-CR"/>
        </w:rPr>
        <w:instrText xml:space="preserve"> REF _Ref437939198 \r \h  \* MERGEFORMAT </w:instrText>
      </w:r>
      <w:r w:rsidRPr="003E5CDE">
        <w:rPr>
          <w:rFonts w:ascii="Verdana" w:hAnsi="Verdana"/>
          <w:sz w:val="20"/>
          <w:szCs w:val="20"/>
          <w:lang w:val="es-CR"/>
        </w:rPr>
      </w:r>
      <w:r w:rsidRPr="003E5CDE">
        <w:rPr>
          <w:rFonts w:ascii="Verdana" w:hAnsi="Verdana"/>
          <w:sz w:val="20"/>
          <w:szCs w:val="20"/>
          <w:lang w:val="es-CR"/>
        </w:rPr>
        <w:fldChar w:fldCharType="separate"/>
      </w:r>
      <w:r w:rsidR="007E3C4B">
        <w:rPr>
          <w:rFonts w:ascii="Verdana" w:hAnsi="Verdana"/>
          <w:sz w:val="20"/>
          <w:szCs w:val="20"/>
          <w:lang w:val="es-CR"/>
        </w:rPr>
        <w:t>136</w:t>
      </w:r>
      <w:r w:rsidRPr="003E5CDE">
        <w:rPr>
          <w:rFonts w:ascii="Verdana" w:hAnsi="Verdana"/>
          <w:sz w:val="20"/>
          <w:szCs w:val="20"/>
          <w:lang w:val="es-CR"/>
        </w:rPr>
        <w:fldChar w:fldCharType="end"/>
      </w:r>
      <w:r w:rsidRPr="003E5CDE">
        <w:rPr>
          <w:rFonts w:ascii="Verdana" w:hAnsi="Verdana"/>
          <w:sz w:val="20"/>
          <w:szCs w:val="20"/>
          <w:lang w:val="es-CR"/>
        </w:rPr>
        <w:t>) y la aplicación de eximentes de responsabilidad (</w:t>
      </w:r>
      <w:r w:rsidRPr="003E5CDE">
        <w:rPr>
          <w:rFonts w:ascii="Verdana" w:hAnsi="Verdana"/>
          <w:i/>
          <w:sz w:val="20"/>
          <w:szCs w:val="20"/>
          <w:lang w:val="es-CR"/>
        </w:rPr>
        <w:t xml:space="preserve">infra </w:t>
      </w:r>
      <w:r w:rsidRPr="003E5CDE">
        <w:rPr>
          <w:rFonts w:ascii="Verdana" w:hAnsi="Verdana"/>
          <w:sz w:val="20"/>
          <w:szCs w:val="20"/>
          <w:lang w:val="es-CR"/>
        </w:rPr>
        <w:t>Considerandos</w:t>
      </w:r>
      <w:r w:rsidR="00885CCC" w:rsidRPr="003E5CDE">
        <w:rPr>
          <w:rFonts w:ascii="Verdana" w:hAnsi="Verdana"/>
          <w:sz w:val="20"/>
          <w:szCs w:val="20"/>
          <w:lang w:val="es-CR"/>
        </w:rPr>
        <w:t xml:space="preserve"> 137 a 149</w:t>
      </w:r>
      <w:r w:rsidRPr="003E5CDE">
        <w:rPr>
          <w:rFonts w:ascii="Verdana" w:hAnsi="Verdana"/>
          <w:sz w:val="20"/>
          <w:szCs w:val="20"/>
          <w:lang w:val="es-CR"/>
        </w:rPr>
        <w:t xml:space="preserve">). </w:t>
      </w:r>
    </w:p>
    <w:p w14:paraId="63107700" w14:textId="77777777" w:rsidR="00F3215A" w:rsidRPr="00885CCC" w:rsidRDefault="00F3215A" w:rsidP="00F3215A">
      <w:pPr>
        <w:pStyle w:val="ListParagraph"/>
        <w:spacing w:after="0" w:line="240" w:lineRule="auto"/>
        <w:ind w:left="0" w:right="1444"/>
        <w:jc w:val="both"/>
        <w:rPr>
          <w:rFonts w:ascii="Verdana" w:hAnsi="Verdana"/>
          <w:sz w:val="20"/>
          <w:szCs w:val="20"/>
          <w:lang w:val="es-CR"/>
        </w:rPr>
      </w:pPr>
    </w:p>
    <w:p w14:paraId="09B227E0" w14:textId="49C38896" w:rsidR="00F3215A" w:rsidRDefault="006E0A8B" w:rsidP="00F3215A">
      <w:pPr>
        <w:pStyle w:val="ListParagraph"/>
        <w:numPr>
          <w:ilvl w:val="0"/>
          <w:numId w:val="2"/>
        </w:numPr>
        <w:spacing w:after="0" w:line="240" w:lineRule="auto"/>
        <w:ind w:left="0" w:right="1444" w:firstLine="0"/>
        <w:jc w:val="both"/>
        <w:rPr>
          <w:rFonts w:ascii="Verdana" w:hAnsi="Verdana"/>
          <w:sz w:val="20"/>
          <w:szCs w:val="20"/>
          <w:lang w:val="es-CR"/>
        </w:rPr>
      </w:pPr>
      <w:bookmarkStart w:id="87" w:name="_Ref437962598"/>
      <w:r>
        <w:rPr>
          <w:rFonts w:ascii="Verdana" w:hAnsi="Verdana"/>
          <w:sz w:val="20"/>
          <w:szCs w:val="20"/>
          <w:lang w:val="es-CR"/>
        </w:rPr>
        <w:t>T</w:t>
      </w:r>
      <w:r w:rsidRPr="0032068E">
        <w:rPr>
          <w:rFonts w:ascii="Verdana" w:hAnsi="Verdana"/>
          <w:sz w:val="20"/>
          <w:szCs w:val="20"/>
          <w:lang w:val="es-CR"/>
        </w:rPr>
        <w:t xml:space="preserve">eniendo en cuenta las observaciones de los representantes de noviembre de 2015, </w:t>
      </w:r>
      <w:r>
        <w:rPr>
          <w:rFonts w:ascii="Verdana" w:hAnsi="Verdana"/>
          <w:sz w:val="20"/>
          <w:szCs w:val="20"/>
          <w:lang w:val="es-CR"/>
        </w:rPr>
        <w:t xml:space="preserve">este Tribunal </w:t>
      </w:r>
      <w:r w:rsidRPr="0032068E">
        <w:rPr>
          <w:rFonts w:ascii="Verdana" w:hAnsi="Verdana"/>
          <w:sz w:val="20"/>
          <w:szCs w:val="20"/>
          <w:lang w:val="es-CR"/>
        </w:rPr>
        <w:t>v</w:t>
      </w:r>
      <w:r>
        <w:rPr>
          <w:rFonts w:ascii="Verdana" w:hAnsi="Verdana"/>
          <w:sz w:val="20"/>
          <w:szCs w:val="20"/>
          <w:lang w:val="es-CR"/>
        </w:rPr>
        <w:t>alora positivamente las recientes</w:t>
      </w:r>
      <w:r w:rsidRPr="0032068E">
        <w:rPr>
          <w:rFonts w:ascii="Verdana" w:hAnsi="Verdana"/>
          <w:sz w:val="20"/>
          <w:szCs w:val="20"/>
          <w:lang w:val="es-CR"/>
        </w:rPr>
        <w:t xml:space="preserve"> diligencias del Estado </w:t>
      </w:r>
      <w:r>
        <w:rPr>
          <w:rFonts w:ascii="Verdana" w:hAnsi="Verdana"/>
          <w:sz w:val="20"/>
          <w:szCs w:val="20"/>
          <w:lang w:val="es-CR"/>
        </w:rPr>
        <w:t>para avanzar en</w:t>
      </w:r>
      <w:r w:rsidRPr="0032068E">
        <w:rPr>
          <w:rFonts w:ascii="Verdana" w:hAnsi="Verdana"/>
          <w:sz w:val="20"/>
          <w:szCs w:val="20"/>
          <w:lang w:val="es-CR"/>
        </w:rPr>
        <w:t xml:space="preserve"> la consecución de</w:t>
      </w:r>
      <w:r>
        <w:rPr>
          <w:rFonts w:ascii="Verdana" w:hAnsi="Verdana"/>
          <w:sz w:val="20"/>
          <w:szCs w:val="20"/>
          <w:lang w:val="es-CR"/>
        </w:rPr>
        <w:t xml:space="preserve"> la investigación de los hechos. Sin embargo, </w:t>
      </w:r>
      <w:r w:rsidR="00FF1E92">
        <w:rPr>
          <w:rFonts w:ascii="Verdana" w:hAnsi="Verdana"/>
          <w:sz w:val="20"/>
          <w:szCs w:val="20"/>
          <w:lang w:val="es-CR"/>
        </w:rPr>
        <w:t xml:space="preserve">es preciso hacer notar la gravedad de </w:t>
      </w:r>
      <w:r w:rsidR="00F3215A" w:rsidRPr="0032068E">
        <w:rPr>
          <w:rFonts w:ascii="Verdana" w:hAnsi="Verdana"/>
          <w:sz w:val="20"/>
          <w:szCs w:val="20"/>
          <w:lang w:val="es-CR"/>
        </w:rPr>
        <w:t>que, a pesar de que los hec</w:t>
      </w:r>
      <w:r w:rsidR="00DF7E02">
        <w:rPr>
          <w:rFonts w:ascii="Verdana" w:hAnsi="Verdana"/>
          <w:sz w:val="20"/>
          <w:szCs w:val="20"/>
          <w:lang w:val="es-CR"/>
        </w:rPr>
        <w:t xml:space="preserve">hos del presente caso iniciaron hace 34 años y </w:t>
      </w:r>
      <w:r w:rsidR="00F3215A" w:rsidRPr="0032068E">
        <w:rPr>
          <w:rFonts w:ascii="Verdana" w:hAnsi="Verdana"/>
          <w:sz w:val="20"/>
          <w:szCs w:val="20"/>
          <w:lang w:val="es-CR"/>
        </w:rPr>
        <w:t>la Sentencia emitida por la Corte fue dictada ha</w:t>
      </w:r>
      <w:r>
        <w:rPr>
          <w:rFonts w:ascii="Verdana" w:hAnsi="Verdana"/>
          <w:sz w:val="20"/>
          <w:szCs w:val="20"/>
          <w:lang w:val="es-CR"/>
        </w:rPr>
        <w:t xml:space="preserve">ce once </w:t>
      </w:r>
      <w:r w:rsidR="00F3215A" w:rsidRPr="0032068E">
        <w:rPr>
          <w:rFonts w:ascii="Verdana" w:hAnsi="Verdana"/>
          <w:sz w:val="20"/>
          <w:szCs w:val="20"/>
          <w:lang w:val="es-CR"/>
        </w:rPr>
        <w:t xml:space="preserve">años, </w:t>
      </w:r>
      <w:r w:rsidR="00F3215A">
        <w:rPr>
          <w:rFonts w:ascii="Verdana" w:hAnsi="Verdana"/>
          <w:sz w:val="20"/>
          <w:szCs w:val="20"/>
          <w:lang w:val="es-CR"/>
        </w:rPr>
        <w:t>el proceso penal</w:t>
      </w:r>
      <w:r w:rsidR="00F3215A" w:rsidRPr="0032068E">
        <w:rPr>
          <w:rFonts w:ascii="Verdana" w:hAnsi="Verdana"/>
          <w:sz w:val="20"/>
          <w:szCs w:val="20"/>
          <w:lang w:val="es-CR"/>
        </w:rPr>
        <w:t xml:space="preserve"> </w:t>
      </w:r>
      <w:r w:rsidR="00FF1E92">
        <w:rPr>
          <w:rFonts w:ascii="Verdana" w:hAnsi="Verdana"/>
          <w:sz w:val="20"/>
          <w:szCs w:val="20"/>
          <w:lang w:val="es-CR"/>
        </w:rPr>
        <w:t xml:space="preserve">sigue </w:t>
      </w:r>
      <w:r w:rsidR="00F3215A" w:rsidRPr="0032068E">
        <w:rPr>
          <w:rFonts w:ascii="Verdana" w:hAnsi="Verdana"/>
          <w:sz w:val="20"/>
          <w:szCs w:val="20"/>
          <w:lang w:val="es-CR"/>
        </w:rPr>
        <w:t xml:space="preserve">en etapa </w:t>
      </w:r>
      <w:r w:rsidR="00F3215A">
        <w:rPr>
          <w:rFonts w:ascii="Verdana" w:hAnsi="Verdana"/>
          <w:sz w:val="20"/>
          <w:szCs w:val="20"/>
          <w:lang w:val="es-CR"/>
        </w:rPr>
        <w:t xml:space="preserve">de </w:t>
      </w:r>
      <w:r w:rsidR="00F3215A" w:rsidRPr="00FF1E92">
        <w:rPr>
          <w:rFonts w:ascii="Verdana" w:hAnsi="Verdana"/>
          <w:sz w:val="20"/>
          <w:szCs w:val="20"/>
          <w:lang w:val="es-CR"/>
        </w:rPr>
        <w:t>investigación</w:t>
      </w:r>
      <w:r w:rsidR="008C3534" w:rsidRPr="00FF1E92">
        <w:rPr>
          <w:rFonts w:ascii="Verdana" w:hAnsi="Verdana"/>
          <w:sz w:val="20"/>
          <w:szCs w:val="20"/>
          <w:lang w:val="es-CR"/>
        </w:rPr>
        <w:t xml:space="preserve"> y continúa sin conocerse el paradero de Marco Antonio Molina Theissen</w:t>
      </w:r>
      <w:r w:rsidR="00E8683A">
        <w:rPr>
          <w:rFonts w:ascii="Verdana" w:hAnsi="Verdana"/>
          <w:sz w:val="20"/>
          <w:szCs w:val="20"/>
          <w:lang w:val="es-CR"/>
        </w:rPr>
        <w:t xml:space="preserve"> y</w:t>
      </w:r>
      <w:r w:rsidRPr="00FF1E92">
        <w:rPr>
          <w:rFonts w:ascii="Verdana" w:hAnsi="Verdana"/>
          <w:sz w:val="20"/>
          <w:szCs w:val="20"/>
          <w:lang w:val="es-CR"/>
        </w:rPr>
        <w:t xml:space="preserve"> encontrarse e identificarse sus restos para ser entregados a sus familiares</w:t>
      </w:r>
      <w:r w:rsidR="00E34570">
        <w:rPr>
          <w:rFonts w:ascii="Verdana" w:hAnsi="Verdana"/>
          <w:sz w:val="20"/>
          <w:szCs w:val="20"/>
          <w:lang w:val="es-CR"/>
        </w:rPr>
        <w:t>.</w:t>
      </w:r>
      <w:r w:rsidR="00F3215A" w:rsidRPr="0032068E">
        <w:rPr>
          <w:rFonts w:ascii="Verdana" w:hAnsi="Verdana"/>
          <w:sz w:val="20"/>
          <w:szCs w:val="20"/>
          <w:lang w:val="es-CR"/>
        </w:rPr>
        <w:t xml:space="preserve"> </w:t>
      </w:r>
      <w:bookmarkStart w:id="88" w:name="_Ref437964405"/>
      <w:bookmarkEnd w:id="87"/>
    </w:p>
    <w:p w14:paraId="12B06CEE" w14:textId="77777777" w:rsidR="00F3215A" w:rsidRPr="002602FF" w:rsidRDefault="00F3215A" w:rsidP="00F3215A">
      <w:pPr>
        <w:pStyle w:val="ListParagraph"/>
        <w:rPr>
          <w:rFonts w:ascii="Verdana" w:hAnsi="Verdana"/>
          <w:sz w:val="20"/>
          <w:szCs w:val="20"/>
          <w:lang w:val="es-CR"/>
        </w:rPr>
      </w:pPr>
    </w:p>
    <w:p w14:paraId="154FB4EA" w14:textId="153BAFBF" w:rsidR="00F3215A" w:rsidRPr="002602FF" w:rsidRDefault="00F3215A" w:rsidP="00F3215A">
      <w:pPr>
        <w:pStyle w:val="ListParagraph"/>
        <w:numPr>
          <w:ilvl w:val="0"/>
          <w:numId w:val="2"/>
        </w:numPr>
        <w:spacing w:after="0" w:line="240" w:lineRule="auto"/>
        <w:ind w:left="0" w:right="1444" w:firstLine="0"/>
        <w:jc w:val="both"/>
        <w:rPr>
          <w:rFonts w:ascii="Verdana" w:hAnsi="Verdana"/>
          <w:sz w:val="20"/>
          <w:szCs w:val="20"/>
          <w:lang w:val="es-CR"/>
        </w:rPr>
      </w:pPr>
      <w:r w:rsidRPr="002602FF">
        <w:rPr>
          <w:rFonts w:ascii="Verdana" w:hAnsi="Verdana"/>
          <w:sz w:val="20"/>
          <w:szCs w:val="20"/>
          <w:lang w:val="es-CR"/>
        </w:rPr>
        <w:t xml:space="preserve">En consecuencia, la Corte requiere al Estado que presente información actualizada y detallada sobre las líneas de investigación que sigue y seguirá para investigar los hechos ocurridos en perjuicio de Marco Molina Theissen, identificar a los responsables y, de ser el caso, sancionarles, conforme a lo dispuesto en la Sentencia, y sobre las medidas que adoptará para superar los obstáculos estructurales señalados que afectan dicha investigación. Además, se requiere al Estado que aporte un cronograma de las diligencias por realizar con el fin de </w:t>
      </w:r>
      <w:r>
        <w:rPr>
          <w:rFonts w:ascii="Verdana" w:hAnsi="Verdana"/>
          <w:sz w:val="20"/>
          <w:szCs w:val="20"/>
          <w:lang w:val="es-CR"/>
        </w:rPr>
        <w:t>culminar la etapa de investigación y continuar con el desarrollo del proceso penal para</w:t>
      </w:r>
      <w:r w:rsidRPr="002602FF" w:rsidDel="002F1431">
        <w:rPr>
          <w:rFonts w:ascii="Verdana" w:hAnsi="Verdana"/>
          <w:sz w:val="20"/>
          <w:szCs w:val="20"/>
          <w:lang w:val="es-CR"/>
        </w:rPr>
        <w:t xml:space="preserve"> </w:t>
      </w:r>
      <w:r w:rsidRPr="002602FF">
        <w:rPr>
          <w:rFonts w:ascii="Verdana" w:hAnsi="Verdana"/>
          <w:sz w:val="20"/>
          <w:szCs w:val="20"/>
          <w:lang w:val="es-CR"/>
        </w:rPr>
        <w:t>juzgar y en su caso, sancionar, a los responsables de las violaciones a derechos humanos identificadas en el caso.</w:t>
      </w:r>
      <w:bookmarkEnd w:id="88"/>
    </w:p>
    <w:p w14:paraId="192E5784" w14:textId="77777777" w:rsidR="000E7169" w:rsidRPr="0032068E" w:rsidRDefault="000E7169" w:rsidP="00C3267F">
      <w:pPr>
        <w:pStyle w:val="ListParagraph"/>
        <w:spacing w:after="0" w:line="240" w:lineRule="auto"/>
        <w:ind w:left="0" w:right="1444"/>
        <w:jc w:val="both"/>
        <w:rPr>
          <w:rFonts w:ascii="Verdana" w:hAnsi="Verdana"/>
          <w:sz w:val="20"/>
          <w:szCs w:val="20"/>
          <w:lang w:val="es-CR"/>
        </w:rPr>
      </w:pPr>
    </w:p>
    <w:p w14:paraId="1F25848C" w14:textId="37A23F0C" w:rsidR="000E2492" w:rsidRDefault="00C3267F" w:rsidP="000E2492">
      <w:pPr>
        <w:pStyle w:val="Heading3"/>
      </w:pPr>
      <w:bookmarkStart w:id="89" w:name="_Toc435778533"/>
      <w:bookmarkStart w:id="90" w:name="_Toc439248791"/>
      <w:r w:rsidRPr="0032068E">
        <w:t>Caso Masacre Plan de Sánchez</w:t>
      </w:r>
      <w:bookmarkEnd w:id="89"/>
      <w:bookmarkEnd w:id="90"/>
    </w:p>
    <w:p w14:paraId="66598F44" w14:textId="77777777" w:rsidR="00D33DAD" w:rsidRPr="00D33DAD" w:rsidRDefault="00D33DAD" w:rsidP="00D33DAD"/>
    <w:p w14:paraId="436DAABC" w14:textId="70891CD6" w:rsidR="00F3215A" w:rsidRPr="0032068E" w:rsidRDefault="00F3215A" w:rsidP="00F3215A">
      <w:pPr>
        <w:pStyle w:val="ListParagraph"/>
        <w:numPr>
          <w:ilvl w:val="0"/>
          <w:numId w:val="2"/>
        </w:numPr>
        <w:spacing w:after="0" w:line="240" w:lineRule="auto"/>
        <w:ind w:left="0" w:right="1444" w:firstLine="0"/>
        <w:jc w:val="both"/>
        <w:rPr>
          <w:rFonts w:ascii="Verdana" w:hAnsi="Verdana" w:cs="Verdana"/>
          <w:sz w:val="20"/>
          <w:szCs w:val="20"/>
          <w:lang w:val="es-ES"/>
        </w:rPr>
      </w:pPr>
      <w:r w:rsidRPr="0032068E">
        <w:rPr>
          <w:rFonts w:ascii="Verdana" w:hAnsi="Verdana" w:cs="Verdana"/>
          <w:sz w:val="20"/>
          <w:szCs w:val="20"/>
          <w:lang w:val="es-ES"/>
        </w:rPr>
        <w:t xml:space="preserve">En la resolución de 2011 del caso </w:t>
      </w:r>
      <w:r w:rsidRPr="0032068E">
        <w:rPr>
          <w:rFonts w:ascii="Verdana" w:hAnsi="Verdana" w:cs="Verdana"/>
          <w:i/>
          <w:sz w:val="20"/>
          <w:szCs w:val="20"/>
          <w:lang w:val="es-ES"/>
        </w:rPr>
        <w:t xml:space="preserve">Masacre Plan de Sánchez, </w:t>
      </w:r>
      <w:r w:rsidRPr="0032068E">
        <w:rPr>
          <w:rFonts w:ascii="Verdana" w:hAnsi="Verdana" w:cs="Verdana"/>
          <w:sz w:val="20"/>
          <w:szCs w:val="20"/>
          <w:lang w:val="es-ES"/>
        </w:rPr>
        <w:t>la Corte observó que “con posterioridad a la emisión de la Sentencia en el presente caso, el Estado no ha implementado acciones para efectuar una investigación pronta, exhaustiva y efectiva”. En efecto, pa</w:t>
      </w:r>
      <w:r w:rsidR="00D23FC9">
        <w:rPr>
          <w:rFonts w:ascii="Verdana" w:hAnsi="Verdana" w:cs="Verdana"/>
          <w:sz w:val="20"/>
          <w:szCs w:val="20"/>
          <w:lang w:val="es-ES"/>
        </w:rPr>
        <w:t>ra dicha oportunidad, el Estado</w:t>
      </w:r>
      <w:r w:rsidRPr="0032068E">
        <w:rPr>
          <w:rFonts w:ascii="Verdana" w:hAnsi="Verdana" w:cs="Verdana"/>
          <w:sz w:val="20"/>
          <w:szCs w:val="20"/>
          <w:lang w:val="es-ES"/>
        </w:rPr>
        <w:t xml:space="preserve"> informó, de forma general, que los investigadores estarían realizando “las diligencias necesarias a efecto de identificar, individualizar y ubicar a las personas que como patrulleros civiles y comisionados militares […] tuvieron participación en los hechos”, y que la Cámara Penal tenía una propuesta para “ejecutar las sentencias emitidas por la Corte Interamericana”</w:t>
      </w:r>
      <w:r>
        <w:rPr>
          <w:rStyle w:val="FootnoteReference"/>
          <w:rFonts w:ascii="Verdana" w:hAnsi="Verdana" w:cs="Verdana"/>
          <w:i/>
          <w:sz w:val="20"/>
          <w:szCs w:val="20"/>
          <w:lang w:val="es-ES"/>
        </w:rPr>
        <w:footnoteReference w:id="93"/>
      </w:r>
      <w:r w:rsidRPr="0032068E">
        <w:rPr>
          <w:rFonts w:ascii="Verdana" w:hAnsi="Verdana" w:cs="Verdana"/>
          <w:sz w:val="20"/>
          <w:szCs w:val="20"/>
          <w:lang w:val="es-ES"/>
        </w:rPr>
        <w:t>. Ante ello, la Corte reiteró al Estado su obligación de remitir información clara, detallada y actualizada sobre los avances en la investigación</w:t>
      </w:r>
      <w:r w:rsidRPr="0032068E">
        <w:rPr>
          <w:rStyle w:val="FootnoteReference"/>
          <w:rFonts w:ascii="Verdana" w:hAnsi="Verdana" w:cs="Verdana"/>
          <w:sz w:val="20"/>
          <w:szCs w:val="20"/>
          <w:lang w:val="es-ES"/>
        </w:rPr>
        <w:footnoteReference w:id="94"/>
      </w:r>
      <w:r w:rsidRPr="0032068E">
        <w:rPr>
          <w:rFonts w:ascii="Verdana" w:hAnsi="Verdana" w:cs="Verdana"/>
          <w:sz w:val="20"/>
          <w:szCs w:val="20"/>
          <w:lang w:val="es-ES"/>
        </w:rPr>
        <w:t>.</w:t>
      </w:r>
    </w:p>
    <w:p w14:paraId="613BCDFB" w14:textId="77777777" w:rsidR="00F3215A" w:rsidRPr="0032068E" w:rsidRDefault="00F3215A" w:rsidP="00F3215A">
      <w:pPr>
        <w:pStyle w:val="ListParagraph"/>
        <w:spacing w:after="0" w:line="240" w:lineRule="auto"/>
        <w:ind w:left="0" w:right="1444"/>
        <w:jc w:val="both"/>
        <w:rPr>
          <w:rFonts w:ascii="Verdana" w:hAnsi="Verdana"/>
          <w:sz w:val="20"/>
          <w:szCs w:val="20"/>
          <w:lang w:val="es-CR"/>
        </w:rPr>
      </w:pPr>
    </w:p>
    <w:p w14:paraId="4E59EE4C" w14:textId="657D08FF" w:rsidR="00F3215A" w:rsidRPr="0032068E" w:rsidRDefault="00F3215A" w:rsidP="00F3215A">
      <w:pPr>
        <w:pStyle w:val="ListParagraph"/>
        <w:numPr>
          <w:ilvl w:val="0"/>
          <w:numId w:val="2"/>
        </w:numPr>
        <w:spacing w:after="0" w:line="240" w:lineRule="auto"/>
        <w:ind w:left="0" w:right="1444" w:firstLine="0"/>
        <w:jc w:val="both"/>
        <w:rPr>
          <w:rFonts w:ascii="Verdana" w:hAnsi="Verdana"/>
          <w:sz w:val="20"/>
          <w:szCs w:val="20"/>
          <w:lang w:val="es-CR"/>
        </w:rPr>
      </w:pPr>
      <w:bookmarkStart w:id="91" w:name="_Ref437867960"/>
      <w:r>
        <w:rPr>
          <w:rFonts w:ascii="Verdana" w:hAnsi="Verdana"/>
          <w:sz w:val="20"/>
          <w:szCs w:val="20"/>
          <w:lang w:val="es-CR"/>
        </w:rPr>
        <w:t>Con</w:t>
      </w:r>
      <w:r w:rsidRPr="0032068E">
        <w:rPr>
          <w:rFonts w:ascii="Verdana" w:hAnsi="Verdana"/>
          <w:sz w:val="20"/>
          <w:szCs w:val="20"/>
          <w:lang w:val="es-CR"/>
        </w:rPr>
        <w:t xml:space="preserve"> base en la información proporcionada por el Informe del Ministerio Público</w:t>
      </w:r>
      <w:r w:rsidRPr="009041CF">
        <w:rPr>
          <w:rFonts w:ascii="Verdana" w:hAnsi="Verdana" w:cs="Verdana"/>
          <w:i/>
          <w:sz w:val="20"/>
          <w:szCs w:val="20"/>
          <w:lang w:val="es-ES"/>
        </w:rPr>
        <w:t xml:space="preserve"> </w:t>
      </w:r>
      <w:r w:rsidRPr="009041CF">
        <w:rPr>
          <w:rFonts w:ascii="Verdana" w:hAnsi="Verdana" w:cs="Verdana"/>
          <w:sz w:val="20"/>
          <w:szCs w:val="20"/>
          <w:lang w:val="es-ES"/>
        </w:rPr>
        <w:t>de mayo de 2014</w:t>
      </w:r>
      <w:r>
        <w:rPr>
          <w:rFonts w:ascii="Verdana" w:hAnsi="Verdana" w:cs="Verdana"/>
          <w:sz w:val="20"/>
          <w:szCs w:val="20"/>
          <w:lang w:val="es-ES"/>
        </w:rPr>
        <w:t xml:space="preserve"> </w:t>
      </w:r>
      <w:r w:rsidRPr="0032068E">
        <w:rPr>
          <w:rFonts w:ascii="Verdana" w:hAnsi="Verdana"/>
          <w:sz w:val="20"/>
          <w:szCs w:val="20"/>
          <w:lang w:val="es-CR"/>
        </w:rPr>
        <w:t>y por el</w:t>
      </w:r>
      <w:r w:rsidR="00D23FC9">
        <w:rPr>
          <w:rFonts w:ascii="Verdana" w:hAnsi="Verdana"/>
          <w:sz w:val="20"/>
          <w:szCs w:val="20"/>
          <w:lang w:val="es-CR"/>
        </w:rPr>
        <w:t xml:space="preserve"> Estado en sus informes de 2015</w:t>
      </w:r>
      <w:r w:rsidRPr="0032068E">
        <w:rPr>
          <w:rFonts w:ascii="Verdana" w:hAnsi="Verdana"/>
          <w:sz w:val="20"/>
          <w:szCs w:val="20"/>
          <w:lang w:val="es-CR"/>
        </w:rPr>
        <w:t xml:space="preserve">, </w:t>
      </w:r>
      <w:r>
        <w:rPr>
          <w:rFonts w:ascii="Verdana" w:hAnsi="Verdana"/>
          <w:sz w:val="20"/>
          <w:szCs w:val="20"/>
          <w:lang w:val="es-CR"/>
        </w:rPr>
        <w:t>se observa que cinco personas</w:t>
      </w:r>
      <w:r w:rsidRPr="0032068E">
        <w:rPr>
          <w:rStyle w:val="FootnoteReference"/>
          <w:rFonts w:ascii="Verdana" w:hAnsi="Verdana"/>
          <w:sz w:val="20"/>
          <w:szCs w:val="20"/>
          <w:lang w:val="es-CR"/>
        </w:rPr>
        <w:footnoteReference w:id="95"/>
      </w:r>
      <w:r>
        <w:rPr>
          <w:rFonts w:ascii="Verdana" w:hAnsi="Verdana"/>
          <w:sz w:val="20"/>
          <w:szCs w:val="20"/>
          <w:lang w:val="es-CR"/>
        </w:rPr>
        <w:t xml:space="preserve"> f</w:t>
      </w:r>
      <w:r w:rsidR="00D23FC9">
        <w:rPr>
          <w:rFonts w:ascii="Verdana" w:hAnsi="Verdana"/>
          <w:sz w:val="20"/>
          <w:szCs w:val="20"/>
          <w:lang w:val="es-CR"/>
        </w:rPr>
        <w:t>ueron condenadas en el 2012 por</w:t>
      </w:r>
      <w:r>
        <w:rPr>
          <w:rFonts w:ascii="Verdana" w:hAnsi="Verdana"/>
          <w:sz w:val="20"/>
          <w:szCs w:val="20"/>
          <w:lang w:val="es-CR"/>
        </w:rPr>
        <w:t xml:space="preserve"> el Tribunal Primero de Sentencia Penal, Narcoactividad y Delitos Contra el Ambiente de Guatemala por los delitos de asesinato y delitos contra los deberes de la humanidad. Estas cinco personas fueron condenadas y aprehend</w:t>
      </w:r>
      <w:r w:rsidR="00D23FC9">
        <w:rPr>
          <w:rFonts w:ascii="Verdana" w:hAnsi="Verdana"/>
          <w:sz w:val="20"/>
          <w:szCs w:val="20"/>
          <w:lang w:val="es-CR"/>
        </w:rPr>
        <w:t>idas. A</w:t>
      </w:r>
      <w:r>
        <w:rPr>
          <w:rFonts w:ascii="Verdana" w:hAnsi="Verdana"/>
          <w:sz w:val="20"/>
          <w:szCs w:val="20"/>
          <w:lang w:val="es-CR"/>
        </w:rPr>
        <w:t>simismo, se emitieron dos órdenes de aprehensión contra otros dos imputados</w:t>
      </w:r>
      <w:r>
        <w:rPr>
          <w:rStyle w:val="FootnoteReference"/>
          <w:rFonts w:ascii="Verdana" w:hAnsi="Verdana"/>
          <w:sz w:val="20"/>
          <w:szCs w:val="20"/>
          <w:lang w:val="es-CR"/>
        </w:rPr>
        <w:footnoteReference w:id="96"/>
      </w:r>
      <w:r>
        <w:rPr>
          <w:rFonts w:ascii="Verdana" w:hAnsi="Verdana"/>
          <w:sz w:val="20"/>
          <w:szCs w:val="20"/>
          <w:lang w:val="es-CR"/>
        </w:rPr>
        <w:t xml:space="preserve"> cuya ejecución se encuentra aún pendiente</w:t>
      </w:r>
      <w:r w:rsidRPr="0032068E">
        <w:rPr>
          <w:rStyle w:val="FootnoteReference"/>
          <w:rFonts w:ascii="Verdana" w:hAnsi="Verdana"/>
          <w:sz w:val="20"/>
          <w:szCs w:val="20"/>
          <w:lang w:val="es-CR"/>
        </w:rPr>
        <w:footnoteReference w:id="97"/>
      </w:r>
      <w:r w:rsidRPr="0032068E">
        <w:rPr>
          <w:rFonts w:ascii="Verdana" w:hAnsi="Verdana"/>
          <w:sz w:val="20"/>
          <w:szCs w:val="20"/>
          <w:lang w:val="es-CR"/>
        </w:rPr>
        <w:t xml:space="preserve">. Además, el Estado </w:t>
      </w:r>
      <w:r>
        <w:rPr>
          <w:rFonts w:ascii="Verdana" w:hAnsi="Verdana"/>
          <w:sz w:val="20"/>
          <w:szCs w:val="20"/>
          <w:lang w:val="es-CR"/>
        </w:rPr>
        <w:t xml:space="preserve">señaló </w:t>
      </w:r>
      <w:r w:rsidRPr="0032068E">
        <w:rPr>
          <w:rFonts w:ascii="Verdana" w:hAnsi="Verdana"/>
          <w:sz w:val="20"/>
          <w:szCs w:val="20"/>
          <w:lang w:val="es-CR"/>
        </w:rPr>
        <w:t>que el Ministerio Público “contin</w:t>
      </w:r>
      <w:r>
        <w:rPr>
          <w:rFonts w:ascii="Verdana" w:hAnsi="Verdana"/>
          <w:sz w:val="20"/>
          <w:szCs w:val="20"/>
          <w:lang w:val="es-CR"/>
        </w:rPr>
        <w:t>[</w:t>
      </w:r>
      <w:r w:rsidRPr="0032068E">
        <w:rPr>
          <w:rFonts w:ascii="Verdana" w:hAnsi="Verdana"/>
          <w:sz w:val="20"/>
          <w:szCs w:val="20"/>
          <w:lang w:val="es-CR"/>
        </w:rPr>
        <w:t>ú</w:t>
      </w:r>
      <w:r>
        <w:rPr>
          <w:rFonts w:ascii="Verdana" w:hAnsi="Verdana"/>
          <w:sz w:val="20"/>
          <w:szCs w:val="20"/>
          <w:lang w:val="es-CR"/>
        </w:rPr>
        <w:t>]</w:t>
      </w:r>
      <w:r w:rsidRPr="0032068E">
        <w:rPr>
          <w:rFonts w:ascii="Verdana" w:hAnsi="Verdana"/>
          <w:sz w:val="20"/>
          <w:szCs w:val="20"/>
          <w:lang w:val="es-CR"/>
        </w:rPr>
        <w:t xml:space="preserve">a con su labor de investigación dentro de [este caso, </w:t>
      </w:r>
      <w:r>
        <w:rPr>
          <w:rFonts w:ascii="Verdana" w:hAnsi="Verdana"/>
          <w:sz w:val="20"/>
          <w:szCs w:val="20"/>
          <w:lang w:val="es-CR"/>
        </w:rPr>
        <w:t>y</w:t>
      </w:r>
      <w:r w:rsidRPr="0032068E">
        <w:rPr>
          <w:rFonts w:ascii="Verdana" w:hAnsi="Verdana"/>
          <w:sz w:val="20"/>
          <w:szCs w:val="20"/>
          <w:lang w:val="es-CR"/>
        </w:rPr>
        <w:t>] ha recabado aproximadamente 300 declaraciones testimoniales vinculadas al caso, [y</w:t>
      </w:r>
      <w:r>
        <w:rPr>
          <w:rFonts w:ascii="Verdana" w:hAnsi="Verdana"/>
          <w:sz w:val="20"/>
          <w:szCs w:val="20"/>
          <w:lang w:val="es-CR"/>
        </w:rPr>
        <w:t>, además,</w:t>
      </w:r>
      <w:r w:rsidRPr="0032068E">
        <w:rPr>
          <w:rFonts w:ascii="Verdana" w:hAnsi="Verdana"/>
          <w:sz w:val="20"/>
          <w:szCs w:val="20"/>
          <w:lang w:val="es-CR"/>
        </w:rPr>
        <w:t xml:space="preserve">] se </w:t>
      </w:r>
      <w:r>
        <w:rPr>
          <w:rFonts w:ascii="Verdana" w:hAnsi="Verdana"/>
          <w:sz w:val="20"/>
          <w:szCs w:val="20"/>
          <w:lang w:val="es-CR"/>
        </w:rPr>
        <w:t>[</w:t>
      </w:r>
      <w:r w:rsidRPr="0032068E">
        <w:rPr>
          <w:rFonts w:ascii="Verdana" w:hAnsi="Verdana"/>
          <w:sz w:val="20"/>
          <w:szCs w:val="20"/>
          <w:lang w:val="es-CR"/>
        </w:rPr>
        <w:t>realiza</w:t>
      </w:r>
      <w:r>
        <w:rPr>
          <w:rFonts w:ascii="Verdana" w:hAnsi="Verdana"/>
          <w:sz w:val="20"/>
          <w:szCs w:val="20"/>
          <w:lang w:val="es-CR"/>
        </w:rPr>
        <w:t>ro</w:t>
      </w:r>
      <w:r w:rsidRPr="0032068E">
        <w:rPr>
          <w:rFonts w:ascii="Verdana" w:hAnsi="Verdana"/>
          <w:sz w:val="20"/>
          <w:szCs w:val="20"/>
          <w:lang w:val="es-CR"/>
        </w:rPr>
        <w:t>n</w:t>
      </w:r>
      <w:r>
        <w:rPr>
          <w:rFonts w:ascii="Verdana" w:hAnsi="Verdana"/>
          <w:sz w:val="20"/>
          <w:szCs w:val="20"/>
          <w:lang w:val="es-CR"/>
        </w:rPr>
        <w:t>]</w:t>
      </w:r>
      <w:r w:rsidRPr="0032068E">
        <w:rPr>
          <w:rFonts w:ascii="Verdana" w:hAnsi="Verdana"/>
          <w:sz w:val="20"/>
          <w:szCs w:val="20"/>
          <w:lang w:val="es-CR"/>
        </w:rPr>
        <w:t xml:space="preserve"> las diligencias pertinentes para individualizar plenamente a los responsables y fortalecer el caso con prueba documental, pericial y testimonial”. Por su parte, los representantes han señalado que el Estado no informa sobre “acciones o diligencias concretas que conlleven a la localización y aprehensión de los dos militares implicados en la masacre”</w:t>
      </w:r>
      <w:r w:rsidRPr="00B351CA">
        <w:rPr>
          <w:rFonts w:ascii="Verdana" w:hAnsi="Verdana"/>
          <w:sz w:val="20"/>
          <w:szCs w:val="20"/>
          <w:lang w:val="es-CR"/>
        </w:rPr>
        <w:t>.</w:t>
      </w:r>
      <w:bookmarkEnd w:id="91"/>
    </w:p>
    <w:p w14:paraId="6B17CAD3" w14:textId="77777777" w:rsidR="00F3215A" w:rsidRPr="0032068E" w:rsidRDefault="00F3215A" w:rsidP="00F3215A">
      <w:pPr>
        <w:pStyle w:val="ListParagraph"/>
        <w:spacing w:after="0" w:line="240" w:lineRule="auto"/>
        <w:ind w:left="0" w:right="1444"/>
        <w:jc w:val="both"/>
        <w:rPr>
          <w:rFonts w:ascii="Verdana" w:hAnsi="Verdana"/>
          <w:sz w:val="20"/>
          <w:szCs w:val="20"/>
          <w:lang w:val="es-CR"/>
        </w:rPr>
      </w:pPr>
    </w:p>
    <w:p w14:paraId="0ACCEC1A" w14:textId="0869C320" w:rsidR="00F3215A" w:rsidRPr="0032068E" w:rsidRDefault="00F3215A" w:rsidP="00F3215A">
      <w:pPr>
        <w:pStyle w:val="ListParagraph"/>
        <w:numPr>
          <w:ilvl w:val="0"/>
          <w:numId w:val="2"/>
        </w:numPr>
        <w:spacing w:after="0" w:line="240" w:lineRule="auto"/>
        <w:ind w:left="0" w:right="1444" w:firstLine="0"/>
        <w:jc w:val="both"/>
        <w:rPr>
          <w:rFonts w:ascii="Verdana" w:hAnsi="Verdana"/>
          <w:sz w:val="20"/>
          <w:szCs w:val="20"/>
          <w:lang w:val="es-CR"/>
        </w:rPr>
      </w:pPr>
      <w:bookmarkStart w:id="92" w:name="_Ref437956903"/>
      <w:r w:rsidRPr="0032068E">
        <w:rPr>
          <w:rFonts w:ascii="Verdana" w:hAnsi="Verdana"/>
          <w:sz w:val="20"/>
          <w:szCs w:val="20"/>
          <w:lang w:val="es-CR"/>
        </w:rPr>
        <w:t>La Corte nota que, según el informe del Ministerio Público</w:t>
      </w:r>
      <w:r>
        <w:rPr>
          <w:rFonts w:ascii="Verdana" w:hAnsi="Verdana"/>
          <w:sz w:val="20"/>
          <w:szCs w:val="20"/>
          <w:lang w:val="es-CR"/>
        </w:rPr>
        <w:t xml:space="preserve"> </w:t>
      </w:r>
      <w:r w:rsidRPr="009041CF">
        <w:rPr>
          <w:rFonts w:ascii="Verdana" w:hAnsi="Verdana" w:cs="Verdana"/>
          <w:sz w:val="20"/>
          <w:szCs w:val="20"/>
          <w:lang w:val="es-ES"/>
        </w:rPr>
        <w:t>de mayo de 2014</w:t>
      </w:r>
      <w:r w:rsidRPr="0032068E">
        <w:rPr>
          <w:rFonts w:ascii="Verdana" w:hAnsi="Verdana"/>
          <w:sz w:val="20"/>
          <w:szCs w:val="20"/>
          <w:lang w:val="es-CR"/>
        </w:rPr>
        <w:t xml:space="preserve">, </w:t>
      </w:r>
      <w:r>
        <w:rPr>
          <w:rFonts w:ascii="Verdana" w:hAnsi="Verdana"/>
          <w:sz w:val="20"/>
          <w:szCs w:val="20"/>
          <w:lang w:val="es-CR"/>
        </w:rPr>
        <w:t>uno de los imputados</w:t>
      </w:r>
      <w:r w:rsidRPr="0032068E">
        <w:rPr>
          <w:rFonts w:ascii="Verdana" w:hAnsi="Verdana"/>
          <w:sz w:val="20"/>
          <w:szCs w:val="20"/>
          <w:lang w:val="es-CR"/>
        </w:rPr>
        <w:t xml:space="preserve"> ha ejercido </w:t>
      </w:r>
      <w:r>
        <w:rPr>
          <w:rFonts w:ascii="Verdana" w:hAnsi="Verdana"/>
          <w:sz w:val="20"/>
          <w:szCs w:val="20"/>
          <w:lang w:val="es-CR"/>
        </w:rPr>
        <w:t>una acción</w:t>
      </w:r>
      <w:r w:rsidRPr="0032068E">
        <w:rPr>
          <w:rFonts w:ascii="Verdana" w:hAnsi="Verdana"/>
          <w:sz w:val="20"/>
          <w:szCs w:val="20"/>
          <w:lang w:val="es-CR"/>
        </w:rPr>
        <w:t xml:space="preserve"> de amparo solicitando la aplicación de la Ley de Reconciliación Nacional</w:t>
      </w:r>
      <w:r w:rsidRPr="00B351CA">
        <w:rPr>
          <w:rStyle w:val="FootnoteReference"/>
          <w:rFonts w:ascii="Verdana" w:hAnsi="Verdana"/>
          <w:sz w:val="20"/>
          <w:szCs w:val="20"/>
          <w:lang w:val="es-CR"/>
        </w:rPr>
        <w:footnoteReference w:id="98"/>
      </w:r>
      <w:r w:rsidRPr="00B351CA">
        <w:rPr>
          <w:rFonts w:ascii="Verdana" w:hAnsi="Verdana"/>
          <w:sz w:val="20"/>
          <w:szCs w:val="20"/>
          <w:lang w:val="es-CR"/>
        </w:rPr>
        <w:t>.</w:t>
      </w:r>
      <w:r w:rsidRPr="0032068E">
        <w:rPr>
          <w:rFonts w:ascii="Verdana" w:hAnsi="Verdana"/>
          <w:sz w:val="20"/>
          <w:szCs w:val="20"/>
          <w:lang w:val="es-CR"/>
        </w:rPr>
        <w:t xml:space="preserve"> Al respecto, la Corte resaltará </w:t>
      </w:r>
      <w:r w:rsidRPr="00D23FC9">
        <w:rPr>
          <w:rFonts w:ascii="Verdana" w:hAnsi="Verdana"/>
          <w:sz w:val="20"/>
          <w:szCs w:val="20"/>
          <w:lang w:val="es-CR"/>
        </w:rPr>
        <w:t>posteriormente el uso dilatorio de recursos judiciales (</w:t>
      </w:r>
      <w:r w:rsidRPr="00D23FC9">
        <w:rPr>
          <w:rFonts w:ascii="Verdana" w:hAnsi="Verdana"/>
          <w:i/>
          <w:sz w:val="20"/>
          <w:szCs w:val="20"/>
          <w:lang w:val="es-CR"/>
        </w:rPr>
        <w:t>infra</w:t>
      </w:r>
      <w:r w:rsidRPr="00D23FC9">
        <w:rPr>
          <w:rFonts w:ascii="Verdana" w:hAnsi="Verdana"/>
          <w:sz w:val="20"/>
          <w:szCs w:val="20"/>
          <w:lang w:val="es-CR"/>
        </w:rPr>
        <w:t xml:space="preserve"> Considerandos </w:t>
      </w:r>
      <w:r w:rsidRPr="00D23FC9">
        <w:rPr>
          <w:rFonts w:ascii="Verdana" w:hAnsi="Verdana"/>
          <w:sz w:val="20"/>
          <w:szCs w:val="20"/>
          <w:lang w:val="es-CR"/>
        </w:rPr>
        <w:fldChar w:fldCharType="begin"/>
      </w:r>
      <w:r w:rsidRPr="00D23FC9">
        <w:rPr>
          <w:rFonts w:ascii="Verdana" w:hAnsi="Verdana"/>
          <w:sz w:val="20"/>
          <w:szCs w:val="20"/>
          <w:lang w:val="es-CR"/>
        </w:rPr>
        <w:instrText xml:space="preserve"> REF _Ref437858589 \r \h  \* MERGEFORMAT </w:instrText>
      </w:r>
      <w:r w:rsidRPr="00D23FC9">
        <w:rPr>
          <w:rFonts w:ascii="Verdana" w:hAnsi="Verdana"/>
          <w:sz w:val="20"/>
          <w:szCs w:val="20"/>
          <w:lang w:val="es-CR"/>
        </w:rPr>
      </w:r>
      <w:r w:rsidRPr="00D23FC9">
        <w:rPr>
          <w:rFonts w:ascii="Verdana" w:hAnsi="Verdana"/>
          <w:sz w:val="20"/>
          <w:szCs w:val="20"/>
          <w:lang w:val="es-CR"/>
        </w:rPr>
        <w:fldChar w:fldCharType="separate"/>
      </w:r>
      <w:r w:rsidR="007E3C4B">
        <w:rPr>
          <w:rFonts w:ascii="Verdana" w:hAnsi="Verdana"/>
          <w:sz w:val="20"/>
          <w:szCs w:val="20"/>
          <w:lang w:val="es-CR"/>
        </w:rPr>
        <w:t>132</w:t>
      </w:r>
      <w:r w:rsidRPr="00D23FC9">
        <w:rPr>
          <w:rFonts w:ascii="Verdana" w:hAnsi="Verdana"/>
          <w:sz w:val="20"/>
          <w:szCs w:val="20"/>
          <w:lang w:val="es-CR"/>
        </w:rPr>
        <w:fldChar w:fldCharType="end"/>
      </w:r>
      <w:r w:rsidRPr="00D23FC9">
        <w:rPr>
          <w:rFonts w:ascii="Verdana" w:hAnsi="Verdana"/>
          <w:sz w:val="20"/>
          <w:szCs w:val="20"/>
          <w:lang w:val="es-CR"/>
        </w:rPr>
        <w:t xml:space="preserve"> a </w:t>
      </w:r>
      <w:r w:rsidRPr="00D23FC9">
        <w:rPr>
          <w:rFonts w:ascii="Verdana" w:hAnsi="Verdana"/>
          <w:sz w:val="20"/>
          <w:szCs w:val="20"/>
          <w:lang w:val="es-CR"/>
        </w:rPr>
        <w:fldChar w:fldCharType="begin"/>
      </w:r>
      <w:r w:rsidRPr="00D23FC9">
        <w:rPr>
          <w:rFonts w:ascii="Verdana" w:hAnsi="Verdana"/>
          <w:sz w:val="20"/>
          <w:szCs w:val="20"/>
          <w:lang w:val="es-CR"/>
        </w:rPr>
        <w:instrText xml:space="preserve"> REF _Ref437939198 \r \h  \* MERGEFORMAT </w:instrText>
      </w:r>
      <w:r w:rsidRPr="00D23FC9">
        <w:rPr>
          <w:rFonts w:ascii="Verdana" w:hAnsi="Verdana"/>
          <w:sz w:val="20"/>
          <w:szCs w:val="20"/>
          <w:lang w:val="es-CR"/>
        </w:rPr>
      </w:r>
      <w:r w:rsidRPr="00D23FC9">
        <w:rPr>
          <w:rFonts w:ascii="Verdana" w:hAnsi="Verdana"/>
          <w:sz w:val="20"/>
          <w:szCs w:val="20"/>
          <w:lang w:val="es-CR"/>
        </w:rPr>
        <w:fldChar w:fldCharType="separate"/>
      </w:r>
      <w:r w:rsidR="007E3C4B">
        <w:rPr>
          <w:rFonts w:ascii="Verdana" w:hAnsi="Verdana"/>
          <w:sz w:val="20"/>
          <w:szCs w:val="20"/>
          <w:lang w:val="es-CR"/>
        </w:rPr>
        <w:t>136</w:t>
      </w:r>
      <w:r w:rsidRPr="00D23FC9">
        <w:rPr>
          <w:rFonts w:ascii="Verdana" w:hAnsi="Verdana"/>
          <w:sz w:val="20"/>
          <w:szCs w:val="20"/>
          <w:lang w:val="es-CR"/>
        </w:rPr>
        <w:fldChar w:fldCharType="end"/>
      </w:r>
      <w:r w:rsidRPr="00D23FC9">
        <w:rPr>
          <w:rFonts w:ascii="Verdana" w:hAnsi="Verdana"/>
          <w:sz w:val="20"/>
          <w:szCs w:val="20"/>
          <w:lang w:val="es-CR"/>
        </w:rPr>
        <w:t>), así como las decisiones y recursos judiciales relativos a eximentes de responsabilidad (</w:t>
      </w:r>
      <w:r w:rsidRPr="00D23FC9">
        <w:rPr>
          <w:rFonts w:ascii="Verdana" w:hAnsi="Verdana"/>
          <w:i/>
          <w:sz w:val="20"/>
          <w:szCs w:val="20"/>
          <w:lang w:val="es-CR"/>
        </w:rPr>
        <w:t>infra</w:t>
      </w:r>
      <w:r w:rsidRPr="00D23FC9">
        <w:rPr>
          <w:rFonts w:ascii="Verdana" w:hAnsi="Verdana"/>
          <w:sz w:val="20"/>
          <w:szCs w:val="20"/>
          <w:lang w:val="es-CR"/>
        </w:rPr>
        <w:t xml:space="preserve"> Considerandos</w:t>
      </w:r>
      <w:r w:rsidR="00D23FC9" w:rsidRPr="00D23FC9">
        <w:rPr>
          <w:rFonts w:ascii="Verdana" w:hAnsi="Verdana"/>
          <w:sz w:val="20"/>
          <w:szCs w:val="20"/>
          <w:lang w:val="es-CR"/>
        </w:rPr>
        <w:t xml:space="preserve"> 137 a 149</w:t>
      </w:r>
      <w:r w:rsidRPr="00D23FC9">
        <w:rPr>
          <w:rFonts w:ascii="Verdana" w:hAnsi="Verdana"/>
          <w:sz w:val="20"/>
          <w:szCs w:val="20"/>
          <w:lang w:val="es-CR"/>
        </w:rPr>
        <w:t>) como obstáculos a la consecución de las investigaciones ordenadas por la Sentencia.</w:t>
      </w:r>
      <w:bookmarkEnd w:id="92"/>
      <w:r w:rsidRPr="0032068E">
        <w:rPr>
          <w:rFonts w:ascii="Verdana" w:hAnsi="Verdana"/>
          <w:sz w:val="20"/>
          <w:szCs w:val="20"/>
          <w:lang w:val="es-CR"/>
        </w:rPr>
        <w:t xml:space="preserve"> </w:t>
      </w:r>
    </w:p>
    <w:p w14:paraId="728A670D" w14:textId="77777777" w:rsidR="00F3215A" w:rsidRPr="0032068E" w:rsidRDefault="00F3215A" w:rsidP="00F3215A">
      <w:pPr>
        <w:pStyle w:val="ListParagraph"/>
        <w:rPr>
          <w:rFonts w:ascii="Verdana" w:hAnsi="Verdana"/>
          <w:sz w:val="20"/>
          <w:szCs w:val="20"/>
          <w:lang w:val="es-CR"/>
        </w:rPr>
      </w:pPr>
    </w:p>
    <w:p w14:paraId="42A0541C" w14:textId="5C6F4816" w:rsidR="00F3215A" w:rsidRPr="0032068E" w:rsidRDefault="00F3215A" w:rsidP="00F3215A">
      <w:pPr>
        <w:pStyle w:val="ListParagraph"/>
        <w:numPr>
          <w:ilvl w:val="0"/>
          <w:numId w:val="2"/>
        </w:numPr>
        <w:spacing w:after="0" w:line="240" w:lineRule="auto"/>
        <w:ind w:left="0" w:right="1444" w:firstLine="0"/>
        <w:jc w:val="both"/>
        <w:rPr>
          <w:rFonts w:ascii="Verdana" w:hAnsi="Verdana"/>
          <w:sz w:val="20"/>
          <w:szCs w:val="20"/>
          <w:lang w:val="es-CR"/>
        </w:rPr>
      </w:pPr>
      <w:r w:rsidRPr="0032068E">
        <w:rPr>
          <w:rFonts w:ascii="Verdana" w:hAnsi="Verdana"/>
          <w:sz w:val="20"/>
          <w:szCs w:val="20"/>
          <w:lang w:val="es-CR"/>
        </w:rPr>
        <w:t xml:space="preserve">Igualmente, la Corte observa que el </w:t>
      </w:r>
      <w:r>
        <w:rPr>
          <w:rFonts w:ascii="Verdana" w:hAnsi="Verdana"/>
          <w:sz w:val="20"/>
          <w:szCs w:val="20"/>
          <w:lang w:val="es-CR"/>
        </w:rPr>
        <w:t>i</w:t>
      </w:r>
      <w:r w:rsidRPr="0032068E">
        <w:rPr>
          <w:rFonts w:ascii="Verdana" w:hAnsi="Verdana"/>
          <w:sz w:val="20"/>
          <w:szCs w:val="20"/>
          <w:lang w:val="es-CR"/>
        </w:rPr>
        <w:t>nforme del Ministerio Público</w:t>
      </w:r>
      <w:r>
        <w:rPr>
          <w:rFonts w:ascii="Verdana" w:hAnsi="Verdana"/>
          <w:sz w:val="20"/>
          <w:szCs w:val="20"/>
          <w:lang w:val="es-CR"/>
        </w:rPr>
        <w:t xml:space="preserve"> </w:t>
      </w:r>
      <w:r w:rsidRPr="009041CF">
        <w:rPr>
          <w:rFonts w:ascii="Verdana" w:hAnsi="Verdana" w:cs="Verdana"/>
          <w:sz w:val="20"/>
          <w:szCs w:val="20"/>
          <w:lang w:val="es-ES"/>
        </w:rPr>
        <w:t>de mayo de 2014</w:t>
      </w:r>
      <w:r w:rsidRPr="0032068E">
        <w:rPr>
          <w:rFonts w:ascii="Verdana" w:hAnsi="Verdana"/>
          <w:sz w:val="20"/>
          <w:szCs w:val="20"/>
          <w:lang w:val="es-CR"/>
        </w:rPr>
        <w:t xml:space="preserve"> destaca negativas por parte del Instituto de Previsión Militar y del Ministerio de Defensa sobre información relevante para la continuación de la investigación</w:t>
      </w:r>
      <w:r w:rsidRPr="0032068E">
        <w:rPr>
          <w:rStyle w:val="FootnoteReference"/>
          <w:rFonts w:ascii="Verdana" w:hAnsi="Verdana"/>
          <w:sz w:val="20"/>
          <w:szCs w:val="20"/>
          <w:lang w:val="es-CR"/>
        </w:rPr>
        <w:footnoteReference w:id="99"/>
      </w:r>
      <w:r w:rsidRPr="0032068E">
        <w:rPr>
          <w:rFonts w:ascii="Verdana" w:hAnsi="Verdana"/>
          <w:sz w:val="20"/>
          <w:szCs w:val="20"/>
          <w:lang w:val="es-CR"/>
        </w:rPr>
        <w:t xml:space="preserve">. En este sentido, la Corte valorará las negativas por parte de dichas autoridades en </w:t>
      </w:r>
      <w:r w:rsidRPr="00D23FC9">
        <w:rPr>
          <w:rFonts w:ascii="Verdana" w:hAnsi="Verdana"/>
          <w:sz w:val="20"/>
          <w:szCs w:val="20"/>
          <w:lang w:val="es-CR"/>
        </w:rPr>
        <w:t>el acceso a la información como obstáculo en las investigaciones (</w:t>
      </w:r>
      <w:r w:rsidRPr="00D23FC9">
        <w:rPr>
          <w:rFonts w:ascii="Verdana" w:hAnsi="Verdana"/>
          <w:i/>
          <w:sz w:val="20"/>
          <w:szCs w:val="20"/>
          <w:lang w:val="es-CR"/>
        </w:rPr>
        <w:t>infra</w:t>
      </w:r>
      <w:r w:rsidRPr="00D23FC9">
        <w:rPr>
          <w:rFonts w:ascii="Verdana" w:hAnsi="Verdana"/>
          <w:sz w:val="20"/>
          <w:szCs w:val="20"/>
          <w:lang w:val="es-CR"/>
        </w:rPr>
        <w:t xml:space="preserve"> Considerandos </w:t>
      </w:r>
      <w:r w:rsidRPr="00D23FC9">
        <w:rPr>
          <w:rFonts w:ascii="Verdana" w:hAnsi="Verdana"/>
          <w:sz w:val="20"/>
          <w:szCs w:val="20"/>
          <w:lang w:val="es-CR"/>
        </w:rPr>
        <w:fldChar w:fldCharType="begin"/>
      </w:r>
      <w:r w:rsidRPr="00D23FC9">
        <w:rPr>
          <w:rFonts w:ascii="Verdana" w:hAnsi="Verdana"/>
          <w:sz w:val="20"/>
          <w:szCs w:val="20"/>
          <w:lang w:val="es-CR"/>
        </w:rPr>
        <w:instrText xml:space="preserve"> REF _Ref437858242 \r \h  \* MERGEFORMAT </w:instrText>
      </w:r>
      <w:r w:rsidRPr="00D23FC9">
        <w:rPr>
          <w:rFonts w:ascii="Verdana" w:hAnsi="Verdana"/>
          <w:sz w:val="20"/>
          <w:szCs w:val="20"/>
          <w:lang w:val="es-CR"/>
        </w:rPr>
      </w:r>
      <w:r w:rsidRPr="00D23FC9">
        <w:rPr>
          <w:rFonts w:ascii="Verdana" w:hAnsi="Verdana"/>
          <w:sz w:val="20"/>
          <w:szCs w:val="20"/>
          <w:lang w:val="es-CR"/>
        </w:rPr>
        <w:fldChar w:fldCharType="separate"/>
      </w:r>
      <w:r w:rsidR="007E3C4B">
        <w:rPr>
          <w:rFonts w:ascii="Verdana" w:hAnsi="Verdana"/>
          <w:sz w:val="20"/>
          <w:szCs w:val="20"/>
          <w:lang w:val="es-CR"/>
        </w:rPr>
        <w:t>127</w:t>
      </w:r>
      <w:r w:rsidRPr="00D23FC9">
        <w:rPr>
          <w:rFonts w:ascii="Verdana" w:hAnsi="Verdana"/>
          <w:sz w:val="20"/>
          <w:szCs w:val="20"/>
          <w:lang w:val="es-CR"/>
        </w:rPr>
        <w:fldChar w:fldCharType="end"/>
      </w:r>
      <w:r w:rsidRPr="00D23FC9">
        <w:rPr>
          <w:rFonts w:ascii="Verdana" w:hAnsi="Verdana"/>
          <w:sz w:val="20"/>
          <w:szCs w:val="20"/>
          <w:lang w:val="es-CR"/>
        </w:rPr>
        <w:t xml:space="preserve"> a </w:t>
      </w:r>
      <w:r w:rsidRPr="00D23FC9">
        <w:rPr>
          <w:rFonts w:ascii="Verdana" w:hAnsi="Verdana"/>
          <w:sz w:val="20"/>
          <w:szCs w:val="20"/>
          <w:lang w:val="es-CR"/>
        </w:rPr>
        <w:fldChar w:fldCharType="begin"/>
      </w:r>
      <w:r w:rsidRPr="00D23FC9">
        <w:rPr>
          <w:rFonts w:ascii="Verdana" w:hAnsi="Verdana"/>
          <w:sz w:val="20"/>
          <w:szCs w:val="20"/>
          <w:lang w:val="es-CR"/>
        </w:rPr>
        <w:instrText xml:space="preserve"> REF _Ref437939544 \r \h </w:instrText>
      </w:r>
      <w:r w:rsidR="00D23FC9">
        <w:rPr>
          <w:rFonts w:ascii="Verdana" w:hAnsi="Verdana"/>
          <w:sz w:val="20"/>
          <w:szCs w:val="20"/>
          <w:lang w:val="es-CR"/>
        </w:rPr>
        <w:instrText xml:space="preserve"> \* MERGEFORMAT </w:instrText>
      </w:r>
      <w:r w:rsidRPr="00D23FC9">
        <w:rPr>
          <w:rFonts w:ascii="Verdana" w:hAnsi="Verdana"/>
          <w:sz w:val="20"/>
          <w:szCs w:val="20"/>
          <w:lang w:val="es-CR"/>
        </w:rPr>
      </w:r>
      <w:r w:rsidRPr="00D23FC9">
        <w:rPr>
          <w:rFonts w:ascii="Verdana" w:hAnsi="Verdana"/>
          <w:sz w:val="20"/>
          <w:szCs w:val="20"/>
          <w:lang w:val="es-CR"/>
        </w:rPr>
        <w:fldChar w:fldCharType="separate"/>
      </w:r>
      <w:r w:rsidR="007E3C4B">
        <w:rPr>
          <w:rFonts w:ascii="Verdana" w:hAnsi="Verdana"/>
          <w:sz w:val="20"/>
          <w:szCs w:val="20"/>
          <w:lang w:val="es-CR"/>
        </w:rPr>
        <w:t>131</w:t>
      </w:r>
      <w:r w:rsidRPr="00D23FC9">
        <w:rPr>
          <w:rFonts w:ascii="Verdana" w:hAnsi="Verdana"/>
          <w:sz w:val="20"/>
          <w:szCs w:val="20"/>
          <w:lang w:val="es-CR"/>
        </w:rPr>
        <w:fldChar w:fldCharType="end"/>
      </w:r>
      <w:r w:rsidRPr="00D23FC9">
        <w:rPr>
          <w:rFonts w:ascii="Verdana" w:hAnsi="Verdana"/>
          <w:sz w:val="20"/>
          <w:szCs w:val="20"/>
          <w:lang w:val="es-CR"/>
        </w:rPr>
        <w:t>).</w:t>
      </w:r>
    </w:p>
    <w:p w14:paraId="1BC78FB7" w14:textId="77777777" w:rsidR="00F3215A" w:rsidRPr="0032068E" w:rsidRDefault="00F3215A" w:rsidP="00F3215A">
      <w:pPr>
        <w:pStyle w:val="ListParagraph"/>
        <w:spacing w:after="0" w:line="240" w:lineRule="auto"/>
        <w:ind w:left="0" w:right="1444"/>
        <w:jc w:val="both"/>
        <w:rPr>
          <w:rFonts w:ascii="Verdana" w:hAnsi="Verdana"/>
          <w:sz w:val="20"/>
          <w:szCs w:val="20"/>
          <w:lang w:val="es-CR"/>
        </w:rPr>
      </w:pPr>
    </w:p>
    <w:p w14:paraId="51E11547" w14:textId="342D6D4D" w:rsidR="00F3215A" w:rsidRDefault="00F3215A" w:rsidP="00F3215A">
      <w:pPr>
        <w:pStyle w:val="ListParagraph"/>
        <w:numPr>
          <w:ilvl w:val="0"/>
          <w:numId w:val="2"/>
        </w:numPr>
        <w:spacing w:after="0" w:line="240" w:lineRule="auto"/>
        <w:ind w:left="0" w:right="1444" w:firstLine="0"/>
        <w:jc w:val="both"/>
        <w:rPr>
          <w:rFonts w:ascii="Verdana" w:hAnsi="Verdana"/>
          <w:sz w:val="20"/>
          <w:szCs w:val="20"/>
          <w:lang w:val="es-CR"/>
        </w:rPr>
      </w:pPr>
      <w:r>
        <w:rPr>
          <w:rFonts w:ascii="Verdana" w:hAnsi="Verdana"/>
          <w:sz w:val="20"/>
          <w:szCs w:val="20"/>
          <w:lang w:val="es-CR"/>
        </w:rPr>
        <w:t>La</w:t>
      </w:r>
      <w:r w:rsidRPr="0032068E">
        <w:rPr>
          <w:rFonts w:ascii="Verdana" w:hAnsi="Verdana"/>
          <w:sz w:val="20"/>
          <w:szCs w:val="20"/>
          <w:lang w:val="es-CR"/>
        </w:rPr>
        <w:t xml:space="preserve"> Corte valora positivamente la </w:t>
      </w:r>
      <w:r w:rsidR="00D23FC9">
        <w:rPr>
          <w:rFonts w:ascii="Verdana" w:hAnsi="Verdana"/>
          <w:sz w:val="20"/>
          <w:szCs w:val="20"/>
          <w:lang w:val="es-CR"/>
        </w:rPr>
        <w:t xml:space="preserve">referida </w:t>
      </w:r>
      <w:r w:rsidRPr="0032068E">
        <w:rPr>
          <w:rFonts w:ascii="Verdana" w:hAnsi="Verdana"/>
          <w:sz w:val="20"/>
          <w:szCs w:val="20"/>
          <w:lang w:val="es-CR"/>
        </w:rPr>
        <w:t xml:space="preserve">determinación de la responsabilidad penal de cinco personas por los hechos correspondientes a la </w:t>
      </w:r>
      <w:r w:rsidRPr="0032068E">
        <w:rPr>
          <w:rFonts w:ascii="Verdana" w:hAnsi="Verdana"/>
          <w:i/>
          <w:sz w:val="20"/>
          <w:szCs w:val="20"/>
          <w:lang w:val="es-CR"/>
        </w:rPr>
        <w:t>Masacre de Plan de Sánchez</w:t>
      </w:r>
      <w:r w:rsidRPr="0032068E">
        <w:rPr>
          <w:rFonts w:ascii="Verdana" w:hAnsi="Verdana"/>
          <w:sz w:val="20"/>
          <w:szCs w:val="20"/>
          <w:lang w:val="es-CR"/>
        </w:rPr>
        <w:t xml:space="preserve">, las diligencias judiciales iniciadas para capturar a los otros dos imputados por dicha causa, y la voluntad de continuar con la investigación para determinar a los demás autores materiales e intelectuales relacionados al mismo. El avance que la Corte constata desde la Resolución de </w:t>
      </w:r>
      <w:r w:rsidRPr="0032068E">
        <w:rPr>
          <w:rFonts w:ascii="Verdana" w:hAnsi="Verdana"/>
          <w:sz w:val="20"/>
          <w:szCs w:val="20"/>
          <w:lang w:val="es-CR"/>
        </w:rPr>
        <w:lastRenderedPageBreak/>
        <w:t>la Corte emitida en 2011 es sustancial, ya que para ese momento no se acreditaba la existencia de ningún proceso judicial en contra de alguna persona por dichos hechos. Más aún, dicha sanción contribuye con la erradicación de la impunidad por los hechos señalados.</w:t>
      </w:r>
      <w:r w:rsidRPr="00183A36">
        <w:rPr>
          <w:rFonts w:ascii="Verdana" w:hAnsi="Verdana"/>
          <w:sz w:val="20"/>
          <w:szCs w:val="20"/>
          <w:lang w:val="es-CR"/>
        </w:rPr>
        <w:t xml:space="preserve"> </w:t>
      </w:r>
      <w:r w:rsidRPr="0032068E">
        <w:rPr>
          <w:rFonts w:ascii="Verdana" w:hAnsi="Verdana"/>
          <w:sz w:val="20"/>
          <w:szCs w:val="20"/>
          <w:lang w:val="es-CR"/>
        </w:rPr>
        <w:t xml:space="preserve">En consecuencia, la Corte requiere al Estado que presente información actualizada y detallada sobre la adopción de medidas destinadas a hacer efectiva la captura y enjuiciamiento de los </w:t>
      </w:r>
      <w:r>
        <w:rPr>
          <w:rFonts w:ascii="Verdana" w:hAnsi="Verdana"/>
          <w:sz w:val="20"/>
          <w:szCs w:val="20"/>
          <w:lang w:val="es-CR"/>
        </w:rPr>
        <w:t>imputados</w:t>
      </w:r>
      <w:r w:rsidRPr="0032068E">
        <w:rPr>
          <w:rFonts w:ascii="Verdana" w:hAnsi="Verdana"/>
          <w:sz w:val="20"/>
          <w:szCs w:val="20"/>
          <w:lang w:val="es-CR"/>
        </w:rPr>
        <w:t>, al igual que sobre los avances en la identificación, captura, enjuiciamiento y, de ser el caso, sanción de otros posibles perpetradores de las violaciones a los derechos humanos ocurridas en dicho caso.</w:t>
      </w:r>
    </w:p>
    <w:p w14:paraId="01B95B10" w14:textId="14B292F2" w:rsidR="00C3267F" w:rsidRPr="0032068E" w:rsidRDefault="00F3215A" w:rsidP="00071159">
      <w:pPr>
        <w:pStyle w:val="ListParagraph"/>
        <w:spacing w:after="0" w:line="240" w:lineRule="auto"/>
        <w:ind w:left="0" w:right="1444"/>
        <w:jc w:val="both"/>
        <w:rPr>
          <w:rFonts w:ascii="Verdana" w:hAnsi="Verdana"/>
          <w:sz w:val="20"/>
          <w:szCs w:val="20"/>
          <w:lang w:val="es-CR"/>
        </w:rPr>
      </w:pPr>
      <w:r w:rsidRPr="0032068E">
        <w:rPr>
          <w:rFonts w:ascii="Verdana" w:hAnsi="Verdana"/>
          <w:sz w:val="20"/>
          <w:szCs w:val="20"/>
          <w:lang w:val="es-CR"/>
        </w:rPr>
        <w:t xml:space="preserve"> </w:t>
      </w:r>
    </w:p>
    <w:p w14:paraId="0ACD2AC8" w14:textId="77777777" w:rsidR="003E25C7" w:rsidRPr="0032068E" w:rsidRDefault="00C3267F" w:rsidP="00AD5701">
      <w:pPr>
        <w:pStyle w:val="Heading3"/>
      </w:pPr>
      <w:bookmarkStart w:id="93" w:name="_Toc435778534"/>
      <w:bookmarkStart w:id="94" w:name="_Toc439248792"/>
      <w:r w:rsidRPr="0032068E">
        <w:t>Caso Carpio Nicolle</w:t>
      </w:r>
      <w:bookmarkEnd w:id="93"/>
      <w:bookmarkEnd w:id="94"/>
    </w:p>
    <w:p w14:paraId="35DAF6FF" w14:textId="77777777" w:rsidR="00F3215A" w:rsidRPr="0032068E" w:rsidRDefault="00F3215A" w:rsidP="00F3215A">
      <w:pPr>
        <w:spacing w:after="0" w:line="240" w:lineRule="auto"/>
        <w:ind w:left="360" w:right="1444"/>
        <w:jc w:val="both"/>
        <w:rPr>
          <w:rFonts w:ascii="Verdana" w:hAnsi="Verdana"/>
          <w:sz w:val="20"/>
          <w:szCs w:val="20"/>
          <w:lang w:val="es-CR"/>
        </w:rPr>
      </w:pPr>
    </w:p>
    <w:p w14:paraId="2C4259DF" w14:textId="3E06A975" w:rsidR="00F3215A" w:rsidRPr="0032068E" w:rsidRDefault="00F3215A" w:rsidP="00F3215A">
      <w:pPr>
        <w:numPr>
          <w:ilvl w:val="0"/>
          <w:numId w:val="2"/>
        </w:numPr>
        <w:spacing w:after="0" w:line="240" w:lineRule="auto"/>
        <w:ind w:left="0" w:right="1444" w:firstLine="0"/>
        <w:contextualSpacing/>
        <w:jc w:val="both"/>
        <w:rPr>
          <w:rFonts w:ascii="Verdana" w:hAnsi="Verdana" w:cs="Verdana"/>
          <w:sz w:val="20"/>
          <w:szCs w:val="20"/>
          <w:lang w:val="es-ES"/>
        </w:rPr>
      </w:pPr>
      <w:r>
        <w:rPr>
          <w:rFonts w:ascii="Verdana" w:hAnsi="Verdana" w:cs="Verdana"/>
          <w:sz w:val="20"/>
          <w:szCs w:val="20"/>
          <w:lang w:val="es-ES"/>
        </w:rPr>
        <w:t>La</w:t>
      </w:r>
      <w:r w:rsidRPr="0032068E">
        <w:rPr>
          <w:rFonts w:ascii="Verdana" w:hAnsi="Verdana" w:cs="Verdana"/>
          <w:sz w:val="20"/>
          <w:szCs w:val="20"/>
          <w:lang w:val="es-ES"/>
        </w:rPr>
        <w:t xml:space="preserve"> Corte observó, en su Resolución de 2009, que los hechos correspondientes al caso “se encuentran en la absoluta impunidad”. En </w:t>
      </w:r>
      <w:r>
        <w:rPr>
          <w:rFonts w:ascii="Verdana" w:hAnsi="Verdana" w:cs="Verdana"/>
          <w:sz w:val="20"/>
          <w:szCs w:val="20"/>
          <w:lang w:val="es-ES"/>
        </w:rPr>
        <w:t xml:space="preserve">esa oportunidad </w:t>
      </w:r>
      <w:r w:rsidRPr="0032068E">
        <w:rPr>
          <w:rFonts w:ascii="Verdana" w:hAnsi="Verdana" w:cs="Verdana"/>
          <w:sz w:val="20"/>
          <w:szCs w:val="20"/>
          <w:lang w:val="es-ES"/>
        </w:rPr>
        <w:t>el Estado</w:t>
      </w:r>
      <w:r>
        <w:rPr>
          <w:rFonts w:ascii="Verdana" w:hAnsi="Verdana" w:cs="Verdana"/>
          <w:sz w:val="20"/>
          <w:szCs w:val="20"/>
          <w:lang w:val="es-ES"/>
        </w:rPr>
        <w:t>:</w:t>
      </w:r>
      <w:r w:rsidRPr="0032068E">
        <w:rPr>
          <w:rFonts w:ascii="Verdana" w:hAnsi="Verdana" w:cs="Verdana"/>
          <w:sz w:val="20"/>
          <w:szCs w:val="20"/>
          <w:lang w:val="es-ES"/>
        </w:rPr>
        <w:t xml:space="preserve"> informó que ubicó a un testigo presencial de los hechos, indicó que habría realizado algunas entrevistas, y afirmó que el Ministerio Público estaría realizando algunas diligencias para ubicar a agentes </w:t>
      </w:r>
      <w:r>
        <w:rPr>
          <w:rFonts w:ascii="Verdana" w:hAnsi="Verdana" w:cs="Verdana"/>
          <w:sz w:val="20"/>
          <w:szCs w:val="20"/>
          <w:lang w:val="es-ES"/>
        </w:rPr>
        <w:t>de la Policía Nacional Civil</w:t>
      </w:r>
      <w:r w:rsidRPr="0032068E">
        <w:rPr>
          <w:rFonts w:ascii="Verdana" w:hAnsi="Verdana" w:cs="Verdana"/>
          <w:sz w:val="20"/>
          <w:szCs w:val="20"/>
          <w:lang w:val="es-ES"/>
        </w:rPr>
        <w:t xml:space="preserve"> que cubrían la jurisdicción en la época de los hechos</w:t>
      </w:r>
      <w:r w:rsidRPr="0032068E">
        <w:rPr>
          <w:rStyle w:val="FootnoteReference"/>
          <w:rFonts w:ascii="Verdana" w:hAnsi="Verdana" w:cs="Verdana"/>
          <w:sz w:val="20"/>
          <w:szCs w:val="20"/>
          <w:lang w:val="es-ES"/>
        </w:rPr>
        <w:footnoteReference w:id="100"/>
      </w:r>
      <w:r w:rsidRPr="0032068E">
        <w:rPr>
          <w:rFonts w:ascii="Verdana" w:hAnsi="Verdana" w:cs="Verdana"/>
          <w:sz w:val="20"/>
          <w:szCs w:val="20"/>
          <w:lang w:val="es-ES"/>
        </w:rPr>
        <w:t xml:space="preserve">. </w:t>
      </w:r>
      <w:r>
        <w:rPr>
          <w:rFonts w:ascii="Verdana" w:hAnsi="Verdana" w:cs="Verdana"/>
          <w:sz w:val="20"/>
          <w:szCs w:val="20"/>
          <w:lang w:val="es-ES"/>
        </w:rPr>
        <w:t xml:space="preserve">Igualmente, en la Resolución de 2014, la Corte observó que, en el año 2009, la Cámara Penal de la Corte Suprema de Justicia declaró la autoejecutabilidad de la Sentencia de la Corte correspondiente a este caso. </w:t>
      </w:r>
    </w:p>
    <w:p w14:paraId="087E938F" w14:textId="77777777" w:rsidR="00F3215A" w:rsidRPr="0032068E" w:rsidRDefault="00F3215A" w:rsidP="00F3215A">
      <w:pPr>
        <w:pStyle w:val="ListParagraph"/>
        <w:spacing w:after="0" w:line="240" w:lineRule="auto"/>
        <w:ind w:left="0" w:right="1444"/>
        <w:jc w:val="both"/>
        <w:rPr>
          <w:rFonts w:ascii="Verdana" w:hAnsi="Verdana"/>
          <w:sz w:val="20"/>
          <w:szCs w:val="20"/>
          <w:lang w:val="es-CR"/>
        </w:rPr>
      </w:pPr>
    </w:p>
    <w:p w14:paraId="7AEF9CBA" w14:textId="49E3FE95" w:rsidR="00F3215A" w:rsidRDefault="00F3215A" w:rsidP="00F3215A">
      <w:pPr>
        <w:pStyle w:val="ListParagraph"/>
        <w:numPr>
          <w:ilvl w:val="0"/>
          <w:numId w:val="2"/>
        </w:numPr>
        <w:spacing w:after="0" w:line="240" w:lineRule="auto"/>
        <w:ind w:left="0" w:right="1444" w:firstLine="0"/>
        <w:jc w:val="both"/>
        <w:rPr>
          <w:rFonts w:ascii="Verdana" w:hAnsi="Verdana"/>
          <w:sz w:val="20"/>
          <w:szCs w:val="20"/>
          <w:lang w:val="es-CR"/>
        </w:rPr>
      </w:pPr>
      <w:bookmarkStart w:id="95" w:name="_Ref437867976"/>
      <w:r>
        <w:rPr>
          <w:rFonts w:ascii="Verdana" w:hAnsi="Verdana"/>
          <w:sz w:val="20"/>
          <w:szCs w:val="20"/>
          <w:lang w:val="es-CR"/>
        </w:rPr>
        <w:t>C</w:t>
      </w:r>
      <w:r w:rsidRPr="0032068E">
        <w:rPr>
          <w:rFonts w:ascii="Verdana" w:hAnsi="Verdana"/>
          <w:sz w:val="20"/>
          <w:szCs w:val="20"/>
          <w:lang w:val="es-CR"/>
        </w:rPr>
        <w:t>onforme al Informe del Ministerio Público</w:t>
      </w:r>
      <w:r>
        <w:rPr>
          <w:rFonts w:ascii="Verdana" w:hAnsi="Verdana"/>
          <w:sz w:val="20"/>
          <w:szCs w:val="20"/>
          <w:lang w:val="es-CR"/>
        </w:rPr>
        <w:t xml:space="preserve"> </w:t>
      </w:r>
      <w:r w:rsidRPr="009041CF">
        <w:rPr>
          <w:rFonts w:ascii="Verdana" w:hAnsi="Verdana" w:cs="Verdana"/>
          <w:sz w:val="20"/>
          <w:szCs w:val="20"/>
          <w:lang w:val="es-ES"/>
        </w:rPr>
        <w:t>de mayo de 2014</w:t>
      </w:r>
      <w:r w:rsidRPr="0032068E">
        <w:rPr>
          <w:rFonts w:ascii="Verdana" w:hAnsi="Verdana"/>
          <w:sz w:val="20"/>
          <w:szCs w:val="20"/>
          <w:lang w:val="es-CR"/>
        </w:rPr>
        <w:t xml:space="preserve">, existían </w:t>
      </w:r>
      <w:r>
        <w:rPr>
          <w:rFonts w:ascii="Verdana" w:hAnsi="Verdana"/>
          <w:sz w:val="20"/>
          <w:szCs w:val="20"/>
          <w:lang w:val="es-CR"/>
        </w:rPr>
        <w:t>once</w:t>
      </w:r>
      <w:r w:rsidRPr="0032068E">
        <w:rPr>
          <w:rFonts w:ascii="Verdana" w:hAnsi="Verdana"/>
          <w:sz w:val="20"/>
          <w:szCs w:val="20"/>
          <w:lang w:val="es-CR"/>
        </w:rPr>
        <w:t xml:space="preserve"> personas imputadas por dichos hechos</w:t>
      </w:r>
      <w:r w:rsidRPr="0032068E">
        <w:rPr>
          <w:rStyle w:val="FootnoteReference"/>
          <w:rFonts w:ascii="Verdana" w:hAnsi="Verdana"/>
          <w:sz w:val="20"/>
          <w:szCs w:val="20"/>
          <w:lang w:val="es-CR"/>
        </w:rPr>
        <w:footnoteReference w:id="101"/>
      </w:r>
      <w:r w:rsidRPr="0032068E">
        <w:rPr>
          <w:rFonts w:ascii="Verdana" w:hAnsi="Verdana"/>
          <w:sz w:val="20"/>
          <w:szCs w:val="20"/>
          <w:lang w:val="es-CR"/>
        </w:rPr>
        <w:t>, de los cuales cuatro fueron condenados en primera instancia</w:t>
      </w:r>
      <w:r w:rsidRPr="0032068E">
        <w:rPr>
          <w:rStyle w:val="FootnoteReference"/>
          <w:rFonts w:ascii="Verdana" w:hAnsi="Verdana"/>
          <w:sz w:val="20"/>
          <w:szCs w:val="20"/>
          <w:lang w:val="es-CR"/>
        </w:rPr>
        <w:footnoteReference w:id="102"/>
      </w:r>
      <w:r w:rsidRPr="0032068E">
        <w:rPr>
          <w:rFonts w:ascii="Verdana" w:hAnsi="Verdana"/>
          <w:sz w:val="20"/>
          <w:szCs w:val="20"/>
          <w:lang w:val="es-CR"/>
        </w:rPr>
        <w:t>. No obstante ello, de esos cuatro, dos fueron absueltos en segunda instancia</w:t>
      </w:r>
      <w:r w:rsidRPr="0032068E">
        <w:rPr>
          <w:rStyle w:val="FootnoteReference"/>
          <w:rFonts w:ascii="Verdana" w:hAnsi="Verdana"/>
          <w:sz w:val="20"/>
          <w:szCs w:val="20"/>
          <w:lang w:val="es-CR"/>
        </w:rPr>
        <w:footnoteReference w:id="103"/>
      </w:r>
      <w:r w:rsidRPr="0032068E">
        <w:rPr>
          <w:rFonts w:ascii="Verdana" w:hAnsi="Verdana"/>
          <w:sz w:val="20"/>
          <w:szCs w:val="20"/>
          <w:lang w:val="es-CR"/>
        </w:rPr>
        <w:t>, mientras que los otros dos fueron puestos en libertad “por haber cumplido la pena que les fue impuesta en primera instancia”</w:t>
      </w:r>
      <w:r w:rsidRPr="0032068E">
        <w:rPr>
          <w:rStyle w:val="FootnoteReference"/>
          <w:rFonts w:ascii="Verdana" w:hAnsi="Verdana"/>
          <w:sz w:val="20"/>
          <w:szCs w:val="20"/>
          <w:lang w:val="es-CR"/>
        </w:rPr>
        <w:footnoteReference w:id="104"/>
      </w:r>
      <w:r>
        <w:rPr>
          <w:rFonts w:ascii="Verdana" w:hAnsi="Verdana"/>
          <w:sz w:val="20"/>
          <w:szCs w:val="20"/>
          <w:lang w:val="es-CR"/>
        </w:rPr>
        <w:t>.</w:t>
      </w:r>
      <w:r w:rsidRPr="007F6A50">
        <w:rPr>
          <w:rFonts w:ascii="Verdana" w:hAnsi="Verdana"/>
          <w:sz w:val="20"/>
          <w:szCs w:val="20"/>
          <w:lang w:val="es-CR"/>
        </w:rPr>
        <w:t xml:space="preserve"> </w:t>
      </w:r>
      <w:r w:rsidRPr="0032068E">
        <w:rPr>
          <w:rFonts w:ascii="Verdana" w:hAnsi="Verdana"/>
          <w:sz w:val="20"/>
          <w:szCs w:val="20"/>
          <w:lang w:val="es-CR"/>
        </w:rPr>
        <w:t>La Corte hace notar, igualmente, que el Informe del Ministerio Público</w:t>
      </w:r>
      <w:r>
        <w:rPr>
          <w:rFonts w:ascii="Verdana" w:hAnsi="Verdana"/>
          <w:sz w:val="20"/>
          <w:szCs w:val="20"/>
          <w:lang w:val="es-CR"/>
        </w:rPr>
        <w:t xml:space="preserve"> </w:t>
      </w:r>
      <w:r w:rsidRPr="009041CF">
        <w:rPr>
          <w:rFonts w:ascii="Verdana" w:hAnsi="Verdana" w:cs="Verdana"/>
          <w:sz w:val="20"/>
          <w:szCs w:val="20"/>
          <w:lang w:val="es-ES"/>
        </w:rPr>
        <w:t>de mayo de 2014</w:t>
      </w:r>
      <w:r w:rsidRPr="0032068E">
        <w:rPr>
          <w:rFonts w:ascii="Verdana" w:hAnsi="Verdana"/>
          <w:sz w:val="20"/>
          <w:szCs w:val="20"/>
          <w:lang w:val="es-CR"/>
        </w:rPr>
        <w:t xml:space="preserve"> destaca que </w:t>
      </w:r>
      <w:r>
        <w:rPr>
          <w:rFonts w:ascii="Verdana" w:hAnsi="Verdana"/>
          <w:sz w:val="20"/>
          <w:szCs w:val="20"/>
          <w:lang w:val="es-CR"/>
        </w:rPr>
        <w:t xml:space="preserve">“la línea principal  de este hecho delictivo […] es que los posibles responsables son miembros de[l] Ejército de Guatemala”. Sin embargo, señala que existe una “dificultad estructural” en tanto </w:t>
      </w:r>
      <w:r w:rsidRPr="0032068E">
        <w:rPr>
          <w:rFonts w:ascii="Verdana" w:hAnsi="Verdana"/>
          <w:sz w:val="20"/>
          <w:szCs w:val="20"/>
          <w:lang w:val="es-CR"/>
        </w:rPr>
        <w:t xml:space="preserve">“hay informes solicitados que [los funcionarios militares] nunca […] enviaron como lo son el informe de los miembros del Ejército que patrullaban las cercanías de [donde sucedieron los hechos]”. </w:t>
      </w:r>
    </w:p>
    <w:p w14:paraId="555C8C39" w14:textId="77777777" w:rsidR="00F3215A" w:rsidRDefault="00F3215A" w:rsidP="00956F49">
      <w:pPr>
        <w:pStyle w:val="ListParagraph"/>
        <w:spacing w:after="0" w:line="240" w:lineRule="auto"/>
        <w:ind w:left="0" w:right="1444"/>
        <w:jc w:val="both"/>
        <w:rPr>
          <w:rFonts w:ascii="Verdana" w:hAnsi="Verdana"/>
          <w:sz w:val="20"/>
          <w:szCs w:val="20"/>
          <w:lang w:val="es-CR"/>
        </w:rPr>
      </w:pPr>
    </w:p>
    <w:p w14:paraId="6EDDC0FA" w14:textId="4E4B455E" w:rsidR="00D54B7D" w:rsidRPr="0032068E" w:rsidRDefault="00F3215A" w:rsidP="00D54B7D">
      <w:pPr>
        <w:pStyle w:val="ListParagraph"/>
        <w:numPr>
          <w:ilvl w:val="0"/>
          <w:numId w:val="2"/>
        </w:numPr>
        <w:spacing w:after="0" w:line="240" w:lineRule="auto"/>
        <w:ind w:left="0" w:right="1444" w:firstLine="0"/>
        <w:jc w:val="both"/>
        <w:rPr>
          <w:rFonts w:ascii="Verdana" w:hAnsi="Verdana"/>
          <w:sz w:val="20"/>
          <w:szCs w:val="20"/>
          <w:lang w:val="es-CR"/>
        </w:rPr>
      </w:pPr>
      <w:r>
        <w:rPr>
          <w:rFonts w:ascii="Verdana" w:hAnsi="Verdana"/>
          <w:sz w:val="20"/>
          <w:szCs w:val="20"/>
          <w:lang w:val="es-CR"/>
        </w:rPr>
        <w:t>La</w:t>
      </w:r>
      <w:r w:rsidRPr="0032068E">
        <w:rPr>
          <w:rFonts w:ascii="Verdana" w:hAnsi="Verdana"/>
          <w:sz w:val="20"/>
          <w:szCs w:val="20"/>
          <w:lang w:val="es-CR"/>
        </w:rPr>
        <w:t xml:space="preserve"> Corte nota que es posible que dicha</w:t>
      </w:r>
      <w:r>
        <w:rPr>
          <w:rFonts w:ascii="Verdana" w:hAnsi="Verdana"/>
          <w:sz w:val="20"/>
          <w:szCs w:val="20"/>
          <w:lang w:val="es-CR"/>
        </w:rPr>
        <w:t xml:space="preserve"> </w:t>
      </w:r>
      <w:r w:rsidRPr="0032068E">
        <w:rPr>
          <w:rFonts w:ascii="Verdana" w:hAnsi="Verdana"/>
          <w:sz w:val="20"/>
          <w:szCs w:val="20"/>
          <w:lang w:val="es-CR"/>
        </w:rPr>
        <w:t xml:space="preserve">negativa de información haya afectado en alguna medida las absoluciones dictadas a favor de los dos imputados señalados previamente. En este sentido, la Convención prohíbe invocar eximentes de la responsabilidad con base en </w:t>
      </w:r>
      <w:r w:rsidRPr="00CF698C">
        <w:rPr>
          <w:rFonts w:ascii="Verdana" w:hAnsi="Verdana"/>
          <w:sz w:val="20"/>
          <w:szCs w:val="20"/>
          <w:lang w:val="es-CR"/>
        </w:rPr>
        <w:t>sentencias emanadas en procesos que no cumplieron los estándares de la Convención Americana (</w:t>
      </w:r>
      <w:r w:rsidR="00CF698C" w:rsidRPr="00CF698C">
        <w:rPr>
          <w:rFonts w:ascii="Verdana" w:hAnsi="Verdana"/>
          <w:i/>
          <w:sz w:val="20"/>
          <w:szCs w:val="20"/>
          <w:lang w:val="es-CR"/>
        </w:rPr>
        <w:t>supra</w:t>
      </w:r>
      <w:r w:rsidR="00CF698C" w:rsidRPr="00CF698C">
        <w:rPr>
          <w:rFonts w:ascii="Verdana" w:hAnsi="Verdana"/>
          <w:sz w:val="20"/>
          <w:szCs w:val="20"/>
          <w:lang w:val="es-CR"/>
        </w:rPr>
        <w:t xml:space="preserve"> Considerando 40.b</w:t>
      </w:r>
      <w:r w:rsidRPr="00CF698C">
        <w:rPr>
          <w:rFonts w:ascii="Verdana" w:hAnsi="Verdana"/>
          <w:sz w:val="20"/>
          <w:szCs w:val="20"/>
          <w:lang w:val="es-CR"/>
        </w:rPr>
        <w:t>). En cuanto a la obstaculización derivada de los impedimentos a acceder a información de militares, la Corte hará referencia a dicho alegato posteriormente (</w:t>
      </w:r>
      <w:r w:rsidRPr="00CF698C">
        <w:rPr>
          <w:rFonts w:ascii="Verdana" w:hAnsi="Verdana"/>
          <w:i/>
          <w:sz w:val="20"/>
          <w:szCs w:val="20"/>
          <w:lang w:val="es-CR"/>
        </w:rPr>
        <w:t>infra</w:t>
      </w:r>
      <w:r w:rsidRPr="00CF698C">
        <w:rPr>
          <w:rFonts w:ascii="Verdana" w:hAnsi="Verdana"/>
          <w:sz w:val="20"/>
          <w:szCs w:val="20"/>
          <w:lang w:val="es-CR"/>
        </w:rPr>
        <w:t xml:space="preserve"> Considerandos </w:t>
      </w:r>
      <w:r w:rsidRPr="00CF698C">
        <w:rPr>
          <w:rFonts w:ascii="Verdana" w:hAnsi="Verdana"/>
          <w:sz w:val="20"/>
          <w:szCs w:val="20"/>
          <w:lang w:val="es-CR"/>
        </w:rPr>
        <w:fldChar w:fldCharType="begin"/>
      </w:r>
      <w:r w:rsidRPr="00CF698C">
        <w:rPr>
          <w:rFonts w:ascii="Verdana" w:hAnsi="Verdana"/>
          <w:sz w:val="20"/>
          <w:szCs w:val="20"/>
          <w:lang w:val="es-CR"/>
        </w:rPr>
        <w:instrText xml:space="preserve"> REF _Ref437858242 \r \h  \* MERGEFORMAT </w:instrText>
      </w:r>
      <w:r w:rsidRPr="00CF698C">
        <w:rPr>
          <w:rFonts w:ascii="Verdana" w:hAnsi="Verdana"/>
          <w:sz w:val="20"/>
          <w:szCs w:val="20"/>
          <w:lang w:val="es-CR"/>
        </w:rPr>
      </w:r>
      <w:r w:rsidRPr="00CF698C">
        <w:rPr>
          <w:rFonts w:ascii="Verdana" w:hAnsi="Verdana"/>
          <w:sz w:val="20"/>
          <w:szCs w:val="20"/>
          <w:lang w:val="es-CR"/>
        </w:rPr>
        <w:fldChar w:fldCharType="separate"/>
      </w:r>
      <w:r w:rsidR="007E3C4B">
        <w:rPr>
          <w:rFonts w:ascii="Verdana" w:hAnsi="Verdana"/>
          <w:sz w:val="20"/>
          <w:szCs w:val="20"/>
          <w:lang w:val="es-CR"/>
        </w:rPr>
        <w:t>127</w:t>
      </w:r>
      <w:r w:rsidRPr="00CF698C">
        <w:rPr>
          <w:rFonts w:ascii="Verdana" w:hAnsi="Verdana"/>
          <w:sz w:val="20"/>
          <w:szCs w:val="20"/>
          <w:lang w:val="es-CR"/>
        </w:rPr>
        <w:fldChar w:fldCharType="end"/>
      </w:r>
      <w:r w:rsidRPr="00CF698C">
        <w:rPr>
          <w:rFonts w:ascii="Verdana" w:hAnsi="Verdana"/>
          <w:sz w:val="20"/>
          <w:szCs w:val="20"/>
          <w:lang w:val="es-CR"/>
        </w:rPr>
        <w:t xml:space="preserve"> a </w:t>
      </w:r>
      <w:r w:rsidRPr="00CF698C">
        <w:rPr>
          <w:rFonts w:ascii="Verdana" w:hAnsi="Verdana"/>
          <w:sz w:val="20"/>
          <w:szCs w:val="20"/>
          <w:lang w:val="es-CR"/>
        </w:rPr>
        <w:fldChar w:fldCharType="begin"/>
      </w:r>
      <w:r w:rsidRPr="00CF698C">
        <w:rPr>
          <w:rFonts w:ascii="Verdana" w:hAnsi="Verdana"/>
          <w:sz w:val="20"/>
          <w:szCs w:val="20"/>
          <w:lang w:val="es-CR"/>
        </w:rPr>
        <w:instrText xml:space="preserve"> REF _Ref437939544 \r \h  \* MERGEFORMAT </w:instrText>
      </w:r>
      <w:r w:rsidRPr="00CF698C">
        <w:rPr>
          <w:rFonts w:ascii="Verdana" w:hAnsi="Verdana"/>
          <w:sz w:val="20"/>
          <w:szCs w:val="20"/>
          <w:lang w:val="es-CR"/>
        </w:rPr>
      </w:r>
      <w:r w:rsidRPr="00CF698C">
        <w:rPr>
          <w:rFonts w:ascii="Verdana" w:hAnsi="Verdana"/>
          <w:sz w:val="20"/>
          <w:szCs w:val="20"/>
          <w:lang w:val="es-CR"/>
        </w:rPr>
        <w:fldChar w:fldCharType="separate"/>
      </w:r>
      <w:r w:rsidR="007E3C4B">
        <w:rPr>
          <w:rFonts w:ascii="Verdana" w:hAnsi="Verdana"/>
          <w:sz w:val="20"/>
          <w:szCs w:val="20"/>
          <w:lang w:val="es-CR"/>
        </w:rPr>
        <w:t>131</w:t>
      </w:r>
      <w:r w:rsidRPr="00CF698C">
        <w:rPr>
          <w:rFonts w:ascii="Verdana" w:hAnsi="Verdana"/>
          <w:sz w:val="20"/>
          <w:szCs w:val="20"/>
          <w:lang w:val="es-CR"/>
        </w:rPr>
        <w:fldChar w:fldCharType="end"/>
      </w:r>
      <w:r w:rsidRPr="00CF698C">
        <w:rPr>
          <w:rFonts w:ascii="Verdana" w:hAnsi="Verdana"/>
          <w:sz w:val="20"/>
          <w:szCs w:val="20"/>
          <w:lang w:val="es-CR"/>
        </w:rPr>
        <w:t xml:space="preserve">). </w:t>
      </w:r>
      <w:r w:rsidR="00D54B7D" w:rsidRPr="00CF698C">
        <w:rPr>
          <w:rFonts w:ascii="Verdana" w:hAnsi="Verdana"/>
          <w:sz w:val="20"/>
          <w:szCs w:val="20"/>
          <w:lang w:val="es-CR"/>
        </w:rPr>
        <w:t xml:space="preserve">El Ministerio Público plantea que se trata de un problema estructural que se ve reflejado en el caso ya que hay “informes solicitados que </w:t>
      </w:r>
      <w:r w:rsidR="00D54B7D" w:rsidRPr="00CF698C">
        <w:rPr>
          <w:rFonts w:ascii="Verdana" w:hAnsi="Verdana"/>
          <w:sz w:val="20"/>
          <w:szCs w:val="20"/>
          <w:lang w:val="es-CR"/>
        </w:rPr>
        <w:lastRenderedPageBreak/>
        <w:t>nunca los enviaron como los son el informe de los miembros del Ejército que patrullaban las cercanías de los hechos en donde sucedieron los cuatro delitos de asesinato de Jorge Carpio Nicolle, Alejandro Ávila Guzmán, Juan Vicente Roberto Villacorto Fajardo y Rigoberto Rivas González y de delitos de asesinato de Francisco Ajmac Ixcox y Juan Patzan Pérez”.</w:t>
      </w:r>
      <w:r w:rsidR="00D54B7D" w:rsidRPr="0032068E">
        <w:rPr>
          <w:rFonts w:ascii="Verdana" w:hAnsi="Verdana"/>
          <w:sz w:val="20"/>
          <w:szCs w:val="20"/>
          <w:lang w:val="es-CR"/>
        </w:rPr>
        <w:t xml:space="preserve"> </w:t>
      </w:r>
    </w:p>
    <w:p w14:paraId="6B12D48C" w14:textId="77777777" w:rsidR="00F3215A" w:rsidRDefault="00F3215A" w:rsidP="00F3215A">
      <w:pPr>
        <w:pStyle w:val="ListParagraph"/>
        <w:spacing w:after="0" w:line="240" w:lineRule="auto"/>
        <w:ind w:left="0" w:right="1444"/>
        <w:jc w:val="both"/>
        <w:rPr>
          <w:rFonts w:ascii="Verdana" w:hAnsi="Verdana"/>
          <w:sz w:val="20"/>
          <w:szCs w:val="20"/>
          <w:lang w:val="es-CR"/>
        </w:rPr>
      </w:pPr>
    </w:p>
    <w:p w14:paraId="4C70F193" w14:textId="62D44CE0" w:rsidR="00F3215A" w:rsidRPr="0032068E" w:rsidRDefault="00F3215A" w:rsidP="00F3215A">
      <w:pPr>
        <w:pStyle w:val="ListParagraph"/>
        <w:numPr>
          <w:ilvl w:val="0"/>
          <w:numId w:val="2"/>
        </w:numPr>
        <w:spacing w:after="0" w:line="240" w:lineRule="auto"/>
        <w:ind w:left="0" w:right="1444" w:firstLine="0"/>
        <w:jc w:val="both"/>
        <w:rPr>
          <w:rFonts w:ascii="Verdana" w:hAnsi="Verdana"/>
          <w:sz w:val="20"/>
          <w:szCs w:val="20"/>
          <w:lang w:val="es-CR"/>
        </w:rPr>
      </w:pPr>
      <w:r>
        <w:rPr>
          <w:rFonts w:ascii="Verdana" w:hAnsi="Verdana"/>
          <w:sz w:val="20"/>
          <w:szCs w:val="20"/>
          <w:lang w:val="es-CR"/>
        </w:rPr>
        <w:t>En e</w:t>
      </w:r>
      <w:r w:rsidRPr="0032068E">
        <w:rPr>
          <w:rFonts w:ascii="Verdana" w:hAnsi="Verdana"/>
          <w:sz w:val="20"/>
          <w:szCs w:val="20"/>
          <w:lang w:val="es-CR"/>
        </w:rPr>
        <w:t xml:space="preserve">l informe estatal de abril de 2015, la Corte observa </w:t>
      </w:r>
      <w:r>
        <w:rPr>
          <w:rFonts w:ascii="Verdana" w:hAnsi="Verdana"/>
          <w:sz w:val="20"/>
          <w:szCs w:val="20"/>
          <w:lang w:val="es-CR"/>
        </w:rPr>
        <w:t xml:space="preserve">que </w:t>
      </w:r>
      <w:r w:rsidRPr="0032068E">
        <w:rPr>
          <w:rFonts w:ascii="Verdana" w:hAnsi="Verdana"/>
          <w:sz w:val="20"/>
          <w:szCs w:val="20"/>
          <w:lang w:val="es-CR"/>
        </w:rPr>
        <w:t xml:space="preserve">se indican algunas diligencias, relacionadas con la mencionada investigación, </w:t>
      </w:r>
      <w:r>
        <w:rPr>
          <w:rFonts w:ascii="Verdana" w:hAnsi="Verdana"/>
          <w:sz w:val="20"/>
          <w:szCs w:val="20"/>
          <w:lang w:val="es-CR"/>
        </w:rPr>
        <w:t xml:space="preserve">la mayoría de estas </w:t>
      </w:r>
      <w:r w:rsidRPr="0032068E">
        <w:rPr>
          <w:rFonts w:ascii="Verdana" w:hAnsi="Verdana"/>
          <w:sz w:val="20"/>
          <w:szCs w:val="20"/>
          <w:lang w:val="es-CR"/>
        </w:rPr>
        <w:t>sin fecha</w:t>
      </w:r>
      <w:r>
        <w:rPr>
          <w:rFonts w:ascii="Verdana" w:hAnsi="Verdana"/>
          <w:sz w:val="20"/>
          <w:szCs w:val="20"/>
          <w:lang w:val="es-CR"/>
        </w:rPr>
        <w:t xml:space="preserve"> de ejecución</w:t>
      </w:r>
      <w:r w:rsidRPr="0032068E">
        <w:rPr>
          <w:rStyle w:val="FootnoteReference"/>
          <w:rFonts w:ascii="Verdana" w:hAnsi="Verdana"/>
          <w:sz w:val="20"/>
          <w:szCs w:val="20"/>
          <w:lang w:val="es-CR"/>
        </w:rPr>
        <w:footnoteReference w:id="105"/>
      </w:r>
      <w:r w:rsidRPr="0032068E">
        <w:rPr>
          <w:rFonts w:ascii="Verdana" w:hAnsi="Verdana"/>
          <w:sz w:val="20"/>
          <w:szCs w:val="20"/>
          <w:lang w:val="es-CR"/>
        </w:rPr>
        <w:t>.</w:t>
      </w:r>
      <w:r>
        <w:rPr>
          <w:rFonts w:ascii="Verdana" w:hAnsi="Verdana"/>
          <w:sz w:val="20"/>
          <w:szCs w:val="20"/>
          <w:lang w:val="es-CR"/>
        </w:rPr>
        <w:t xml:space="preserve"> </w:t>
      </w:r>
      <w:r w:rsidRPr="0032068E">
        <w:rPr>
          <w:rFonts w:ascii="Verdana" w:hAnsi="Verdana"/>
          <w:sz w:val="20"/>
          <w:szCs w:val="20"/>
          <w:lang w:val="es-CR"/>
        </w:rPr>
        <w:t>A</w:t>
      </w:r>
      <w:r>
        <w:rPr>
          <w:rFonts w:ascii="Verdana" w:hAnsi="Verdana"/>
          <w:sz w:val="20"/>
          <w:szCs w:val="20"/>
          <w:lang w:val="es-CR"/>
        </w:rPr>
        <w:t>simismo</w:t>
      </w:r>
      <w:r w:rsidRPr="0032068E">
        <w:rPr>
          <w:rFonts w:ascii="Verdana" w:hAnsi="Verdana"/>
          <w:sz w:val="20"/>
          <w:szCs w:val="20"/>
          <w:lang w:val="es-CR"/>
        </w:rPr>
        <w:t>, en</w:t>
      </w:r>
      <w:r>
        <w:rPr>
          <w:rFonts w:ascii="Verdana" w:hAnsi="Verdana"/>
          <w:sz w:val="20"/>
          <w:szCs w:val="20"/>
          <w:lang w:val="es-CR"/>
        </w:rPr>
        <w:t xml:space="preserve"> </w:t>
      </w:r>
      <w:r w:rsidRPr="0032068E">
        <w:rPr>
          <w:rFonts w:ascii="Verdana" w:hAnsi="Verdana"/>
          <w:sz w:val="20"/>
          <w:szCs w:val="20"/>
          <w:lang w:val="es-CR"/>
        </w:rPr>
        <w:t>el informe de octubre de 2015</w:t>
      </w:r>
      <w:r>
        <w:rPr>
          <w:rFonts w:ascii="Verdana" w:hAnsi="Verdana"/>
          <w:sz w:val="20"/>
          <w:szCs w:val="20"/>
          <w:lang w:val="es-CR"/>
        </w:rPr>
        <w:t>,</w:t>
      </w:r>
      <w:r w:rsidRPr="0032068E">
        <w:rPr>
          <w:rFonts w:ascii="Verdana" w:hAnsi="Verdana"/>
          <w:sz w:val="20"/>
          <w:szCs w:val="20"/>
          <w:lang w:val="es-CR"/>
        </w:rPr>
        <w:t xml:space="preserve"> </w:t>
      </w:r>
      <w:r>
        <w:rPr>
          <w:rFonts w:ascii="Verdana" w:hAnsi="Verdana"/>
          <w:sz w:val="20"/>
          <w:szCs w:val="20"/>
          <w:lang w:val="es-CR"/>
        </w:rPr>
        <w:t xml:space="preserve">el Estado </w:t>
      </w:r>
      <w:r w:rsidRPr="0032068E">
        <w:rPr>
          <w:rFonts w:ascii="Verdana" w:hAnsi="Verdana"/>
          <w:sz w:val="20"/>
          <w:szCs w:val="20"/>
          <w:lang w:val="es-CR"/>
        </w:rPr>
        <w:t xml:space="preserve">afirma que “[s]e perfilaron posibles autores materiales según información </w:t>
      </w:r>
      <w:r>
        <w:rPr>
          <w:rFonts w:ascii="Verdana" w:hAnsi="Verdana"/>
          <w:sz w:val="20"/>
          <w:szCs w:val="20"/>
          <w:lang w:val="es-CR"/>
        </w:rPr>
        <w:t>brindada</w:t>
      </w:r>
      <w:r w:rsidRPr="0032068E">
        <w:rPr>
          <w:rFonts w:ascii="Verdana" w:hAnsi="Verdana"/>
          <w:sz w:val="20"/>
          <w:szCs w:val="20"/>
          <w:lang w:val="es-CR"/>
        </w:rPr>
        <w:t xml:space="preserve"> por testigos”</w:t>
      </w:r>
      <w:r w:rsidRPr="0041100A">
        <w:rPr>
          <w:rFonts w:ascii="Verdana" w:hAnsi="Verdana"/>
          <w:sz w:val="20"/>
          <w:szCs w:val="20"/>
          <w:lang w:val="es-CR"/>
        </w:rPr>
        <w:t>,</w:t>
      </w:r>
      <w:r w:rsidRPr="00F8245B">
        <w:rPr>
          <w:rFonts w:ascii="Verdana" w:hAnsi="Verdana"/>
          <w:sz w:val="20"/>
          <w:szCs w:val="20"/>
          <w:lang w:val="es-CR"/>
        </w:rPr>
        <w:t xml:space="preserve"> </w:t>
      </w:r>
      <w:r w:rsidRPr="0032068E">
        <w:rPr>
          <w:rFonts w:ascii="Verdana" w:hAnsi="Verdana"/>
          <w:sz w:val="20"/>
          <w:szCs w:val="20"/>
          <w:lang w:val="es-CR"/>
        </w:rPr>
        <w:t xml:space="preserve">sin que se proporcionara mayor </w:t>
      </w:r>
      <w:r>
        <w:rPr>
          <w:rFonts w:ascii="Verdana" w:hAnsi="Verdana"/>
          <w:sz w:val="20"/>
          <w:szCs w:val="20"/>
          <w:lang w:val="es-CR"/>
        </w:rPr>
        <w:t>detalle</w:t>
      </w:r>
      <w:r w:rsidRPr="0032068E">
        <w:rPr>
          <w:rFonts w:ascii="Verdana" w:hAnsi="Verdana"/>
          <w:sz w:val="20"/>
          <w:szCs w:val="20"/>
          <w:lang w:val="es-CR"/>
        </w:rPr>
        <w:t xml:space="preserve"> al respecto</w:t>
      </w:r>
      <w:r w:rsidRPr="0032068E">
        <w:rPr>
          <w:rStyle w:val="FootnoteReference"/>
          <w:rFonts w:ascii="Verdana" w:hAnsi="Verdana"/>
          <w:sz w:val="20"/>
          <w:szCs w:val="20"/>
          <w:lang w:val="es-CR"/>
        </w:rPr>
        <w:footnoteReference w:id="106"/>
      </w:r>
      <w:r w:rsidRPr="0032068E">
        <w:rPr>
          <w:rFonts w:ascii="Verdana" w:hAnsi="Verdana"/>
          <w:sz w:val="20"/>
          <w:szCs w:val="20"/>
          <w:lang w:val="es-CR"/>
        </w:rPr>
        <w:t>. Los representantes no presentaron observaciones a dichos escritos.</w:t>
      </w:r>
      <w:bookmarkEnd w:id="95"/>
    </w:p>
    <w:p w14:paraId="23F071D7" w14:textId="77777777" w:rsidR="00F3215A" w:rsidRPr="0032068E" w:rsidRDefault="00F3215A" w:rsidP="00F3215A">
      <w:pPr>
        <w:pStyle w:val="ListParagraph"/>
        <w:rPr>
          <w:rFonts w:ascii="Verdana" w:hAnsi="Verdana"/>
          <w:sz w:val="20"/>
          <w:szCs w:val="20"/>
          <w:lang w:val="es-CR"/>
        </w:rPr>
      </w:pPr>
    </w:p>
    <w:p w14:paraId="5A4C0BFD" w14:textId="4D71493D" w:rsidR="00F3215A" w:rsidRPr="00E438A2" w:rsidRDefault="00F3215A" w:rsidP="00956F49">
      <w:pPr>
        <w:pStyle w:val="ListParagraph"/>
        <w:numPr>
          <w:ilvl w:val="0"/>
          <w:numId w:val="2"/>
        </w:numPr>
        <w:spacing w:after="0" w:line="240" w:lineRule="auto"/>
        <w:ind w:left="0" w:right="1444" w:firstLine="0"/>
        <w:jc w:val="both"/>
        <w:rPr>
          <w:rFonts w:ascii="Verdana" w:hAnsi="Verdana"/>
          <w:sz w:val="20"/>
          <w:szCs w:val="20"/>
          <w:lang w:val="es-CR"/>
        </w:rPr>
      </w:pPr>
      <w:r w:rsidRPr="0041100A">
        <w:rPr>
          <w:rFonts w:ascii="Verdana" w:hAnsi="Verdana"/>
          <w:sz w:val="20"/>
          <w:szCs w:val="20"/>
          <w:lang w:val="es-CR"/>
        </w:rPr>
        <w:t>Ni del Informe del Ministerio Público</w:t>
      </w:r>
      <w:r>
        <w:rPr>
          <w:rFonts w:ascii="Verdana" w:hAnsi="Verdana"/>
          <w:sz w:val="20"/>
          <w:szCs w:val="20"/>
          <w:lang w:val="es-CR"/>
        </w:rPr>
        <w:t xml:space="preserve"> de mayo de 2014</w:t>
      </w:r>
      <w:r w:rsidRPr="0041100A">
        <w:rPr>
          <w:rFonts w:ascii="Verdana" w:hAnsi="Verdana"/>
          <w:sz w:val="20"/>
          <w:szCs w:val="20"/>
          <w:lang w:val="es-CR"/>
        </w:rPr>
        <w:t xml:space="preserve"> </w:t>
      </w:r>
      <w:r>
        <w:rPr>
          <w:rFonts w:ascii="Verdana" w:hAnsi="Verdana"/>
          <w:sz w:val="20"/>
          <w:szCs w:val="20"/>
          <w:lang w:val="es-CR"/>
        </w:rPr>
        <w:t xml:space="preserve">ni </w:t>
      </w:r>
      <w:r w:rsidRPr="0041100A">
        <w:rPr>
          <w:rFonts w:ascii="Verdana" w:hAnsi="Verdana"/>
          <w:sz w:val="20"/>
          <w:szCs w:val="20"/>
          <w:lang w:val="es-CR"/>
        </w:rPr>
        <w:t xml:space="preserve">de la información estatal proporcionada durante el 2015 se desprende </w:t>
      </w:r>
      <w:r>
        <w:rPr>
          <w:rFonts w:ascii="Verdana" w:hAnsi="Verdana"/>
          <w:sz w:val="20"/>
          <w:szCs w:val="20"/>
          <w:lang w:val="es-CR"/>
        </w:rPr>
        <w:t xml:space="preserve">que se haya realizado alguna </w:t>
      </w:r>
      <w:r w:rsidRPr="0041100A">
        <w:rPr>
          <w:rFonts w:ascii="Verdana" w:hAnsi="Verdana"/>
          <w:sz w:val="20"/>
          <w:szCs w:val="20"/>
          <w:lang w:val="es-CR"/>
        </w:rPr>
        <w:t xml:space="preserve">actuación específica adicional relacionada con los otros imputados, sino </w:t>
      </w:r>
      <w:r>
        <w:rPr>
          <w:rFonts w:ascii="Verdana" w:hAnsi="Verdana"/>
          <w:sz w:val="20"/>
          <w:szCs w:val="20"/>
          <w:lang w:val="es-CR"/>
        </w:rPr>
        <w:t xml:space="preserve">que, en términos generales, </w:t>
      </w:r>
      <w:r w:rsidRPr="0041100A">
        <w:rPr>
          <w:rFonts w:ascii="Verdana" w:hAnsi="Verdana"/>
          <w:sz w:val="20"/>
          <w:szCs w:val="20"/>
          <w:lang w:val="es-CR"/>
        </w:rPr>
        <w:t>se enuncian una serie de diligencias</w:t>
      </w:r>
      <w:r w:rsidRPr="001C000C">
        <w:rPr>
          <w:rFonts w:ascii="Verdana" w:hAnsi="Verdana"/>
          <w:sz w:val="20"/>
          <w:szCs w:val="20"/>
          <w:lang w:val="es-CR"/>
        </w:rPr>
        <w:t xml:space="preserve"> </w:t>
      </w:r>
      <w:r w:rsidRPr="0041100A">
        <w:rPr>
          <w:rFonts w:ascii="Verdana" w:hAnsi="Verdana"/>
          <w:sz w:val="20"/>
          <w:szCs w:val="20"/>
          <w:lang w:val="es-CR"/>
        </w:rPr>
        <w:t xml:space="preserve">relacionadas con dicha investigación sin </w:t>
      </w:r>
      <w:r>
        <w:rPr>
          <w:rFonts w:ascii="Verdana" w:hAnsi="Verdana"/>
          <w:sz w:val="20"/>
          <w:szCs w:val="20"/>
          <w:lang w:val="es-CR"/>
        </w:rPr>
        <w:t>especificación alguna</w:t>
      </w:r>
      <w:r w:rsidRPr="0041100A">
        <w:rPr>
          <w:rFonts w:ascii="Verdana" w:hAnsi="Verdana"/>
          <w:sz w:val="20"/>
          <w:szCs w:val="20"/>
          <w:lang w:val="es-CR"/>
        </w:rPr>
        <w:t xml:space="preserve">. En efecto, la Comisión señaló que </w:t>
      </w:r>
      <w:r>
        <w:rPr>
          <w:rFonts w:ascii="Verdana" w:hAnsi="Verdana"/>
          <w:sz w:val="20"/>
          <w:szCs w:val="20"/>
          <w:lang w:val="es-CR"/>
        </w:rPr>
        <w:t>“más allá de su sola enunciación, [el Estado] no aportó una explicación sobre la pertinencia de tales diligencias, sus resultados, ni agregó las fechas en que fueron efectivamente practicadas”.</w:t>
      </w:r>
      <w:r w:rsidRPr="0041100A">
        <w:rPr>
          <w:rFonts w:ascii="Verdana" w:hAnsi="Verdana"/>
          <w:sz w:val="20"/>
          <w:szCs w:val="20"/>
          <w:lang w:val="es-CR"/>
        </w:rPr>
        <w:t xml:space="preserve"> </w:t>
      </w:r>
    </w:p>
    <w:p w14:paraId="28E1A307" w14:textId="77777777" w:rsidR="00F3215A" w:rsidRPr="0041100A" w:rsidRDefault="00F3215A" w:rsidP="00F3215A">
      <w:pPr>
        <w:pStyle w:val="ListParagraph"/>
        <w:spacing w:after="0" w:line="240" w:lineRule="auto"/>
        <w:ind w:left="0" w:right="1444"/>
        <w:jc w:val="both"/>
        <w:rPr>
          <w:rFonts w:ascii="Verdana" w:hAnsi="Verdana"/>
          <w:sz w:val="20"/>
          <w:szCs w:val="20"/>
          <w:lang w:val="es-CR"/>
        </w:rPr>
      </w:pPr>
    </w:p>
    <w:p w14:paraId="733817E9" w14:textId="6E3C7F30" w:rsidR="00F3215A" w:rsidRPr="0032068E" w:rsidRDefault="00CF698C" w:rsidP="00F3215A">
      <w:pPr>
        <w:pStyle w:val="ListParagraph"/>
        <w:numPr>
          <w:ilvl w:val="0"/>
          <w:numId w:val="2"/>
        </w:numPr>
        <w:spacing w:after="0" w:line="240" w:lineRule="auto"/>
        <w:ind w:left="0" w:right="1444" w:firstLine="0"/>
        <w:jc w:val="both"/>
        <w:rPr>
          <w:rFonts w:ascii="Verdana" w:hAnsi="Verdana"/>
          <w:sz w:val="20"/>
          <w:szCs w:val="20"/>
          <w:lang w:val="es-CR"/>
        </w:rPr>
      </w:pPr>
      <w:bookmarkStart w:id="96" w:name="_Ref437962811"/>
      <w:r w:rsidRPr="00CF698C">
        <w:rPr>
          <w:rFonts w:ascii="Verdana" w:hAnsi="Verdana" w:cs="Tahoma"/>
          <w:color w:val="000000"/>
          <w:sz w:val="20"/>
          <w:szCs w:val="20"/>
          <w:lang w:val="es-CR"/>
        </w:rPr>
        <w:t>Aún cuando se dio el paso de adoptar decisiones judiciales de determinación de responsabilidad penal de dos personas, estas fueron únicamente por el delito de fabricación o tenencia de armas explosivas ya que en segunda instancia se absolvió a otros imputados por los delitos de asesinato</w:t>
      </w:r>
      <w:r w:rsidR="00250FCD">
        <w:rPr>
          <w:rFonts w:ascii="Verdana" w:hAnsi="Verdana" w:cs="Tahoma"/>
          <w:color w:val="000000"/>
          <w:sz w:val="20"/>
          <w:szCs w:val="20"/>
          <w:lang w:val="es-CR"/>
        </w:rPr>
        <w:t xml:space="preserve">, de manera que continúan sin determinarse </w:t>
      </w:r>
      <w:r w:rsidR="00250FCD" w:rsidRPr="00250FCD">
        <w:rPr>
          <w:rFonts w:ascii="Verdana" w:hAnsi="Verdana" w:cs="Tahoma"/>
          <w:color w:val="000000"/>
          <w:sz w:val="20"/>
          <w:szCs w:val="20"/>
          <w:lang w:val="es-CR"/>
        </w:rPr>
        <w:t>responsabilidades por las violaciones al derecho a la vida y a la integridad personal de las víctimas</w:t>
      </w:r>
      <w:r w:rsidRPr="00CF698C">
        <w:rPr>
          <w:rFonts w:ascii="Verdana" w:hAnsi="Verdana" w:cs="Tahoma"/>
          <w:color w:val="000000"/>
          <w:sz w:val="20"/>
          <w:szCs w:val="20"/>
          <w:lang w:val="es-CR"/>
        </w:rPr>
        <w:t xml:space="preserve"> (</w:t>
      </w:r>
      <w:r w:rsidRPr="00CF698C">
        <w:rPr>
          <w:rFonts w:ascii="Verdana" w:hAnsi="Verdana" w:cs="Tahoma"/>
          <w:i/>
          <w:color w:val="000000"/>
          <w:sz w:val="20"/>
          <w:szCs w:val="20"/>
          <w:lang w:val="es-CR"/>
        </w:rPr>
        <w:t xml:space="preserve">supra </w:t>
      </w:r>
      <w:r w:rsidRPr="00CF698C">
        <w:rPr>
          <w:rFonts w:ascii="Verdana" w:hAnsi="Verdana" w:cs="Tahoma"/>
          <w:color w:val="000000"/>
          <w:sz w:val="20"/>
          <w:szCs w:val="20"/>
          <w:lang w:val="es-CR"/>
        </w:rPr>
        <w:t>Considerando 96).</w:t>
      </w:r>
      <w:r>
        <w:rPr>
          <w:rFonts w:ascii="Tahoma" w:hAnsi="Tahoma" w:cs="Tahoma"/>
          <w:color w:val="000000"/>
          <w:sz w:val="20"/>
          <w:szCs w:val="20"/>
          <w:lang w:val="es-CR"/>
        </w:rPr>
        <w:t xml:space="preserve"> </w:t>
      </w:r>
      <w:r w:rsidR="00F3215A" w:rsidRPr="0032068E">
        <w:rPr>
          <w:rFonts w:ascii="Verdana" w:hAnsi="Verdana"/>
          <w:sz w:val="20"/>
          <w:szCs w:val="20"/>
          <w:lang w:val="es-CR"/>
        </w:rPr>
        <w:t xml:space="preserve">Al respecto, la falta de información </w:t>
      </w:r>
      <w:r w:rsidR="00F3215A">
        <w:rPr>
          <w:rFonts w:ascii="Verdana" w:hAnsi="Verdana"/>
          <w:sz w:val="20"/>
          <w:szCs w:val="20"/>
          <w:lang w:val="es-CR"/>
        </w:rPr>
        <w:t>detallada</w:t>
      </w:r>
      <w:r w:rsidR="00F3215A" w:rsidRPr="0032068E">
        <w:rPr>
          <w:rFonts w:ascii="Verdana" w:hAnsi="Verdana"/>
          <w:sz w:val="20"/>
          <w:szCs w:val="20"/>
          <w:lang w:val="es-CR"/>
        </w:rPr>
        <w:t xml:space="preserve"> </w:t>
      </w:r>
      <w:r w:rsidR="00F3215A">
        <w:rPr>
          <w:rFonts w:ascii="Verdana" w:hAnsi="Verdana"/>
          <w:sz w:val="20"/>
          <w:szCs w:val="20"/>
          <w:lang w:val="es-CR"/>
        </w:rPr>
        <w:t>d</w:t>
      </w:r>
      <w:r w:rsidR="00F3215A" w:rsidRPr="0032068E">
        <w:rPr>
          <w:rFonts w:ascii="Verdana" w:hAnsi="Verdana"/>
          <w:sz w:val="20"/>
          <w:szCs w:val="20"/>
          <w:lang w:val="es-CR"/>
        </w:rPr>
        <w:t xml:space="preserve">el Estado no permite a la Corte valorar la existencia de líneas de investigación con relación a este caso. </w:t>
      </w:r>
      <w:r w:rsidR="00F3215A">
        <w:rPr>
          <w:rFonts w:ascii="Verdana" w:hAnsi="Verdana"/>
          <w:sz w:val="20"/>
          <w:szCs w:val="20"/>
          <w:lang w:val="es-CR"/>
        </w:rPr>
        <w:t>Lo anterior, aun cuando</w:t>
      </w:r>
      <w:r w:rsidR="00F3215A" w:rsidRPr="0032068E">
        <w:rPr>
          <w:rFonts w:ascii="Verdana" w:hAnsi="Verdana"/>
          <w:sz w:val="20"/>
          <w:szCs w:val="20"/>
          <w:lang w:val="es-CR"/>
        </w:rPr>
        <w:t xml:space="preserve"> los hechos señalados en el presente caso ocurrieron hace más de 22 años, y la Sentencia </w:t>
      </w:r>
      <w:r w:rsidR="00F3215A">
        <w:rPr>
          <w:rFonts w:ascii="Verdana" w:hAnsi="Verdana"/>
          <w:sz w:val="20"/>
          <w:szCs w:val="20"/>
          <w:lang w:val="es-CR"/>
        </w:rPr>
        <w:t xml:space="preserve">de fondo, reparaciones y costas </w:t>
      </w:r>
      <w:r w:rsidR="00F3215A" w:rsidRPr="0032068E">
        <w:rPr>
          <w:rFonts w:ascii="Verdana" w:hAnsi="Verdana"/>
          <w:sz w:val="20"/>
          <w:szCs w:val="20"/>
          <w:lang w:val="es-CR"/>
        </w:rPr>
        <w:t>correspondiente a</w:t>
      </w:r>
      <w:r w:rsidR="00F3215A">
        <w:rPr>
          <w:rFonts w:ascii="Verdana" w:hAnsi="Verdana"/>
          <w:sz w:val="20"/>
          <w:szCs w:val="20"/>
          <w:lang w:val="es-CR"/>
        </w:rPr>
        <w:t>l</w:t>
      </w:r>
      <w:r w:rsidR="00F3215A" w:rsidRPr="0032068E">
        <w:rPr>
          <w:rFonts w:ascii="Verdana" w:hAnsi="Verdana"/>
          <w:sz w:val="20"/>
          <w:szCs w:val="20"/>
          <w:lang w:val="es-CR"/>
        </w:rPr>
        <w:t xml:space="preserve"> caso fue emitida hace aproximadamente </w:t>
      </w:r>
      <w:r w:rsidR="00F3215A">
        <w:rPr>
          <w:rFonts w:ascii="Verdana" w:hAnsi="Verdana"/>
          <w:sz w:val="20"/>
          <w:szCs w:val="20"/>
          <w:lang w:val="es-CR"/>
        </w:rPr>
        <w:t>11</w:t>
      </w:r>
      <w:r w:rsidR="00F3215A" w:rsidRPr="0032068E">
        <w:rPr>
          <w:rFonts w:ascii="Verdana" w:hAnsi="Verdana"/>
          <w:sz w:val="20"/>
          <w:szCs w:val="20"/>
          <w:lang w:val="es-CR"/>
        </w:rPr>
        <w:t xml:space="preserve"> años.</w:t>
      </w:r>
      <w:bookmarkEnd w:id="96"/>
      <w:r w:rsidR="00F3215A" w:rsidRPr="0097509C">
        <w:rPr>
          <w:rFonts w:ascii="Verdana" w:hAnsi="Verdana"/>
          <w:sz w:val="20"/>
          <w:szCs w:val="20"/>
          <w:lang w:val="es-CR"/>
        </w:rPr>
        <w:t xml:space="preserve"> </w:t>
      </w:r>
      <w:r w:rsidR="00F3215A">
        <w:rPr>
          <w:rFonts w:ascii="Verdana" w:hAnsi="Verdana"/>
          <w:sz w:val="20"/>
          <w:szCs w:val="20"/>
          <w:lang w:val="es-CR"/>
        </w:rPr>
        <w:t xml:space="preserve">Por ello, </w:t>
      </w:r>
      <w:r w:rsidR="00F3215A" w:rsidRPr="0032068E">
        <w:rPr>
          <w:rFonts w:ascii="Verdana" w:hAnsi="Verdana"/>
          <w:sz w:val="20"/>
          <w:szCs w:val="20"/>
          <w:lang w:val="es-CR"/>
        </w:rPr>
        <w:t>la Corte requiere al Estado que presente un cronograma de las diligencias por realizar con el fin de identificar, juzgar y</w:t>
      </w:r>
      <w:r>
        <w:rPr>
          <w:rFonts w:ascii="Verdana" w:hAnsi="Verdana"/>
          <w:sz w:val="20"/>
          <w:szCs w:val="20"/>
          <w:lang w:val="es-CR"/>
        </w:rPr>
        <w:t>,</w:t>
      </w:r>
      <w:r w:rsidR="00F3215A" w:rsidRPr="0032068E">
        <w:rPr>
          <w:rFonts w:ascii="Verdana" w:hAnsi="Verdana"/>
          <w:sz w:val="20"/>
          <w:szCs w:val="20"/>
          <w:lang w:val="es-CR"/>
        </w:rPr>
        <w:t xml:space="preserve"> en su caso, sancionar, a los responsables de las violaciones a derechos humanos identificadas en el caso</w:t>
      </w:r>
      <w:r>
        <w:rPr>
          <w:rFonts w:ascii="Verdana" w:hAnsi="Verdana"/>
          <w:sz w:val="20"/>
          <w:szCs w:val="20"/>
          <w:lang w:val="es-CR"/>
        </w:rPr>
        <w:t>.</w:t>
      </w:r>
    </w:p>
    <w:p w14:paraId="2A409562" w14:textId="77777777" w:rsidR="00F3215A" w:rsidRPr="00F3215A" w:rsidRDefault="00F3215A" w:rsidP="00F3215A">
      <w:pPr>
        <w:spacing w:after="0" w:line="240" w:lineRule="auto"/>
        <w:ind w:right="1444"/>
        <w:jc w:val="both"/>
        <w:rPr>
          <w:rFonts w:ascii="Verdana" w:hAnsi="Verdana"/>
          <w:sz w:val="20"/>
          <w:szCs w:val="20"/>
          <w:lang w:val="es-CR"/>
        </w:rPr>
      </w:pPr>
    </w:p>
    <w:p w14:paraId="0CB8EE3E" w14:textId="77777777" w:rsidR="00F15D25" w:rsidRPr="0032068E" w:rsidRDefault="00C3267F" w:rsidP="00AD5701">
      <w:pPr>
        <w:pStyle w:val="Heading3"/>
      </w:pPr>
      <w:bookmarkStart w:id="97" w:name="_Toc435778535"/>
      <w:bookmarkStart w:id="98" w:name="_Toc439248793"/>
      <w:r w:rsidRPr="0065057F">
        <w:t>Caso</w:t>
      </w:r>
      <w:r w:rsidRPr="0032068E">
        <w:t xml:space="preserve"> Tiu Tojín</w:t>
      </w:r>
      <w:bookmarkEnd w:id="97"/>
      <w:bookmarkEnd w:id="98"/>
    </w:p>
    <w:p w14:paraId="2D98732D" w14:textId="77777777" w:rsidR="00C3267F" w:rsidRPr="0032068E" w:rsidRDefault="00C3267F" w:rsidP="00C3267F">
      <w:pPr>
        <w:pStyle w:val="ListParagraph"/>
        <w:spacing w:after="0" w:line="240" w:lineRule="auto"/>
        <w:ind w:left="1080" w:right="1444"/>
        <w:jc w:val="both"/>
        <w:rPr>
          <w:rFonts w:ascii="Verdana" w:hAnsi="Verdana"/>
          <w:sz w:val="20"/>
          <w:szCs w:val="20"/>
          <w:lang w:val="es-CR"/>
        </w:rPr>
      </w:pPr>
    </w:p>
    <w:p w14:paraId="4C875718" w14:textId="6C91EE90" w:rsidR="00F15D25" w:rsidRPr="0032068E" w:rsidRDefault="006624E1" w:rsidP="00D901B8">
      <w:pPr>
        <w:numPr>
          <w:ilvl w:val="0"/>
          <w:numId w:val="2"/>
        </w:numPr>
        <w:spacing w:after="0" w:line="240" w:lineRule="auto"/>
        <w:ind w:left="0" w:right="1444" w:firstLine="0"/>
        <w:contextualSpacing/>
        <w:jc w:val="both"/>
        <w:rPr>
          <w:rFonts w:ascii="Verdana" w:hAnsi="Verdana" w:cs="Verdana"/>
          <w:sz w:val="20"/>
          <w:szCs w:val="20"/>
          <w:lang w:val="es-ES"/>
        </w:rPr>
      </w:pPr>
      <w:r>
        <w:rPr>
          <w:rFonts w:ascii="Verdana" w:hAnsi="Verdana" w:cs="Verdana"/>
          <w:sz w:val="20"/>
          <w:szCs w:val="20"/>
          <w:lang w:val="es-ES"/>
        </w:rPr>
        <w:t>L</w:t>
      </w:r>
      <w:r w:rsidR="00C3267F" w:rsidRPr="0032068E">
        <w:rPr>
          <w:rFonts w:ascii="Verdana" w:hAnsi="Verdana" w:cs="Verdana"/>
          <w:sz w:val="20"/>
          <w:szCs w:val="20"/>
          <w:lang w:val="es-ES"/>
        </w:rPr>
        <w:t xml:space="preserve">a Corte </w:t>
      </w:r>
      <w:r w:rsidR="00170A19">
        <w:rPr>
          <w:rFonts w:ascii="Verdana" w:hAnsi="Verdana" w:cs="Verdana"/>
          <w:sz w:val="20"/>
          <w:szCs w:val="20"/>
          <w:lang w:val="es-ES"/>
        </w:rPr>
        <w:t>hizo constar</w:t>
      </w:r>
      <w:r w:rsidR="00170A19" w:rsidRPr="0032068E">
        <w:rPr>
          <w:rFonts w:ascii="Verdana" w:hAnsi="Verdana" w:cs="Verdana"/>
          <w:sz w:val="20"/>
          <w:szCs w:val="20"/>
          <w:lang w:val="es-ES"/>
        </w:rPr>
        <w:t xml:space="preserve"> </w:t>
      </w:r>
      <w:r w:rsidR="00C3267F" w:rsidRPr="0032068E">
        <w:rPr>
          <w:rFonts w:ascii="Verdana" w:hAnsi="Verdana" w:cs="Verdana"/>
          <w:sz w:val="20"/>
          <w:szCs w:val="20"/>
          <w:lang w:val="es-ES"/>
        </w:rPr>
        <w:t xml:space="preserve">en su </w:t>
      </w:r>
      <w:r w:rsidR="0065057F">
        <w:rPr>
          <w:rFonts w:ascii="Verdana" w:hAnsi="Verdana" w:cs="Verdana"/>
          <w:sz w:val="20"/>
          <w:szCs w:val="20"/>
          <w:lang w:val="es-ES"/>
        </w:rPr>
        <w:t>R</w:t>
      </w:r>
      <w:r w:rsidR="00C3267F" w:rsidRPr="0032068E">
        <w:rPr>
          <w:rFonts w:ascii="Verdana" w:hAnsi="Verdana" w:cs="Verdana"/>
          <w:sz w:val="20"/>
          <w:szCs w:val="20"/>
          <w:lang w:val="es-ES"/>
        </w:rPr>
        <w:t>esolución de supervisión</w:t>
      </w:r>
      <w:r w:rsidR="0065057F">
        <w:rPr>
          <w:rFonts w:ascii="Verdana" w:hAnsi="Verdana" w:cs="Verdana"/>
          <w:sz w:val="20"/>
          <w:szCs w:val="20"/>
          <w:lang w:val="es-ES"/>
        </w:rPr>
        <w:t xml:space="preserve"> de</w:t>
      </w:r>
      <w:r>
        <w:rPr>
          <w:rFonts w:ascii="Verdana" w:hAnsi="Verdana" w:cs="Verdana"/>
          <w:sz w:val="20"/>
          <w:szCs w:val="20"/>
          <w:lang w:val="es-ES"/>
        </w:rPr>
        <w:t xml:space="preserve"> cumplimiento de mayo de</w:t>
      </w:r>
      <w:r w:rsidR="00C3267F" w:rsidRPr="0032068E">
        <w:rPr>
          <w:rFonts w:ascii="Verdana" w:hAnsi="Verdana" w:cs="Verdana"/>
          <w:sz w:val="20"/>
          <w:szCs w:val="20"/>
          <w:lang w:val="es-ES"/>
        </w:rPr>
        <w:t xml:space="preserve"> 2011</w:t>
      </w:r>
      <w:r w:rsidR="00170A19">
        <w:rPr>
          <w:rStyle w:val="FootnoteReference"/>
          <w:rFonts w:ascii="Verdana" w:hAnsi="Verdana" w:cs="Verdana"/>
          <w:sz w:val="20"/>
          <w:szCs w:val="20"/>
          <w:lang w:val="es-ES"/>
        </w:rPr>
        <w:footnoteReference w:id="107"/>
      </w:r>
      <w:r w:rsidR="00C3267F" w:rsidRPr="0032068E">
        <w:rPr>
          <w:rFonts w:ascii="Verdana" w:hAnsi="Verdana" w:cs="Verdana"/>
          <w:sz w:val="20"/>
          <w:szCs w:val="20"/>
          <w:lang w:val="es-ES"/>
        </w:rPr>
        <w:t>, que los hechos correspondientes a</w:t>
      </w:r>
      <w:r w:rsidR="00BF7BA9">
        <w:rPr>
          <w:rFonts w:ascii="Verdana" w:hAnsi="Verdana" w:cs="Verdana"/>
          <w:sz w:val="20"/>
          <w:szCs w:val="20"/>
          <w:lang w:val="es-ES"/>
        </w:rPr>
        <w:t xml:space="preserve"> </w:t>
      </w:r>
      <w:r w:rsidR="00C3267F" w:rsidRPr="0032068E">
        <w:rPr>
          <w:rFonts w:ascii="Verdana" w:hAnsi="Verdana" w:cs="Verdana"/>
          <w:sz w:val="20"/>
          <w:szCs w:val="20"/>
          <w:lang w:val="es-ES"/>
        </w:rPr>
        <w:t>l</w:t>
      </w:r>
      <w:r w:rsidR="00BF7BA9">
        <w:rPr>
          <w:rFonts w:ascii="Verdana" w:hAnsi="Verdana" w:cs="Verdana"/>
          <w:sz w:val="20"/>
          <w:szCs w:val="20"/>
          <w:lang w:val="es-ES"/>
        </w:rPr>
        <w:t xml:space="preserve">a desaparición forzada de la señora María Tiu Tojín y su hija Josefa </w:t>
      </w:r>
      <w:r w:rsidR="00C3267F" w:rsidRPr="0032068E">
        <w:rPr>
          <w:rFonts w:ascii="Verdana" w:hAnsi="Verdana" w:cs="Verdana"/>
          <w:sz w:val="20"/>
          <w:szCs w:val="20"/>
          <w:lang w:val="es-ES"/>
        </w:rPr>
        <w:t xml:space="preserve"> se encuentran en la impunidad. En este caso, el Estado se limitó a </w:t>
      </w:r>
      <w:r w:rsidR="00C3267F" w:rsidRPr="0032068E">
        <w:rPr>
          <w:rFonts w:ascii="Verdana" w:hAnsi="Verdana" w:cs="Verdana"/>
          <w:sz w:val="20"/>
          <w:szCs w:val="20"/>
          <w:lang w:val="es-ES"/>
        </w:rPr>
        <w:lastRenderedPageBreak/>
        <w:t xml:space="preserve">informar que </w:t>
      </w:r>
      <w:r w:rsidR="0065057F">
        <w:rPr>
          <w:rFonts w:ascii="Verdana" w:hAnsi="Verdana" w:cs="Verdana"/>
          <w:sz w:val="20"/>
          <w:szCs w:val="20"/>
          <w:lang w:val="es-ES"/>
        </w:rPr>
        <w:t xml:space="preserve">la investigación </w:t>
      </w:r>
      <w:r w:rsidR="00046983">
        <w:rPr>
          <w:rFonts w:ascii="Verdana" w:hAnsi="Verdana" w:cs="Verdana"/>
          <w:sz w:val="20"/>
          <w:szCs w:val="20"/>
          <w:lang w:val="es-ES"/>
        </w:rPr>
        <w:t xml:space="preserve">penal estaba “a cargo de la Sección de [C]asos [E]speciales de la Fiscalía de Derechos Humanos del Ministerio Público”, y que </w:t>
      </w:r>
      <w:r w:rsidR="00C3267F" w:rsidRPr="0032068E">
        <w:rPr>
          <w:rFonts w:ascii="Verdana" w:hAnsi="Verdana" w:cs="Verdana"/>
          <w:sz w:val="20"/>
          <w:szCs w:val="20"/>
          <w:lang w:val="es-ES"/>
        </w:rPr>
        <w:t xml:space="preserve">“se encuentra </w:t>
      </w:r>
      <w:r w:rsidR="00046983">
        <w:rPr>
          <w:rFonts w:ascii="Verdana" w:hAnsi="Verdana" w:cs="Verdana"/>
          <w:sz w:val="20"/>
          <w:szCs w:val="20"/>
          <w:lang w:val="es-ES"/>
        </w:rPr>
        <w:t>en fase de investigación</w:t>
      </w:r>
      <w:r w:rsidR="00046983" w:rsidRPr="0032068E">
        <w:rPr>
          <w:rFonts w:ascii="Verdana" w:hAnsi="Verdana" w:cs="Verdana"/>
          <w:sz w:val="20"/>
          <w:szCs w:val="20"/>
          <w:lang w:val="es-ES"/>
        </w:rPr>
        <w:t xml:space="preserve"> </w:t>
      </w:r>
      <w:r w:rsidR="00C3267F" w:rsidRPr="0032068E">
        <w:rPr>
          <w:rFonts w:ascii="Verdana" w:hAnsi="Verdana" w:cs="Verdana"/>
          <w:sz w:val="20"/>
          <w:szCs w:val="20"/>
          <w:lang w:val="es-ES"/>
        </w:rPr>
        <w:t xml:space="preserve">bajo reserva”. </w:t>
      </w:r>
      <w:r w:rsidR="00634002" w:rsidRPr="0032068E">
        <w:rPr>
          <w:rFonts w:ascii="Verdana" w:hAnsi="Verdana"/>
          <w:sz w:val="20"/>
          <w:szCs w:val="20"/>
          <w:lang w:val="es-CR"/>
        </w:rPr>
        <w:t>En es</w:t>
      </w:r>
      <w:r w:rsidR="005F5C45" w:rsidRPr="0032068E">
        <w:rPr>
          <w:rFonts w:ascii="Verdana" w:hAnsi="Verdana"/>
          <w:sz w:val="20"/>
          <w:szCs w:val="20"/>
          <w:lang w:val="es-CR"/>
        </w:rPr>
        <w:t>a</w:t>
      </w:r>
      <w:r w:rsidR="00634002" w:rsidRPr="0032068E">
        <w:rPr>
          <w:rFonts w:ascii="Verdana" w:hAnsi="Verdana"/>
          <w:sz w:val="20"/>
          <w:szCs w:val="20"/>
          <w:lang w:val="es-CR"/>
        </w:rPr>
        <w:t xml:space="preserve"> oportunidad, </w:t>
      </w:r>
      <w:r w:rsidR="00046983">
        <w:rPr>
          <w:rFonts w:ascii="Verdana" w:hAnsi="Verdana"/>
          <w:sz w:val="20"/>
          <w:szCs w:val="20"/>
          <w:lang w:val="es-CR"/>
        </w:rPr>
        <w:t>este Tribunal</w:t>
      </w:r>
      <w:r w:rsidR="00634002" w:rsidRPr="0032068E">
        <w:rPr>
          <w:rFonts w:ascii="Verdana" w:hAnsi="Verdana"/>
          <w:sz w:val="20"/>
          <w:szCs w:val="20"/>
          <w:lang w:val="es-CR"/>
        </w:rPr>
        <w:t xml:space="preserve"> requirió a</w:t>
      </w:r>
      <w:r w:rsidR="00046983">
        <w:rPr>
          <w:rFonts w:ascii="Verdana" w:hAnsi="Verdana"/>
          <w:sz w:val="20"/>
          <w:szCs w:val="20"/>
          <w:lang w:val="es-CR"/>
        </w:rPr>
        <w:t xml:space="preserve"> Guatemala</w:t>
      </w:r>
      <w:r w:rsidR="00634002" w:rsidRPr="0032068E">
        <w:rPr>
          <w:rFonts w:ascii="Verdana" w:hAnsi="Verdana"/>
          <w:sz w:val="20"/>
          <w:szCs w:val="20"/>
          <w:lang w:val="es-CR"/>
        </w:rPr>
        <w:t xml:space="preserve"> que </w:t>
      </w:r>
      <w:r w:rsidR="00046983">
        <w:rPr>
          <w:rFonts w:ascii="Verdana" w:hAnsi="Verdana"/>
          <w:sz w:val="20"/>
          <w:szCs w:val="20"/>
          <w:lang w:val="es-CR"/>
        </w:rPr>
        <w:t xml:space="preserve">“present[ara] información pormenorizada y actualizada sobre la totalidad de acciones efectuadas para investigar los hechos de este caso”, en particular le requirió que </w:t>
      </w:r>
      <w:r w:rsidR="00634002" w:rsidRPr="0032068E">
        <w:rPr>
          <w:rFonts w:ascii="Verdana" w:hAnsi="Verdana"/>
          <w:sz w:val="20"/>
          <w:szCs w:val="20"/>
          <w:lang w:val="es-CR"/>
        </w:rPr>
        <w:t>informara sobre “el número y las características de los actos procesales que se estén impulsando para investigar los hechos involucrados, así como las fechas y los resultados específicos sobre las gestiones que se han realizado para identificar a todos los responsables de los crímenes perpetrados”</w:t>
      </w:r>
      <w:r w:rsidR="00046983">
        <w:rPr>
          <w:rFonts w:ascii="Verdana" w:hAnsi="Verdana"/>
          <w:sz w:val="20"/>
          <w:szCs w:val="20"/>
          <w:lang w:val="es-CR"/>
        </w:rPr>
        <w:t>.</w:t>
      </w:r>
      <w:r w:rsidR="00634002" w:rsidRPr="0032068E">
        <w:rPr>
          <w:rFonts w:ascii="Verdana" w:hAnsi="Verdana"/>
          <w:sz w:val="20"/>
          <w:szCs w:val="20"/>
          <w:lang w:val="es-CR"/>
        </w:rPr>
        <w:t xml:space="preserve"> </w:t>
      </w:r>
      <w:r w:rsidR="00046983">
        <w:rPr>
          <w:rFonts w:ascii="Verdana" w:hAnsi="Verdana"/>
          <w:sz w:val="20"/>
          <w:szCs w:val="20"/>
          <w:lang w:val="es-CR"/>
        </w:rPr>
        <w:t>Además, le</w:t>
      </w:r>
      <w:r w:rsidR="00046983" w:rsidRPr="0032068E">
        <w:rPr>
          <w:rFonts w:ascii="Verdana" w:hAnsi="Verdana"/>
          <w:sz w:val="20"/>
          <w:szCs w:val="20"/>
          <w:lang w:val="es-CR"/>
        </w:rPr>
        <w:t xml:space="preserve"> </w:t>
      </w:r>
      <w:r w:rsidR="00AD2ABD" w:rsidRPr="0032068E">
        <w:rPr>
          <w:rFonts w:ascii="Verdana" w:hAnsi="Verdana"/>
          <w:sz w:val="20"/>
          <w:szCs w:val="20"/>
          <w:lang w:val="es-CR"/>
        </w:rPr>
        <w:t>solicitó que</w:t>
      </w:r>
      <w:r w:rsidR="00634002" w:rsidRPr="0032068E">
        <w:rPr>
          <w:rFonts w:ascii="Verdana" w:hAnsi="Verdana"/>
          <w:sz w:val="20"/>
          <w:szCs w:val="20"/>
          <w:lang w:val="es-CR"/>
        </w:rPr>
        <w:t xml:space="preserve"> remitiera “copia de los documentos principales relacionados con dichos actos procesales”. </w:t>
      </w:r>
    </w:p>
    <w:p w14:paraId="7F251413" w14:textId="77777777" w:rsidR="00C3267F" w:rsidRPr="0032068E" w:rsidRDefault="00C3267F" w:rsidP="00C3267F">
      <w:pPr>
        <w:pStyle w:val="ListParagraph"/>
        <w:spacing w:after="0" w:line="240" w:lineRule="auto"/>
        <w:ind w:left="0" w:right="1444"/>
        <w:jc w:val="both"/>
        <w:rPr>
          <w:rFonts w:ascii="Verdana" w:hAnsi="Verdana"/>
          <w:sz w:val="20"/>
          <w:szCs w:val="20"/>
          <w:lang w:val="es-CR"/>
        </w:rPr>
      </w:pPr>
    </w:p>
    <w:p w14:paraId="509AF248" w14:textId="1779F726" w:rsidR="00BF7BA9" w:rsidRDefault="00AD2ABD" w:rsidP="00C3267F">
      <w:pPr>
        <w:pStyle w:val="ListParagraph"/>
        <w:numPr>
          <w:ilvl w:val="0"/>
          <w:numId w:val="2"/>
        </w:numPr>
        <w:spacing w:after="0" w:line="240" w:lineRule="auto"/>
        <w:ind w:left="0" w:right="1444" w:firstLine="0"/>
        <w:jc w:val="both"/>
        <w:rPr>
          <w:rFonts w:ascii="Verdana" w:hAnsi="Verdana"/>
          <w:sz w:val="20"/>
          <w:szCs w:val="20"/>
          <w:lang w:val="es-CR"/>
        </w:rPr>
      </w:pPr>
      <w:r>
        <w:rPr>
          <w:rFonts w:ascii="Verdana" w:hAnsi="Verdana"/>
          <w:sz w:val="20"/>
          <w:szCs w:val="20"/>
          <w:lang w:val="es-CR"/>
        </w:rPr>
        <w:t xml:space="preserve">En </w:t>
      </w:r>
      <w:r w:rsidRPr="00F00B22">
        <w:rPr>
          <w:rFonts w:ascii="Verdana" w:hAnsi="Verdana"/>
          <w:sz w:val="20"/>
          <w:szCs w:val="20"/>
          <w:lang w:val="es-CR"/>
        </w:rPr>
        <w:t xml:space="preserve">el </w:t>
      </w:r>
      <w:r>
        <w:rPr>
          <w:rFonts w:ascii="Verdana" w:hAnsi="Verdana"/>
          <w:sz w:val="20"/>
          <w:szCs w:val="20"/>
          <w:lang w:val="es-CR"/>
        </w:rPr>
        <w:t>i</w:t>
      </w:r>
      <w:r w:rsidRPr="00F00B22">
        <w:rPr>
          <w:rFonts w:ascii="Verdana" w:hAnsi="Verdana"/>
          <w:sz w:val="20"/>
          <w:szCs w:val="20"/>
          <w:lang w:val="es-CR"/>
        </w:rPr>
        <w:t xml:space="preserve">nforme del Ministerio Público </w:t>
      </w:r>
      <w:r>
        <w:rPr>
          <w:rFonts w:ascii="Verdana" w:hAnsi="Verdana"/>
          <w:sz w:val="20"/>
          <w:szCs w:val="20"/>
          <w:lang w:val="es-CR"/>
        </w:rPr>
        <w:t xml:space="preserve">de mayo de 2014 </w:t>
      </w:r>
      <w:r w:rsidRPr="00F00B22">
        <w:rPr>
          <w:rFonts w:ascii="Verdana" w:hAnsi="Verdana"/>
          <w:sz w:val="20"/>
          <w:szCs w:val="20"/>
          <w:lang w:val="es-CR"/>
        </w:rPr>
        <w:t>se identifica</w:t>
      </w:r>
      <w:r>
        <w:rPr>
          <w:rFonts w:ascii="Verdana" w:hAnsi="Verdana"/>
          <w:sz w:val="20"/>
          <w:szCs w:val="20"/>
          <w:lang w:val="es-CR"/>
        </w:rPr>
        <w:t>n</w:t>
      </w:r>
      <w:r w:rsidRPr="00F00B22">
        <w:rPr>
          <w:rFonts w:ascii="Verdana" w:hAnsi="Verdana"/>
          <w:sz w:val="20"/>
          <w:szCs w:val="20"/>
          <w:lang w:val="es-CR"/>
        </w:rPr>
        <w:t xml:space="preserve"> </w:t>
      </w:r>
      <w:r>
        <w:rPr>
          <w:rFonts w:ascii="Verdana" w:hAnsi="Verdana"/>
          <w:sz w:val="20"/>
          <w:szCs w:val="20"/>
          <w:lang w:val="es-CR"/>
        </w:rPr>
        <w:t>catorce</w:t>
      </w:r>
      <w:r w:rsidRPr="00F00B22">
        <w:rPr>
          <w:rFonts w:ascii="Verdana" w:hAnsi="Verdana"/>
          <w:sz w:val="20"/>
          <w:szCs w:val="20"/>
          <w:lang w:val="es-CR"/>
        </w:rPr>
        <w:t xml:space="preserve"> personas</w:t>
      </w:r>
      <w:r>
        <w:rPr>
          <w:rFonts w:ascii="Verdana" w:hAnsi="Verdana"/>
          <w:sz w:val="20"/>
          <w:szCs w:val="20"/>
          <w:lang w:val="es-CR"/>
        </w:rPr>
        <w:t xml:space="preserve"> como “presuntos responsables materiales o inmediatos”</w:t>
      </w:r>
      <w:r w:rsidRPr="00F00B22">
        <w:rPr>
          <w:rFonts w:ascii="Verdana" w:hAnsi="Verdana"/>
          <w:sz w:val="20"/>
          <w:szCs w:val="20"/>
          <w:lang w:val="es-CR"/>
        </w:rPr>
        <w:t xml:space="preserve"> por </w:t>
      </w:r>
      <w:r>
        <w:rPr>
          <w:rFonts w:ascii="Verdana" w:hAnsi="Verdana"/>
          <w:sz w:val="20"/>
          <w:szCs w:val="20"/>
          <w:lang w:val="es-CR"/>
        </w:rPr>
        <w:t>los</w:t>
      </w:r>
      <w:r w:rsidRPr="00F00B22">
        <w:rPr>
          <w:rFonts w:ascii="Verdana" w:hAnsi="Verdana"/>
          <w:sz w:val="20"/>
          <w:szCs w:val="20"/>
          <w:lang w:val="es-CR"/>
        </w:rPr>
        <w:t xml:space="preserve"> hechos</w:t>
      </w:r>
      <w:r>
        <w:rPr>
          <w:rFonts w:ascii="Verdana" w:hAnsi="Verdana"/>
          <w:sz w:val="20"/>
          <w:szCs w:val="20"/>
          <w:lang w:val="es-CR"/>
        </w:rPr>
        <w:t xml:space="preserve"> del presente caso</w:t>
      </w:r>
      <w:r w:rsidRPr="0032068E">
        <w:rPr>
          <w:rStyle w:val="FootnoteReference"/>
          <w:rFonts w:ascii="Verdana" w:hAnsi="Verdana"/>
          <w:sz w:val="20"/>
          <w:szCs w:val="20"/>
          <w:lang w:val="es-CR"/>
        </w:rPr>
        <w:footnoteReference w:id="108"/>
      </w:r>
      <w:r>
        <w:rPr>
          <w:rFonts w:ascii="Verdana" w:hAnsi="Verdana"/>
          <w:sz w:val="20"/>
          <w:szCs w:val="20"/>
          <w:lang w:val="es-CR"/>
        </w:rPr>
        <w:t xml:space="preserve">. En dicho informe no se indica claramente en qué etapa se encontraría </w:t>
      </w:r>
      <w:r w:rsidR="00CF698C">
        <w:rPr>
          <w:rFonts w:ascii="Verdana" w:hAnsi="Verdana"/>
          <w:sz w:val="20"/>
          <w:szCs w:val="20"/>
          <w:lang w:val="es-CR"/>
        </w:rPr>
        <w:t xml:space="preserve">el proceso penal </w:t>
      </w:r>
      <w:r>
        <w:rPr>
          <w:rFonts w:ascii="Verdana" w:hAnsi="Verdana"/>
          <w:sz w:val="20"/>
          <w:szCs w:val="20"/>
          <w:lang w:val="es-CR"/>
        </w:rPr>
        <w:t>y</w:t>
      </w:r>
      <w:r w:rsidRPr="00F00B22">
        <w:rPr>
          <w:rFonts w:ascii="Verdana" w:hAnsi="Verdana"/>
          <w:sz w:val="20"/>
          <w:szCs w:val="20"/>
          <w:lang w:val="es-CR"/>
        </w:rPr>
        <w:t xml:space="preserve"> tampoco se </w:t>
      </w:r>
      <w:r w:rsidR="00BF7BA9">
        <w:rPr>
          <w:rFonts w:ascii="Verdana" w:hAnsi="Verdana"/>
          <w:sz w:val="20"/>
          <w:szCs w:val="20"/>
          <w:lang w:val="es-CR"/>
        </w:rPr>
        <w:t xml:space="preserve">señalan de forma detallada las </w:t>
      </w:r>
      <w:r w:rsidRPr="00F00B22">
        <w:rPr>
          <w:rFonts w:ascii="Verdana" w:hAnsi="Verdana"/>
          <w:sz w:val="20"/>
          <w:szCs w:val="20"/>
          <w:lang w:val="es-CR"/>
        </w:rPr>
        <w:t xml:space="preserve">diligencias concretas </w:t>
      </w:r>
      <w:r w:rsidR="00BF7BA9">
        <w:rPr>
          <w:rFonts w:ascii="Verdana" w:hAnsi="Verdana"/>
          <w:sz w:val="20"/>
          <w:szCs w:val="20"/>
          <w:lang w:val="es-CR"/>
        </w:rPr>
        <w:t xml:space="preserve">que se habrían llevado a cabo con el fin de </w:t>
      </w:r>
      <w:r w:rsidRPr="00F00B22">
        <w:rPr>
          <w:rFonts w:ascii="Verdana" w:hAnsi="Verdana"/>
          <w:sz w:val="20"/>
          <w:szCs w:val="20"/>
          <w:lang w:val="es-CR"/>
        </w:rPr>
        <w:t>avanzar con las i</w:t>
      </w:r>
      <w:r>
        <w:rPr>
          <w:rFonts w:ascii="Verdana" w:hAnsi="Verdana"/>
          <w:sz w:val="20"/>
          <w:szCs w:val="20"/>
          <w:lang w:val="es-CR"/>
        </w:rPr>
        <w:t>nvestigaciones correspondientes</w:t>
      </w:r>
      <w:r w:rsidRPr="00F00B22">
        <w:rPr>
          <w:rFonts w:ascii="Verdana" w:hAnsi="Verdana"/>
          <w:sz w:val="20"/>
          <w:szCs w:val="20"/>
          <w:lang w:val="es-CR"/>
        </w:rPr>
        <w:t>.</w:t>
      </w:r>
      <w:r w:rsidR="00BF7BA9">
        <w:rPr>
          <w:rFonts w:ascii="Verdana" w:hAnsi="Verdana"/>
          <w:sz w:val="20"/>
          <w:szCs w:val="20"/>
          <w:lang w:val="es-CR"/>
        </w:rPr>
        <w:t xml:space="preserve"> Además, en dicho informe el Ministerio Público identificó como “obstáculos” que la investigación del presente caso hubiera permanecido aproximadamente 17 años bajo la competencia de tribunales militares, antes de ser</w:t>
      </w:r>
      <w:r w:rsidR="0049655B">
        <w:rPr>
          <w:rFonts w:ascii="Verdana" w:hAnsi="Verdana"/>
          <w:sz w:val="20"/>
          <w:szCs w:val="20"/>
          <w:lang w:val="es-CR"/>
        </w:rPr>
        <w:t xml:space="preserve"> remitido al fuero común, y </w:t>
      </w:r>
      <w:bookmarkStart w:id="99" w:name="_Ref437867984"/>
      <w:r w:rsidR="00BF7BA9" w:rsidRPr="00F00B22">
        <w:rPr>
          <w:rFonts w:ascii="Verdana" w:hAnsi="Verdana"/>
          <w:sz w:val="20"/>
          <w:szCs w:val="20"/>
          <w:lang w:val="es-CR"/>
        </w:rPr>
        <w:t xml:space="preserve">“[l]a respuesta negativa que </w:t>
      </w:r>
      <w:proofErr w:type="gramStart"/>
      <w:r w:rsidR="00BF7BA9" w:rsidRPr="00F00B22">
        <w:rPr>
          <w:rFonts w:ascii="Verdana" w:hAnsi="Verdana"/>
          <w:sz w:val="20"/>
          <w:szCs w:val="20"/>
          <w:lang w:val="es-CR"/>
        </w:rPr>
        <w:t>d</w:t>
      </w:r>
      <w:r w:rsidR="00081CEC">
        <w:rPr>
          <w:rFonts w:ascii="Verdana" w:hAnsi="Verdana"/>
          <w:sz w:val="20"/>
          <w:szCs w:val="20"/>
          <w:lang w:val="es-CR"/>
        </w:rPr>
        <w:t>[</w:t>
      </w:r>
      <w:proofErr w:type="gramEnd"/>
      <w:r w:rsidR="00081CEC">
        <w:rPr>
          <w:rFonts w:ascii="Verdana" w:hAnsi="Verdana"/>
          <w:sz w:val="20"/>
          <w:szCs w:val="20"/>
          <w:lang w:val="es-CR"/>
        </w:rPr>
        <w:t>io]</w:t>
      </w:r>
      <w:r w:rsidR="00BF7BA9" w:rsidRPr="00F00B22">
        <w:rPr>
          <w:rFonts w:ascii="Verdana" w:hAnsi="Verdana"/>
          <w:sz w:val="20"/>
          <w:szCs w:val="20"/>
          <w:lang w:val="es-CR"/>
        </w:rPr>
        <w:t xml:space="preserve"> el Ministerio de la Defensa Nacional, en relación a los requerimientos </w:t>
      </w:r>
      <w:r w:rsidR="0049655B">
        <w:rPr>
          <w:rFonts w:ascii="Verdana" w:hAnsi="Verdana"/>
          <w:sz w:val="20"/>
          <w:szCs w:val="20"/>
          <w:lang w:val="es-CR"/>
        </w:rPr>
        <w:t xml:space="preserve">[de información] </w:t>
      </w:r>
      <w:r w:rsidR="00BF7BA9" w:rsidRPr="00F00B22">
        <w:rPr>
          <w:rFonts w:ascii="Verdana" w:hAnsi="Verdana"/>
          <w:sz w:val="20"/>
          <w:szCs w:val="20"/>
          <w:lang w:val="es-CR"/>
        </w:rPr>
        <w:t>que se le han hecho relacionados con el caso</w:t>
      </w:r>
      <w:r w:rsidR="0049655B">
        <w:rPr>
          <w:rFonts w:ascii="Verdana" w:hAnsi="Verdana"/>
          <w:sz w:val="20"/>
          <w:szCs w:val="20"/>
          <w:lang w:val="es-CR"/>
        </w:rPr>
        <w:t>”</w:t>
      </w:r>
      <w:r w:rsidR="00BF7BA9" w:rsidRPr="0032068E">
        <w:rPr>
          <w:rStyle w:val="FootnoteReference"/>
          <w:rFonts w:ascii="Verdana" w:hAnsi="Verdana"/>
          <w:sz w:val="20"/>
          <w:szCs w:val="20"/>
          <w:lang w:val="es-CR"/>
        </w:rPr>
        <w:footnoteReference w:id="109"/>
      </w:r>
      <w:r w:rsidR="00BF7BA9" w:rsidRPr="00F00B22">
        <w:rPr>
          <w:rFonts w:ascii="Verdana" w:hAnsi="Verdana"/>
          <w:sz w:val="20"/>
          <w:szCs w:val="20"/>
          <w:lang w:val="es-CR"/>
        </w:rPr>
        <w:t>.</w:t>
      </w:r>
    </w:p>
    <w:p w14:paraId="34949B8C" w14:textId="77777777" w:rsidR="00BF7BA9" w:rsidRDefault="00BF7BA9" w:rsidP="00081CEC">
      <w:pPr>
        <w:pStyle w:val="ListParagraph"/>
        <w:rPr>
          <w:rFonts w:ascii="Verdana" w:hAnsi="Verdana"/>
          <w:sz w:val="20"/>
          <w:szCs w:val="20"/>
          <w:lang w:val="es-CR"/>
        </w:rPr>
      </w:pPr>
    </w:p>
    <w:p w14:paraId="56F12899" w14:textId="72F10D63" w:rsidR="00CB405D" w:rsidRPr="0032068E" w:rsidRDefault="00CB405D" w:rsidP="00CB405D">
      <w:pPr>
        <w:pStyle w:val="ListParagraph"/>
        <w:numPr>
          <w:ilvl w:val="0"/>
          <w:numId w:val="2"/>
        </w:numPr>
        <w:spacing w:after="0" w:line="240" w:lineRule="auto"/>
        <w:ind w:left="0" w:right="1444" w:firstLine="0"/>
        <w:jc w:val="both"/>
        <w:rPr>
          <w:rFonts w:ascii="Verdana" w:hAnsi="Verdana"/>
          <w:sz w:val="20"/>
          <w:szCs w:val="20"/>
          <w:lang w:val="es-CR"/>
        </w:rPr>
      </w:pPr>
      <w:r>
        <w:rPr>
          <w:rFonts w:ascii="Verdana" w:hAnsi="Verdana"/>
          <w:sz w:val="20"/>
          <w:szCs w:val="20"/>
          <w:lang w:val="es-CR"/>
        </w:rPr>
        <w:t>P</w:t>
      </w:r>
      <w:r w:rsidRPr="0032068E">
        <w:rPr>
          <w:rFonts w:ascii="Verdana" w:hAnsi="Verdana"/>
          <w:sz w:val="20"/>
          <w:szCs w:val="20"/>
          <w:lang w:val="es-CR"/>
        </w:rPr>
        <w:t>osteriormente</w:t>
      </w:r>
      <w:r>
        <w:rPr>
          <w:rFonts w:ascii="Verdana" w:hAnsi="Verdana"/>
          <w:sz w:val="20"/>
          <w:szCs w:val="20"/>
          <w:lang w:val="es-CR"/>
        </w:rPr>
        <w:t xml:space="preserve">, </w:t>
      </w:r>
      <w:r w:rsidRPr="0032068E">
        <w:rPr>
          <w:rFonts w:ascii="Verdana" w:hAnsi="Verdana"/>
          <w:sz w:val="20"/>
          <w:szCs w:val="20"/>
          <w:lang w:val="es-CR"/>
        </w:rPr>
        <w:t xml:space="preserve">la Corte valorará la negativa </w:t>
      </w:r>
      <w:r w:rsidRPr="00CB405D">
        <w:rPr>
          <w:rFonts w:ascii="Verdana" w:hAnsi="Verdana"/>
          <w:sz w:val="20"/>
          <w:szCs w:val="20"/>
          <w:lang w:val="es-CR"/>
        </w:rPr>
        <w:t>del Ministerio de Defensa de proporcionar información como obstáculo para la investigación (</w:t>
      </w:r>
      <w:r w:rsidRPr="00CB405D">
        <w:rPr>
          <w:rFonts w:ascii="Verdana" w:hAnsi="Verdana"/>
          <w:i/>
          <w:sz w:val="20"/>
          <w:szCs w:val="20"/>
          <w:lang w:val="es-CR"/>
        </w:rPr>
        <w:t xml:space="preserve">infra </w:t>
      </w:r>
      <w:r w:rsidRPr="00CB405D">
        <w:rPr>
          <w:rFonts w:ascii="Verdana" w:hAnsi="Verdana"/>
          <w:sz w:val="20"/>
          <w:szCs w:val="20"/>
          <w:lang w:val="es-CR"/>
        </w:rPr>
        <w:t xml:space="preserve">Considerandos </w:t>
      </w:r>
      <w:r w:rsidRPr="00CB405D">
        <w:rPr>
          <w:rFonts w:ascii="Verdana" w:hAnsi="Verdana"/>
          <w:sz w:val="20"/>
          <w:szCs w:val="20"/>
          <w:lang w:val="es-CR"/>
        </w:rPr>
        <w:fldChar w:fldCharType="begin"/>
      </w:r>
      <w:r w:rsidRPr="00CB405D">
        <w:rPr>
          <w:rFonts w:ascii="Verdana" w:hAnsi="Verdana"/>
          <w:sz w:val="20"/>
          <w:szCs w:val="20"/>
          <w:lang w:val="es-CR"/>
        </w:rPr>
        <w:instrText xml:space="preserve"> REF _Ref437858242 \r \h  \* MERGEFORMAT </w:instrText>
      </w:r>
      <w:r w:rsidRPr="00CB405D">
        <w:rPr>
          <w:rFonts w:ascii="Verdana" w:hAnsi="Verdana"/>
          <w:sz w:val="20"/>
          <w:szCs w:val="20"/>
          <w:lang w:val="es-CR"/>
        </w:rPr>
      </w:r>
      <w:r w:rsidRPr="00CB405D">
        <w:rPr>
          <w:rFonts w:ascii="Verdana" w:hAnsi="Verdana"/>
          <w:sz w:val="20"/>
          <w:szCs w:val="20"/>
          <w:lang w:val="es-CR"/>
        </w:rPr>
        <w:fldChar w:fldCharType="separate"/>
      </w:r>
      <w:r w:rsidR="007E3C4B">
        <w:rPr>
          <w:rFonts w:ascii="Verdana" w:hAnsi="Verdana"/>
          <w:sz w:val="20"/>
          <w:szCs w:val="20"/>
          <w:lang w:val="es-CR"/>
        </w:rPr>
        <w:t>127</w:t>
      </w:r>
      <w:r w:rsidRPr="00CB405D">
        <w:rPr>
          <w:rFonts w:ascii="Verdana" w:hAnsi="Verdana"/>
          <w:sz w:val="20"/>
          <w:szCs w:val="20"/>
          <w:lang w:val="es-CR"/>
        </w:rPr>
        <w:fldChar w:fldCharType="end"/>
      </w:r>
      <w:r w:rsidRPr="00CB405D">
        <w:rPr>
          <w:rFonts w:ascii="Verdana" w:hAnsi="Verdana"/>
          <w:sz w:val="20"/>
          <w:szCs w:val="20"/>
          <w:lang w:val="es-CR"/>
        </w:rPr>
        <w:t xml:space="preserve"> a </w:t>
      </w:r>
      <w:r w:rsidRPr="00CB405D">
        <w:rPr>
          <w:rFonts w:ascii="Verdana" w:hAnsi="Verdana"/>
          <w:sz w:val="20"/>
          <w:szCs w:val="20"/>
          <w:lang w:val="es-CR"/>
        </w:rPr>
        <w:fldChar w:fldCharType="begin"/>
      </w:r>
      <w:r w:rsidRPr="00CB405D">
        <w:rPr>
          <w:rFonts w:ascii="Verdana" w:hAnsi="Verdana"/>
          <w:sz w:val="20"/>
          <w:szCs w:val="20"/>
          <w:lang w:val="es-CR"/>
        </w:rPr>
        <w:instrText xml:space="preserve"> REF _Ref437939544 \r \h  \* MERGEFORMAT </w:instrText>
      </w:r>
      <w:r w:rsidRPr="00CB405D">
        <w:rPr>
          <w:rFonts w:ascii="Verdana" w:hAnsi="Verdana"/>
          <w:sz w:val="20"/>
          <w:szCs w:val="20"/>
          <w:lang w:val="es-CR"/>
        </w:rPr>
      </w:r>
      <w:r w:rsidRPr="00CB405D">
        <w:rPr>
          <w:rFonts w:ascii="Verdana" w:hAnsi="Verdana"/>
          <w:sz w:val="20"/>
          <w:szCs w:val="20"/>
          <w:lang w:val="es-CR"/>
        </w:rPr>
        <w:fldChar w:fldCharType="separate"/>
      </w:r>
      <w:r w:rsidR="007E3C4B">
        <w:rPr>
          <w:rFonts w:ascii="Verdana" w:hAnsi="Verdana"/>
          <w:sz w:val="20"/>
          <w:szCs w:val="20"/>
          <w:lang w:val="es-CR"/>
        </w:rPr>
        <w:t>131</w:t>
      </w:r>
      <w:r w:rsidRPr="00CB405D">
        <w:rPr>
          <w:rFonts w:ascii="Verdana" w:hAnsi="Verdana"/>
          <w:sz w:val="20"/>
          <w:szCs w:val="20"/>
          <w:lang w:val="es-CR"/>
        </w:rPr>
        <w:fldChar w:fldCharType="end"/>
      </w:r>
      <w:r w:rsidRPr="00CB405D">
        <w:rPr>
          <w:rFonts w:ascii="Verdana" w:hAnsi="Verdana"/>
          <w:sz w:val="20"/>
          <w:szCs w:val="20"/>
          <w:lang w:val="es-CR"/>
        </w:rPr>
        <w:t>).</w:t>
      </w:r>
    </w:p>
    <w:p w14:paraId="6C4E09C9" w14:textId="77777777" w:rsidR="00CB405D" w:rsidRPr="00CB405D" w:rsidRDefault="00CB405D" w:rsidP="00CB405D">
      <w:pPr>
        <w:pStyle w:val="ListParagraph"/>
        <w:spacing w:after="0" w:line="240" w:lineRule="auto"/>
        <w:ind w:left="0" w:right="1444"/>
        <w:jc w:val="both"/>
        <w:rPr>
          <w:rFonts w:ascii="Verdana" w:hAnsi="Verdana"/>
          <w:sz w:val="20"/>
          <w:szCs w:val="20"/>
          <w:lang w:val="es-CR"/>
        </w:rPr>
      </w:pPr>
    </w:p>
    <w:p w14:paraId="7BB3EEE4" w14:textId="77B7CC26" w:rsidR="002E54EA" w:rsidRDefault="00081CEC" w:rsidP="00C3267F">
      <w:pPr>
        <w:pStyle w:val="ListParagraph"/>
        <w:numPr>
          <w:ilvl w:val="0"/>
          <w:numId w:val="2"/>
        </w:numPr>
        <w:spacing w:after="0" w:line="240" w:lineRule="auto"/>
        <w:ind w:left="0" w:right="1444" w:firstLine="0"/>
        <w:jc w:val="both"/>
        <w:rPr>
          <w:rFonts w:ascii="Verdana" w:hAnsi="Verdana"/>
          <w:sz w:val="20"/>
          <w:szCs w:val="20"/>
          <w:lang w:val="es-CR"/>
        </w:rPr>
      </w:pPr>
      <w:r>
        <w:rPr>
          <w:rFonts w:ascii="Verdana" w:hAnsi="Verdana"/>
          <w:sz w:val="20"/>
          <w:szCs w:val="20"/>
          <w:lang w:val="es-CR"/>
        </w:rPr>
        <w:t>E</w:t>
      </w:r>
      <w:r w:rsidR="00C3267F" w:rsidRPr="00F00B22">
        <w:rPr>
          <w:rFonts w:ascii="Verdana" w:hAnsi="Verdana"/>
          <w:sz w:val="20"/>
          <w:szCs w:val="20"/>
          <w:lang w:val="es-CR"/>
        </w:rPr>
        <w:t>n su informe de</w:t>
      </w:r>
      <w:r w:rsidR="006E0EDC" w:rsidRPr="00F00B22">
        <w:rPr>
          <w:rFonts w:ascii="Verdana" w:hAnsi="Verdana"/>
          <w:sz w:val="20"/>
          <w:szCs w:val="20"/>
          <w:lang w:val="es-CR"/>
        </w:rPr>
        <w:t xml:space="preserve"> abril de</w:t>
      </w:r>
      <w:r w:rsidR="00C3267F" w:rsidRPr="00F00B22">
        <w:rPr>
          <w:rFonts w:ascii="Verdana" w:hAnsi="Verdana"/>
          <w:sz w:val="20"/>
          <w:szCs w:val="20"/>
          <w:lang w:val="es-CR"/>
        </w:rPr>
        <w:t xml:space="preserve"> 2015, el Estado </w:t>
      </w:r>
      <w:r>
        <w:rPr>
          <w:rFonts w:ascii="Verdana" w:hAnsi="Verdana"/>
          <w:sz w:val="20"/>
          <w:szCs w:val="20"/>
          <w:lang w:val="es-CR"/>
        </w:rPr>
        <w:t xml:space="preserve">se refirió a </w:t>
      </w:r>
      <w:r w:rsidR="006C2FB3">
        <w:rPr>
          <w:rFonts w:ascii="Verdana" w:hAnsi="Verdana"/>
          <w:sz w:val="20"/>
          <w:szCs w:val="20"/>
          <w:lang w:val="es-CR"/>
        </w:rPr>
        <w:t xml:space="preserve">algunas </w:t>
      </w:r>
      <w:r>
        <w:rPr>
          <w:rFonts w:ascii="Verdana" w:hAnsi="Verdana"/>
          <w:sz w:val="20"/>
          <w:szCs w:val="20"/>
          <w:lang w:val="es-CR"/>
        </w:rPr>
        <w:t xml:space="preserve">diligencias que se </w:t>
      </w:r>
      <w:r w:rsidRPr="00F00B22">
        <w:rPr>
          <w:rFonts w:ascii="Verdana" w:hAnsi="Verdana"/>
          <w:sz w:val="20"/>
          <w:szCs w:val="20"/>
          <w:lang w:val="es-CR"/>
        </w:rPr>
        <w:t xml:space="preserve"> </w:t>
      </w:r>
      <w:r>
        <w:rPr>
          <w:rFonts w:ascii="Verdana" w:hAnsi="Verdana"/>
          <w:sz w:val="20"/>
          <w:szCs w:val="20"/>
          <w:lang w:val="es-CR"/>
        </w:rPr>
        <w:t>han realizado hasta</w:t>
      </w:r>
      <w:r w:rsidR="00C3267F" w:rsidRPr="00F00B22">
        <w:rPr>
          <w:rFonts w:ascii="Verdana" w:hAnsi="Verdana"/>
          <w:sz w:val="20"/>
          <w:szCs w:val="20"/>
          <w:lang w:val="es-CR"/>
        </w:rPr>
        <w:t xml:space="preserve"> la fecha</w:t>
      </w:r>
      <w:r>
        <w:rPr>
          <w:rFonts w:ascii="Verdana" w:hAnsi="Verdana"/>
          <w:sz w:val="20"/>
          <w:szCs w:val="20"/>
          <w:lang w:val="es-CR"/>
        </w:rPr>
        <w:t xml:space="preserve"> y las calificó como “avances en la investigación”. </w:t>
      </w:r>
      <w:r w:rsidR="00CF698C">
        <w:rPr>
          <w:rFonts w:ascii="Verdana" w:hAnsi="Verdana"/>
          <w:sz w:val="20"/>
          <w:szCs w:val="20"/>
          <w:lang w:val="es-CR"/>
        </w:rPr>
        <w:t xml:space="preserve">Guatemala </w:t>
      </w:r>
      <w:r>
        <w:rPr>
          <w:rFonts w:ascii="Verdana" w:hAnsi="Verdana"/>
          <w:sz w:val="20"/>
          <w:szCs w:val="20"/>
          <w:lang w:val="es-CR"/>
        </w:rPr>
        <w:t xml:space="preserve">mencionó </w:t>
      </w:r>
      <w:r w:rsidR="00C3267F" w:rsidRPr="00F00B22">
        <w:rPr>
          <w:rFonts w:ascii="Verdana" w:hAnsi="Verdana"/>
          <w:sz w:val="20"/>
          <w:szCs w:val="20"/>
          <w:lang w:val="es-CR"/>
        </w:rPr>
        <w:t>la “</w:t>
      </w:r>
      <w:r w:rsidR="00A046ED" w:rsidRPr="00F00B22">
        <w:rPr>
          <w:rFonts w:ascii="Verdana" w:hAnsi="Verdana"/>
          <w:sz w:val="20"/>
          <w:szCs w:val="20"/>
          <w:lang w:val="es-CR"/>
        </w:rPr>
        <w:t>[l]</w:t>
      </w:r>
      <w:r w:rsidR="00C3267F" w:rsidRPr="00F00B22">
        <w:rPr>
          <w:rFonts w:ascii="Verdana" w:hAnsi="Verdana"/>
          <w:sz w:val="20"/>
          <w:szCs w:val="20"/>
          <w:lang w:val="es-CR"/>
        </w:rPr>
        <w:t>ocalización de hermanos y madre de María Tiu Tojín, a quienes se les tomó muestra referencia</w:t>
      </w:r>
      <w:r>
        <w:rPr>
          <w:rFonts w:ascii="Verdana" w:hAnsi="Verdana"/>
          <w:sz w:val="20"/>
          <w:szCs w:val="20"/>
          <w:lang w:val="es-CR"/>
        </w:rPr>
        <w:t>l</w:t>
      </w:r>
      <w:r w:rsidR="00C3267F" w:rsidRPr="00F00B22">
        <w:rPr>
          <w:rFonts w:ascii="Verdana" w:hAnsi="Verdana"/>
          <w:sz w:val="20"/>
          <w:szCs w:val="20"/>
          <w:lang w:val="es-CR"/>
        </w:rPr>
        <w:t xml:space="preserve"> </w:t>
      </w:r>
      <w:r w:rsidR="002E54EA">
        <w:rPr>
          <w:rFonts w:ascii="Verdana" w:hAnsi="Verdana"/>
          <w:sz w:val="20"/>
          <w:szCs w:val="20"/>
          <w:lang w:val="es-CR"/>
        </w:rPr>
        <w:t xml:space="preserve">por parte de la Fundación de Antropología Forense de Guatemala </w:t>
      </w:r>
      <w:r w:rsidR="00C3267F" w:rsidRPr="00F00B22">
        <w:rPr>
          <w:rFonts w:ascii="Verdana" w:hAnsi="Verdana"/>
          <w:sz w:val="20"/>
          <w:szCs w:val="20"/>
          <w:lang w:val="es-CR"/>
        </w:rPr>
        <w:t>[…]</w:t>
      </w:r>
      <w:r w:rsidR="002E54EA">
        <w:rPr>
          <w:rFonts w:ascii="Verdana" w:hAnsi="Verdana"/>
          <w:sz w:val="20"/>
          <w:szCs w:val="20"/>
          <w:lang w:val="es-CR"/>
        </w:rPr>
        <w:t>,</w:t>
      </w:r>
      <w:r w:rsidR="00C3267F" w:rsidRPr="00F00B22">
        <w:rPr>
          <w:rFonts w:ascii="Verdana" w:hAnsi="Verdana"/>
          <w:sz w:val="20"/>
          <w:szCs w:val="20"/>
          <w:lang w:val="es-CR"/>
        </w:rPr>
        <w:t xml:space="preserve"> para realizar el análisis respectivo de ADN</w:t>
      </w:r>
      <w:r w:rsidR="00CF698C">
        <w:rPr>
          <w:rFonts w:ascii="Verdana" w:hAnsi="Verdana"/>
          <w:sz w:val="20"/>
          <w:szCs w:val="20"/>
          <w:lang w:val="es-CR"/>
        </w:rPr>
        <w:t>, para determinar si</w:t>
      </w:r>
      <w:r w:rsidR="002E54EA">
        <w:rPr>
          <w:rFonts w:ascii="Verdana" w:hAnsi="Verdana"/>
          <w:sz w:val="20"/>
          <w:szCs w:val="20"/>
          <w:lang w:val="es-CR"/>
        </w:rPr>
        <w:t xml:space="preserve"> en el banco genético de esa institución, figuran datos relacionados con [dicha víctima]</w:t>
      </w:r>
      <w:r w:rsidR="00C3267F" w:rsidRPr="00F00B22">
        <w:rPr>
          <w:rFonts w:ascii="Verdana" w:hAnsi="Verdana"/>
          <w:sz w:val="20"/>
          <w:szCs w:val="20"/>
          <w:lang w:val="es-CR"/>
        </w:rPr>
        <w:t xml:space="preserve">”; </w:t>
      </w:r>
      <w:r w:rsidR="002E54EA">
        <w:rPr>
          <w:rFonts w:ascii="Verdana" w:hAnsi="Verdana"/>
          <w:sz w:val="20"/>
          <w:szCs w:val="20"/>
          <w:lang w:val="es-CR"/>
        </w:rPr>
        <w:t>la recepción de la</w:t>
      </w:r>
      <w:r w:rsidR="002E54EA" w:rsidRPr="00F00B22">
        <w:rPr>
          <w:rFonts w:ascii="Verdana" w:hAnsi="Verdana"/>
          <w:sz w:val="20"/>
          <w:szCs w:val="20"/>
          <w:lang w:val="es-CR"/>
        </w:rPr>
        <w:t xml:space="preserve"> </w:t>
      </w:r>
      <w:r w:rsidR="00C3267F" w:rsidRPr="00F00B22">
        <w:rPr>
          <w:rFonts w:ascii="Verdana" w:hAnsi="Verdana"/>
          <w:sz w:val="20"/>
          <w:szCs w:val="20"/>
          <w:lang w:val="es-CR"/>
        </w:rPr>
        <w:t>“declaración testimonial de tres de los hermanos de María Tiu Tojín</w:t>
      </w:r>
      <w:r w:rsidR="002E54EA">
        <w:rPr>
          <w:rFonts w:ascii="Verdana" w:hAnsi="Verdana"/>
          <w:sz w:val="20"/>
          <w:szCs w:val="20"/>
          <w:lang w:val="es-CR"/>
        </w:rPr>
        <w:t xml:space="preserve">, quienes ha[brían] aporta[do] importante </w:t>
      </w:r>
      <w:r w:rsidR="00CF698C">
        <w:rPr>
          <w:rFonts w:ascii="Verdana" w:hAnsi="Verdana"/>
          <w:sz w:val="20"/>
          <w:szCs w:val="20"/>
          <w:lang w:val="es-CR"/>
        </w:rPr>
        <w:t xml:space="preserve">información </w:t>
      </w:r>
      <w:r w:rsidR="002E54EA">
        <w:rPr>
          <w:rFonts w:ascii="Verdana" w:hAnsi="Verdana"/>
          <w:sz w:val="20"/>
          <w:szCs w:val="20"/>
          <w:lang w:val="es-CR"/>
        </w:rPr>
        <w:t>que llevó a la identificación de testigos</w:t>
      </w:r>
      <w:r w:rsidR="00CF698C">
        <w:rPr>
          <w:rFonts w:ascii="Verdana" w:hAnsi="Verdana"/>
          <w:sz w:val="20"/>
          <w:szCs w:val="20"/>
          <w:lang w:val="es-CR"/>
        </w:rPr>
        <w:t>”</w:t>
      </w:r>
      <w:r w:rsidR="002E54EA">
        <w:rPr>
          <w:rFonts w:ascii="Verdana" w:hAnsi="Verdana"/>
          <w:sz w:val="20"/>
          <w:szCs w:val="20"/>
          <w:lang w:val="es-CR"/>
        </w:rPr>
        <w:t>, a quienes se procederá a contactar con apoyo de los querellantes para “recibirles su declaración, […] de ser necesario como anticipo de prueba”, y la obtención de</w:t>
      </w:r>
      <w:r w:rsidR="00C3267F" w:rsidRPr="00F00B22">
        <w:rPr>
          <w:rFonts w:ascii="Verdana" w:hAnsi="Verdana"/>
          <w:sz w:val="20"/>
          <w:szCs w:val="20"/>
          <w:lang w:val="es-CR"/>
        </w:rPr>
        <w:t xml:space="preserve"> “prueba documental con la cual se acredita la identificación de María Tiu Tojín y sus hermanos”.</w:t>
      </w:r>
      <w:r w:rsidR="006E0EDC" w:rsidRPr="00F00B22">
        <w:rPr>
          <w:rFonts w:ascii="Verdana" w:hAnsi="Verdana"/>
          <w:sz w:val="20"/>
          <w:szCs w:val="20"/>
          <w:lang w:val="es-CR"/>
        </w:rPr>
        <w:t xml:space="preserve"> Además, en el informe de octubre de 2015, </w:t>
      </w:r>
      <w:r w:rsidR="00FF7546">
        <w:rPr>
          <w:rFonts w:ascii="Verdana" w:hAnsi="Verdana"/>
          <w:sz w:val="20"/>
          <w:szCs w:val="20"/>
          <w:lang w:val="es-CR"/>
        </w:rPr>
        <w:t>Guatemala</w:t>
      </w:r>
      <w:r w:rsidR="006E0EDC" w:rsidRPr="00F00B22">
        <w:rPr>
          <w:rFonts w:ascii="Verdana" w:hAnsi="Verdana"/>
          <w:sz w:val="20"/>
          <w:szCs w:val="20"/>
          <w:lang w:val="es-CR"/>
        </w:rPr>
        <w:t xml:space="preserve"> destacó</w:t>
      </w:r>
      <w:r w:rsidR="00FF7546">
        <w:rPr>
          <w:rFonts w:ascii="Verdana" w:hAnsi="Verdana"/>
          <w:sz w:val="20"/>
          <w:szCs w:val="20"/>
          <w:lang w:val="es-CR"/>
        </w:rPr>
        <w:t xml:space="preserve"> que</w:t>
      </w:r>
      <w:r w:rsidR="006E0EDC" w:rsidRPr="00F00B22">
        <w:rPr>
          <w:rFonts w:ascii="Verdana" w:hAnsi="Verdana"/>
          <w:sz w:val="20"/>
          <w:szCs w:val="20"/>
          <w:lang w:val="es-CR"/>
        </w:rPr>
        <w:t>, en coordinación con los representantes</w:t>
      </w:r>
      <w:r w:rsidR="002E54EA">
        <w:rPr>
          <w:rFonts w:ascii="Verdana" w:hAnsi="Verdana"/>
          <w:sz w:val="20"/>
          <w:szCs w:val="20"/>
          <w:lang w:val="es-CR"/>
        </w:rPr>
        <w:t xml:space="preserve"> de las víctimas</w:t>
      </w:r>
      <w:r w:rsidR="006E0EDC" w:rsidRPr="00F00B22">
        <w:rPr>
          <w:rFonts w:ascii="Verdana" w:hAnsi="Verdana"/>
          <w:sz w:val="20"/>
          <w:szCs w:val="20"/>
          <w:lang w:val="es-CR"/>
        </w:rPr>
        <w:t>, “se acordó que [estos últimos] localizarían a testigos para tener un primer acercamiento y evaluar si su declaración se recibe en calidad de anticipo de prueba” y que para ello, se habría programado una reunión con ellos “a fin de ubicar a dichas personas”</w:t>
      </w:r>
      <w:r w:rsidR="006E0EDC" w:rsidRPr="0032068E">
        <w:rPr>
          <w:rStyle w:val="FootnoteReference"/>
          <w:rFonts w:ascii="Verdana" w:hAnsi="Verdana"/>
          <w:sz w:val="20"/>
          <w:szCs w:val="20"/>
          <w:lang w:val="es-CR"/>
        </w:rPr>
        <w:footnoteReference w:id="110"/>
      </w:r>
      <w:r w:rsidR="006E0EDC" w:rsidRPr="00F00B22">
        <w:rPr>
          <w:rFonts w:ascii="Verdana" w:hAnsi="Verdana"/>
          <w:sz w:val="20"/>
          <w:szCs w:val="20"/>
          <w:lang w:val="es-CR"/>
        </w:rPr>
        <w:t>.</w:t>
      </w:r>
      <w:r w:rsidR="00C3267F" w:rsidRPr="00F00B22">
        <w:rPr>
          <w:rFonts w:ascii="Verdana" w:hAnsi="Verdana"/>
          <w:sz w:val="20"/>
          <w:szCs w:val="20"/>
          <w:lang w:val="es-CR"/>
        </w:rPr>
        <w:t xml:space="preserve"> </w:t>
      </w:r>
    </w:p>
    <w:p w14:paraId="02FC13C3" w14:textId="77777777" w:rsidR="002E54EA" w:rsidRDefault="002E54EA" w:rsidP="005A2F4F">
      <w:pPr>
        <w:pStyle w:val="ListParagraph"/>
        <w:spacing w:after="0" w:line="240" w:lineRule="auto"/>
        <w:ind w:left="0" w:right="1444"/>
        <w:jc w:val="both"/>
        <w:rPr>
          <w:rFonts w:ascii="Verdana" w:hAnsi="Verdana"/>
          <w:sz w:val="20"/>
          <w:szCs w:val="20"/>
          <w:lang w:val="es-CR"/>
        </w:rPr>
      </w:pPr>
    </w:p>
    <w:p w14:paraId="4C800D5F" w14:textId="7406B500" w:rsidR="00C3267F" w:rsidRPr="00454E54" w:rsidRDefault="00C3267F" w:rsidP="00C3267F">
      <w:pPr>
        <w:pStyle w:val="ListParagraph"/>
        <w:numPr>
          <w:ilvl w:val="0"/>
          <w:numId w:val="2"/>
        </w:numPr>
        <w:spacing w:after="0" w:line="240" w:lineRule="auto"/>
        <w:ind w:left="0" w:right="1444" w:firstLine="0"/>
        <w:jc w:val="both"/>
        <w:rPr>
          <w:rFonts w:ascii="Verdana" w:hAnsi="Verdana"/>
          <w:sz w:val="20"/>
          <w:szCs w:val="20"/>
          <w:lang w:val="es-CR"/>
        </w:rPr>
      </w:pPr>
      <w:r w:rsidRPr="00F00B22">
        <w:rPr>
          <w:rFonts w:ascii="Verdana" w:hAnsi="Verdana"/>
          <w:sz w:val="20"/>
          <w:szCs w:val="20"/>
          <w:lang w:val="es-CR"/>
        </w:rPr>
        <w:t>Al respecto</w:t>
      </w:r>
      <w:r w:rsidR="002E54EA">
        <w:rPr>
          <w:rFonts w:ascii="Verdana" w:hAnsi="Verdana"/>
          <w:sz w:val="20"/>
          <w:szCs w:val="20"/>
          <w:lang w:val="es-CR"/>
        </w:rPr>
        <w:t xml:space="preserve"> de la referida información,</w:t>
      </w:r>
      <w:r w:rsidRPr="00F00B22">
        <w:rPr>
          <w:rFonts w:ascii="Verdana" w:hAnsi="Verdana"/>
          <w:sz w:val="20"/>
          <w:szCs w:val="20"/>
          <w:lang w:val="es-CR"/>
        </w:rPr>
        <w:t xml:space="preserve"> los representantes señalaron que “el Estado no proporciona información sobre qué acciones y diligencias ha realizado para remover los obstáculos que ha encontrado en la investigación”</w:t>
      </w:r>
      <w:r w:rsidR="0047793A">
        <w:rPr>
          <w:rFonts w:ascii="Verdana" w:hAnsi="Verdana"/>
          <w:sz w:val="20"/>
          <w:szCs w:val="20"/>
          <w:lang w:val="es-CR"/>
        </w:rPr>
        <w:t xml:space="preserve">, y que el Estado “no tuvo en cuenta al </w:t>
      </w:r>
      <w:r w:rsidR="0047793A">
        <w:rPr>
          <w:rFonts w:ascii="Verdana" w:hAnsi="Verdana"/>
          <w:sz w:val="20"/>
          <w:szCs w:val="20"/>
          <w:lang w:val="es-CR"/>
        </w:rPr>
        <w:lastRenderedPageBreak/>
        <w:t>momento de rendir sus informes los requerimientos de información que ha realizado la Corte Interamericana</w:t>
      </w:r>
      <w:r w:rsidR="00CF698C">
        <w:rPr>
          <w:rFonts w:ascii="Verdana" w:hAnsi="Verdana"/>
          <w:sz w:val="20"/>
          <w:szCs w:val="20"/>
          <w:lang w:val="es-CR"/>
        </w:rPr>
        <w:t>”</w:t>
      </w:r>
      <w:r w:rsidR="007E3F9C">
        <w:rPr>
          <w:rFonts w:ascii="Verdana" w:hAnsi="Verdana"/>
          <w:sz w:val="20"/>
          <w:szCs w:val="20"/>
          <w:lang w:val="es-CR"/>
        </w:rPr>
        <w:t>.</w:t>
      </w:r>
      <w:r w:rsidRPr="00F00B22">
        <w:rPr>
          <w:rFonts w:ascii="Verdana" w:hAnsi="Verdana"/>
          <w:sz w:val="20"/>
          <w:szCs w:val="20"/>
          <w:lang w:val="es-CR"/>
        </w:rPr>
        <w:t xml:space="preserve"> Igualmente, la Comisión hizo notar que “el Estado no ha atendido la solicitud del Tribunal en su </w:t>
      </w:r>
      <w:r w:rsidR="0047793A">
        <w:rPr>
          <w:rFonts w:ascii="Verdana" w:hAnsi="Verdana"/>
          <w:sz w:val="20"/>
          <w:szCs w:val="20"/>
          <w:lang w:val="es-CR"/>
        </w:rPr>
        <w:t>[…]</w:t>
      </w:r>
      <w:r w:rsidR="0047793A" w:rsidRPr="00F00B22">
        <w:rPr>
          <w:rFonts w:ascii="Verdana" w:hAnsi="Verdana"/>
          <w:sz w:val="20"/>
          <w:szCs w:val="20"/>
          <w:lang w:val="es-CR"/>
        </w:rPr>
        <w:t xml:space="preserve"> </w:t>
      </w:r>
      <w:r w:rsidRPr="00F00B22">
        <w:rPr>
          <w:rFonts w:ascii="Verdana" w:hAnsi="Verdana"/>
          <w:sz w:val="20"/>
          <w:szCs w:val="20"/>
          <w:lang w:val="es-CR"/>
        </w:rPr>
        <w:t>informe</w:t>
      </w:r>
      <w:r w:rsidR="0047793A">
        <w:rPr>
          <w:rFonts w:ascii="Verdana" w:hAnsi="Verdana"/>
          <w:sz w:val="20"/>
          <w:szCs w:val="20"/>
          <w:lang w:val="es-CR"/>
        </w:rPr>
        <w:t xml:space="preserve"> [de abril de 2015]</w:t>
      </w:r>
      <w:r w:rsidRPr="00F00B22">
        <w:rPr>
          <w:rFonts w:ascii="Verdana" w:hAnsi="Verdana"/>
          <w:sz w:val="20"/>
          <w:szCs w:val="20"/>
          <w:lang w:val="es-CR"/>
        </w:rPr>
        <w:t xml:space="preserve">, sino que presenta información sobre diligencias anteriormente ya informadas sin una explicación sobre su pertinencia, resultados obtenidos o esperados, o bien, una indicación sobre las </w:t>
      </w:r>
      <w:r w:rsidRPr="00454E54">
        <w:rPr>
          <w:rFonts w:ascii="Verdana" w:hAnsi="Verdana"/>
          <w:sz w:val="20"/>
          <w:szCs w:val="20"/>
          <w:lang w:val="es-CR"/>
        </w:rPr>
        <w:t>fechas en que fueron efectivamente realizadas”</w:t>
      </w:r>
      <w:bookmarkEnd w:id="99"/>
      <w:r w:rsidR="007E3F9C" w:rsidRPr="00454E54">
        <w:rPr>
          <w:rFonts w:ascii="Verdana" w:hAnsi="Verdana"/>
          <w:sz w:val="20"/>
          <w:szCs w:val="20"/>
          <w:lang w:val="es-CR"/>
        </w:rPr>
        <w:t>.</w:t>
      </w:r>
    </w:p>
    <w:p w14:paraId="678DC1B6" w14:textId="77777777" w:rsidR="00C3267F" w:rsidRPr="00734BCA" w:rsidRDefault="00C3267F" w:rsidP="00C3267F">
      <w:pPr>
        <w:pStyle w:val="ListParagraph"/>
        <w:spacing w:after="0" w:line="240" w:lineRule="auto"/>
        <w:ind w:left="0" w:right="1444"/>
        <w:jc w:val="both"/>
        <w:rPr>
          <w:rFonts w:ascii="Verdana" w:hAnsi="Verdana"/>
          <w:sz w:val="20"/>
          <w:szCs w:val="20"/>
          <w:lang w:val="es-CR"/>
        </w:rPr>
      </w:pPr>
    </w:p>
    <w:p w14:paraId="444D58E8" w14:textId="4FEBD8C3" w:rsidR="00C3267F" w:rsidRPr="00454E54" w:rsidRDefault="00C3267F" w:rsidP="00C3267F">
      <w:pPr>
        <w:pStyle w:val="ListParagraph"/>
        <w:numPr>
          <w:ilvl w:val="0"/>
          <w:numId w:val="2"/>
        </w:numPr>
        <w:spacing w:after="0" w:line="240" w:lineRule="auto"/>
        <w:ind w:left="0" w:right="1444" w:firstLine="0"/>
        <w:jc w:val="both"/>
        <w:rPr>
          <w:rFonts w:ascii="Verdana" w:hAnsi="Verdana"/>
          <w:sz w:val="20"/>
          <w:szCs w:val="20"/>
          <w:lang w:val="es-CR"/>
        </w:rPr>
      </w:pPr>
      <w:r w:rsidRPr="00734BCA">
        <w:rPr>
          <w:rFonts w:ascii="Verdana" w:hAnsi="Verdana"/>
          <w:sz w:val="20"/>
          <w:szCs w:val="20"/>
          <w:lang w:val="es-CR"/>
        </w:rPr>
        <w:t xml:space="preserve">La </w:t>
      </w:r>
      <w:r w:rsidRPr="00CF698C">
        <w:rPr>
          <w:rFonts w:ascii="Verdana" w:hAnsi="Verdana"/>
          <w:sz w:val="20"/>
          <w:szCs w:val="20"/>
          <w:lang w:val="es-CR"/>
        </w:rPr>
        <w:t>Corte hace notar que</w:t>
      </w:r>
      <w:r w:rsidR="002E68D8" w:rsidRPr="00CF698C">
        <w:rPr>
          <w:rFonts w:ascii="Verdana" w:hAnsi="Verdana"/>
          <w:sz w:val="20"/>
          <w:szCs w:val="20"/>
          <w:lang w:val="es-CR"/>
        </w:rPr>
        <w:t xml:space="preserve"> tanto</w:t>
      </w:r>
      <w:r w:rsidR="00895970" w:rsidRPr="00CF698C">
        <w:rPr>
          <w:rFonts w:ascii="Verdana" w:hAnsi="Verdana"/>
          <w:sz w:val="20"/>
          <w:szCs w:val="20"/>
          <w:lang w:val="es-CR"/>
        </w:rPr>
        <w:t xml:space="preserve"> el Estado, en sus informes de 2011</w:t>
      </w:r>
      <w:r w:rsidR="00D37766" w:rsidRPr="00CF698C">
        <w:rPr>
          <w:rStyle w:val="FootnoteReference"/>
          <w:rFonts w:ascii="Verdana" w:hAnsi="Verdana"/>
          <w:sz w:val="20"/>
          <w:szCs w:val="20"/>
          <w:lang w:val="es-CR"/>
        </w:rPr>
        <w:footnoteReference w:id="111"/>
      </w:r>
      <w:r w:rsidR="00895970" w:rsidRPr="00CF698C">
        <w:rPr>
          <w:rFonts w:ascii="Verdana" w:hAnsi="Verdana"/>
          <w:sz w:val="20"/>
          <w:szCs w:val="20"/>
          <w:lang w:val="es-CR"/>
        </w:rPr>
        <w:t xml:space="preserve"> y de abril de 2015</w:t>
      </w:r>
      <w:r w:rsidR="00D37766" w:rsidRPr="00CF698C">
        <w:rPr>
          <w:rFonts w:ascii="Verdana" w:hAnsi="Verdana"/>
          <w:sz w:val="20"/>
          <w:szCs w:val="20"/>
          <w:lang w:val="es-CR"/>
        </w:rPr>
        <w:t xml:space="preserve"> (</w:t>
      </w:r>
      <w:r w:rsidR="00D37766" w:rsidRPr="00CF698C">
        <w:rPr>
          <w:rFonts w:ascii="Verdana" w:hAnsi="Verdana"/>
          <w:i/>
          <w:sz w:val="20"/>
          <w:szCs w:val="20"/>
          <w:lang w:val="es-CR"/>
        </w:rPr>
        <w:t>supra</w:t>
      </w:r>
      <w:r w:rsidR="00D37766" w:rsidRPr="00CF698C">
        <w:rPr>
          <w:rFonts w:ascii="Verdana" w:hAnsi="Verdana"/>
          <w:sz w:val="20"/>
          <w:szCs w:val="20"/>
          <w:lang w:val="es-CR"/>
        </w:rPr>
        <w:t xml:space="preserve"> Considerando 104)</w:t>
      </w:r>
      <w:r w:rsidR="00895970" w:rsidRPr="00CF698C">
        <w:rPr>
          <w:rFonts w:ascii="Verdana" w:hAnsi="Verdana"/>
          <w:sz w:val="20"/>
          <w:szCs w:val="20"/>
          <w:lang w:val="es-CR"/>
        </w:rPr>
        <w:t>,</w:t>
      </w:r>
      <w:r w:rsidR="00895970" w:rsidRPr="00454E54">
        <w:rPr>
          <w:rFonts w:ascii="Verdana" w:hAnsi="Verdana"/>
          <w:sz w:val="20"/>
          <w:szCs w:val="20"/>
          <w:lang w:val="es-CR"/>
        </w:rPr>
        <w:t xml:space="preserve"> </w:t>
      </w:r>
      <w:r w:rsidR="002E68D8" w:rsidRPr="00454E54">
        <w:rPr>
          <w:rFonts w:ascii="Verdana" w:hAnsi="Verdana"/>
          <w:sz w:val="20"/>
          <w:szCs w:val="20"/>
          <w:lang w:val="es-CR"/>
        </w:rPr>
        <w:t>como los representantes y la C</w:t>
      </w:r>
      <w:r w:rsidR="002E68D8" w:rsidRPr="00734BCA">
        <w:rPr>
          <w:rFonts w:ascii="Verdana" w:hAnsi="Verdana"/>
          <w:sz w:val="20"/>
          <w:szCs w:val="20"/>
          <w:lang w:val="es-CR"/>
        </w:rPr>
        <w:t xml:space="preserve">omisión, han hecho referencia </w:t>
      </w:r>
      <w:r w:rsidR="00895970" w:rsidRPr="00734BCA">
        <w:rPr>
          <w:rFonts w:ascii="Verdana" w:hAnsi="Verdana"/>
          <w:sz w:val="20"/>
          <w:szCs w:val="20"/>
          <w:lang w:val="es-CR"/>
        </w:rPr>
        <w:t xml:space="preserve">a la medida </w:t>
      </w:r>
      <w:r w:rsidR="00D37766" w:rsidRPr="00734BCA">
        <w:rPr>
          <w:rFonts w:ascii="Verdana" w:hAnsi="Verdana"/>
          <w:sz w:val="20"/>
          <w:szCs w:val="20"/>
          <w:lang w:val="es-CR"/>
        </w:rPr>
        <w:t xml:space="preserve">de reparación </w:t>
      </w:r>
      <w:r w:rsidR="00895970" w:rsidRPr="00734BCA">
        <w:rPr>
          <w:rFonts w:ascii="Verdana" w:hAnsi="Verdana"/>
          <w:sz w:val="20"/>
          <w:szCs w:val="20"/>
          <w:lang w:val="es-CR"/>
        </w:rPr>
        <w:t xml:space="preserve">correspondiente a la </w:t>
      </w:r>
      <w:r w:rsidR="00D37766" w:rsidRPr="000B5905">
        <w:rPr>
          <w:rFonts w:ascii="Verdana" w:hAnsi="Verdana"/>
          <w:sz w:val="20"/>
          <w:szCs w:val="20"/>
          <w:lang w:val="es-CR"/>
        </w:rPr>
        <w:t xml:space="preserve">“búsqueda y localización </w:t>
      </w:r>
      <w:r w:rsidR="00895970" w:rsidRPr="00D11684">
        <w:rPr>
          <w:rFonts w:ascii="Verdana" w:hAnsi="Verdana"/>
          <w:sz w:val="20"/>
          <w:szCs w:val="20"/>
          <w:lang w:val="es-CR"/>
        </w:rPr>
        <w:t>de María y Josefa Tiu Tojín</w:t>
      </w:r>
      <w:r w:rsidR="00D37766" w:rsidRPr="00D11684">
        <w:rPr>
          <w:rFonts w:ascii="Verdana" w:hAnsi="Verdana"/>
          <w:sz w:val="20"/>
          <w:szCs w:val="20"/>
          <w:lang w:val="es-CR"/>
        </w:rPr>
        <w:t>”</w:t>
      </w:r>
      <w:r w:rsidR="00D37766" w:rsidRPr="00A42E11">
        <w:rPr>
          <w:rFonts w:ascii="Verdana" w:hAnsi="Verdana"/>
          <w:sz w:val="20"/>
          <w:szCs w:val="20"/>
          <w:lang w:val="es-CR"/>
        </w:rPr>
        <w:t xml:space="preserve">, ordenada en el punto </w:t>
      </w:r>
      <w:r w:rsidR="00D37766" w:rsidRPr="00853A2C">
        <w:rPr>
          <w:rFonts w:ascii="Verdana" w:hAnsi="Verdana"/>
          <w:sz w:val="20"/>
          <w:szCs w:val="20"/>
          <w:lang w:val="es-CR"/>
        </w:rPr>
        <w:t>dispositivo séptimo de la Sentencia</w:t>
      </w:r>
      <w:r w:rsidR="00895970" w:rsidRPr="00454E54">
        <w:rPr>
          <w:rFonts w:ascii="Verdana" w:hAnsi="Verdana"/>
          <w:sz w:val="20"/>
          <w:szCs w:val="20"/>
          <w:lang w:val="es-CR"/>
        </w:rPr>
        <w:t xml:space="preserve">. </w:t>
      </w:r>
      <w:r w:rsidR="00CF698C">
        <w:rPr>
          <w:rFonts w:ascii="Verdana" w:hAnsi="Verdana"/>
          <w:sz w:val="20"/>
          <w:szCs w:val="20"/>
          <w:lang w:val="es-CR"/>
        </w:rPr>
        <w:t>Aun cuando la ejecución de ambas obligaciones guardan relación, d</w:t>
      </w:r>
      <w:r w:rsidR="002E68D8" w:rsidRPr="00734BCA">
        <w:rPr>
          <w:rFonts w:ascii="Verdana" w:hAnsi="Verdana"/>
          <w:sz w:val="20"/>
          <w:szCs w:val="20"/>
          <w:lang w:val="es-CR"/>
        </w:rPr>
        <w:t>icha información</w:t>
      </w:r>
      <w:r w:rsidRPr="00734BCA">
        <w:rPr>
          <w:rFonts w:ascii="Verdana" w:hAnsi="Verdana"/>
          <w:sz w:val="20"/>
          <w:szCs w:val="20"/>
          <w:lang w:val="es-CR"/>
        </w:rPr>
        <w:t xml:space="preserve"> será valorada en una Resolución posterior</w:t>
      </w:r>
      <w:r w:rsidR="002E68D8" w:rsidRPr="00734BCA">
        <w:rPr>
          <w:rFonts w:ascii="Verdana" w:hAnsi="Verdana"/>
          <w:sz w:val="20"/>
          <w:szCs w:val="20"/>
          <w:lang w:val="es-CR"/>
        </w:rPr>
        <w:t>, ya que</w:t>
      </w:r>
      <w:r w:rsidR="002E68D8" w:rsidRPr="000B5905">
        <w:rPr>
          <w:rFonts w:ascii="Verdana" w:hAnsi="Verdana"/>
          <w:sz w:val="20"/>
          <w:szCs w:val="20"/>
          <w:lang w:val="es-CR"/>
        </w:rPr>
        <w:t xml:space="preserve"> el objeto de </w:t>
      </w:r>
      <w:r w:rsidRPr="000B5905">
        <w:rPr>
          <w:rFonts w:ascii="Verdana" w:hAnsi="Verdana"/>
          <w:sz w:val="20"/>
          <w:szCs w:val="20"/>
          <w:lang w:val="es-CR"/>
        </w:rPr>
        <w:t xml:space="preserve">la presente resolución </w:t>
      </w:r>
      <w:r w:rsidRPr="00D11684">
        <w:rPr>
          <w:rFonts w:ascii="Verdana" w:hAnsi="Verdana"/>
          <w:sz w:val="20"/>
          <w:szCs w:val="20"/>
          <w:lang w:val="es-CR"/>
        </w:rPr>
        <w:t>se limita</w:t>
      </w:r>
      <w:r w:rsidRPr="00A42E11">
        <w:rPr>
          <w:rFonts w:ascii="Verdana" w:hAnsi="Verdana"/>
          <w:sz w:val="20"/>
          <w:szCs w:val="20"/>
          <w:lang w:val="es-CR"/>
        </w:rPr>
        <w:t xml:space="preserve"> a analizar la </w:t>
      </w:r>
      <w:r w:rsidRPr="004931DE">
        <w:rPr>
          <w:rFonts w:ascii="Verdana" w:hAnsi="Verdana"/>
          <w:sz w:val="20"/>
          <w:szCs w:val="20"/>
          <w:lang w:val="es-CR"/>
        </w:rPr>
        <w:t xml:space="preserve">obligación de investigar, juzgar y, de ser el caso, sancionar a los responsables de las violaciones a derechos humanos ocurridas en </w:t>
      </w:r>
      <w:r w:rsidR="002E68D8" w:rsidRPr="00151D99">
        <w:rPr>
          <w:rFonts w:ascii="Verdana" w:hAnsi="Verdana"/>
          <w:sz w:val="20"/>
          <w:szCs w:val="20"/>
          <w:lang w:val="es-CR"/>
        </w:rPr>
        <w:t xml:space="preserve">los doce </w:t>
      </w:r>
      <w:r w:rsidRPr="00151D99">
        <w:rPr>
          <w:rFonts w:ascii="Verdana" w:hAnsi="Verdana"/>
          <w:sz w:val="20"/>
          <w:szCs w:val="20"/>
          <w:lang w:val="es-CR"/>
        </w:rPr>
        <w:t>caso</w:t>
      </w:r>
      <w:r w:rsidR="00CF698C">
        <w:rPr>
          <w:rFonts w:ascii="Verdana" w:hAnsi="Verdana"/>
          <w:sz w:val="20"/>
          <w:szCs w:val="20"/>
          <w:lang w:val="es-CR"/>
        </w:rPr>
        <w:t>s</w:t>
      </w:r>
      <w:r w:rsidRPr="00151D99">
        <w:rPr>
          <w:rFonts w:ascii="Verdana" w:hAnsi="Verdana"/>
          <w:sz w:val="20"/>
          <w:szCs w:val="20"/>
          <w:lang w:val="es-CR"/>
        </w:rPr>
        <w:t xml:space="preserve"> bajo estudio.</w:t>
      </w:r>
      <w:r w:rsidR="00895970" w:rsidRPr="00151D99">
        <w:rPr>
          <w:rFonts w:ascii="Verdana" w:hAnsi="Verdana"/>
          <w:sz w:val="20"/>
          <w:szCs w:val="20"/>
          <w:lang w:val="es-CR"/>
        </w:rPr>
        <w:t xml:space="preserve"> </w:t>
      </w:r>
    </w:p>
    <w:p w14:paraId="6658846F" w14:textId="77777777" w:rsidR="00C3267F" w:rsidRPr="0032068E" w:rsidRDefault="00C3267F" w:rsidP="00C3267F">
      <w:pPr>
        <w:pStyle w:val="ListParagraph"/>
        <w:rPr>
          <w:rFonts w:ascii="Verdana" w:hAnsi="Verdana"/>
          <w:sz w:val="20"/>
          <w:szCs w:val="20"/>
          <w:lang w:val="es-CR"/>
        </w:rPr>
      </w:pPr>
    </w:p>
    <w:p w14:paraId="4618365C" w14:textId="3F6C9B17" w:rsidR="00145A8F" w:rsidRPr="0032068E" w:rsidRDefault="00C3267F" w:rsidP="00145A8F">
      <w:pPr>
        <w:pStyle w:val="ListParagraph"/>
        <w:numPr>
          <w:ilvl w:val="0"/>
          <w:numId w:val="2"/>
        </w:numPr>
        <w:spacing w:after="0" w:line="240" w:lineRule="auto"/>
        <w:ind w:left="0" w:right="1444" w:firstLine="0"/>
        <w:jc w:val="both"/>
        <w:rPr>
          <w:rFonts w:ascii="Verdana" w:hAnsi="Verdana"/>
          <w:sz w:val="20"/>
          <w:szCs w:val="20"/>
          <w:lang w:val="es-CR"/>
        </w:rPr>
      </w:pPr>
      <w:bookmarkStart w:id="100" w:name="_Ref437962830"/>
      <w:r w:rsidRPr="0032068E">
        <w:rPr>
          <w:rFonts w:ascii="Verdana" w:hAnsi="Verdana"/>
          <w:sz w:val="20"/>
          <w:szCs w:val="20"/>
          <w:lang w:val="es-CR"/>
        </w:rPr>
        <w:t>En este sentido, la Corte observa</w:t>
      </w:r>
      <w:r w:rsidR="00544B42">
        <w:rPr>
          <w:rFonts w:ascii="Verdana" w:hAnsi="Verdana"/>
          <w:sz w:val="20"/>
          <w:szCs w:val="20"/>
          <w:lang w:val="es-CR"/>
        </w:rPr>
        <w:t xml:space="preserve"> que </w:t>
      </w:r>
      <w:r w:rsidR="00544B42" w:rsidRPr="0032068E">
        <w:rPr>
          <w:rFonts w:ascii="Verdana" w:hAnsi="Verdana"/>
          <w:sz w:val="20"/>
          <w:szCs w:val="20"/>
          <w:lang w:val="es-CR"/>
        </w:rPr>
        <w:t xml:space="preserve">hechos del presente caso ocurrieron hace aproximadamente 25 años, y que la </w:t>
      </w:r>
      <w:r w:rsidR="00544B42">
        <w:rPr>
          <w:rFonts w:ascii="Verdana" w:hAnsi="Verdana"/>
          <w:sz w:val="20"/>
          <w:szCs w:val="20"/>
          <w:lang w:val="es-CR"/>
        </w:rPr>
        <w:t>S</w:t>
      </w:r>
      <w:r w:rsidR="00544B42" w:rsidRPr="0032068E">
        <w:rPr>
          <w:rFonts w:ascii="Verdana" w:hAnsi="Verdana"/>
          <w:sz w:val="20"/>
          <w:szCs w:val="20"/>
          <w:lang w:val="es-CR"/>
        </w:rPr>
        <w:t>entencia fue dictada hace aproximadamente 7 años</w:t>
      </w:r>
      <w:r w:rsidR="006C2FB3">
        <w:rPr>
          <w:rFonts w:ascii="Verdana" w:hAnsi="Verdana"/>
          <w:sz w:val="20"/>
          <w:szCs w:val="20"/>
          <w:lang w:val="es-CR"/>
        </w:rPr>
        <w:t>,</w:t>
      </w:r>
      <w:r w:rsidR="00544B42" w:rsidRPr="0032068E">
        <w:rPr>
          <w:rFonts w:ascii="Verdana" w:hAnsi="Verdana"/>
          <w:sz w:val="20"/>
          <w:szCs w:val="20"/>
          <w:lang w:val="es-CR"/>
        </w:rPr>
        <w:t xml:space="preserve"> </w:t>
      </w:r>
      <w:r w:rsidR="00544B42">
        <w:rPr>
          <w:rFonts w:ascii="Verdana" w:hAnsi="Verdana"/>
          <w:sz w:val="20"/>
          <w:szCs w:val="20"/>
          <w:lang w:val="es-CR"/>
        </w:rPr>
        <w:t>sin q</w:t>
      </w:r>
      <w:r w:rsidR="006C2FB3">
        <w:rPr>
          <w:rFonts w:ascii="Verdana" w:hAnsi="Verdana"/>
          <w:sz w:val="20"/>
          <w:szCs w:val="20"/>
          <w:lang w:val="es-CR"/>
        </w:rPr>
        <w:t xml:space="preserve">ue hasta la fecha </w:t>
      </w:r>
      <w:r w:rsidR="00544B42">
        <w:rPr>
          <w:rFonts w:ascii="Verdana" w:hAnsi="Verdana"/>
          <w:sz w:val="20"/>
          <w:szCs w:val="20"/>
          <w:lang w:val="es-CR"/>
        </w:rPr>
        <w:t>se hayan dado avances sustanciales en la investigación de la desaparición forzada</w:t>
      </w:r>
      <w:r w:rsidR="006C2FB3">
        <w:rPr>
          <w:rFonts w:ascii="Verdana" w:hAnsi="Verdana"/>
          <w:sz w:val="20"/>
          <w:szCs w:val="20"/>
          <w:lang w:val="es-CR"/>
        </w:rPr>
        <w:t xml:space="preserve"> de las víctimas de este caso. Asimismo, la Corte hace notar</w:t>
      </w:r>
      <w:r w:rsidR="00544B42">
        <w:rPr>
          <w:rFonts w:ascii="Verdana" w:hAnsi="Verdana"/>
          <w:sz w:val="20"/>
          <w:szCs w:val="20"/>
          <w:lang w:val="es-CR"/>
        </w:rPr>
        <w:t xml:space="preserve"> </w:t>
      </w:r>
      <w:r w:rsidRPr="0032068E">
        <w:rPr>
          <w:rFonts w:ascii="Verdana" w:hAnsi="Verdana"/>
          <w:sz w:val="20"/>
          <w:szCs w:val="20"/>
          <w:lang w:val="es-CR"/>
        </w:rPr>
        <w:t>que</w:t>
      </w:r>
      <w:r w:rsidR="004909E7">
        <w:rPr>
          <w:rFonts w:ascii="Verdana" w:hAnsi="Verdana"/>
          <w:sz w:val="20"/>
          <w:szCs w:val="20"/>
          <w:lang w:val="es-CR"/>
        </w:rPr>
        <w:t>,</w:t>
      </w:r>
      <w:r w:rsidRPr="0032068E">
        <w:rPr>
          <w:rFonts w:ascii="Verdana" w:hAnsi="Verdana"/>
          <w:sz w:val="20"/>
          <w:szCs w:val="20"/>
          <w:lang w:val="es-CR"/>
        </w:rPr>
        <w:t xml:space="preserve"> </w:t>
      </w:r>
      <w:r w:rsidR="004909E7">
        <w:rPr>
          <w:rFonts w:ascii="Verdana" w:hAnsi="Verdana"/>
          <w:sz w:val="20"/>
          <w:szCs w:val="20"/>
          <w:lang w:val="es-CR"/>
        </w:rPr>
        <w:t xml:space="preserve">a pesar del requerimiento detallado que se realizó al Estado en la Resolución de mayo de </w:t>
      </w:r>
      <w:r w:rsidR="004909E7" w:rsidRPr="00CB405D">
        <w:rPr>
          <w:rFonts w:ascii="Verdana" w:hAnsi="Verdana"/>
          <w:sz w:val="20"/>
          <w:szCs w:val="20"/>
          <w:lang w:val="es-CR"/>
        </w:rPr>
        <w:t>2011 (</w:t>
      </w:r>
      <w:r w:rsidR="004909E7" w:rsidRPr="00CB405D">
        <w:rPr>
          <w:rFonts w:ascii="Verdana" w:hAnsi="Verdana"/>
          <w:i/>
          <w:sz w:val="20"/>
          <w:szCs w:val="20"/>
          <w:lang w:val="es-CR"/>
        </w:rPr>
        <w:t>supra</w:t>
      </w:r>
      <w:r w:rsidR="004909E7" w:rsidRPr="00CB405D">
        <w:rPr>
          <w:rFonts w:ascii="Verdana" w:hAnsi="Verdana"/>
          <w:sz w:val="20"/>
          <w:szCs w:val="20"/>
          <w:lang w:val="es-CR"/>
        </w:rPr>
        <w:t xml:space="preserve"> Considerando 102),</w:t>
      </w:r>
      <w:r w:rsidR="004909E7">
        <w:rPr>
          <w:rFonts w:ascii="Verdana" w:hAnsi="Verdana"/>
          <w:sz w:val="20"/>
          <w:szCs w:val="20"/>
          <w:lang w:val="es-CR"/>
        </w:rPr>
        <w:t xml:space="preserve"> </w:t>
      </w:r>
      <w:r w:rsidRPr="0032068E">
        <w:rPr>
          <w:rFonts w:ascii="Verdana" w:hAnsi="Verdana"/>
          <w:sz w:val="20"/>
          <w:szCs w:val="20"/>
          <w:lang w:val="es-CR"/>
        </w:rPr>
        <w:t>de la información proporcionada por el Estado no se desprenden con claridad la</w:t>
      </w:r>
      <w:r w:rsidR="00544B42">
        <w:rPr>
          <w:rFonts w:ascii="Verdana" w:hAnsi="Verdana"/>
          <w:sz w:val="20"/>
          <w:szCs w:val="20"/>
          <w:lang w:val="es-CR"/>
        </w:rPr>
        <w:t xml:space="preserve"> totalidad de </w:t>
      </w:r>
      <w:r w:rsidRPr="0032068E">
        <w:rPr>
          <w:rFonts w:ascii="Verdana" w:hAnsi="Verdana"/>
          <w:sz w:val="20"/>
          <w:szCs w:val="20"/>
          <w:lang w:val="es-CR"/>
        </w:rPr>
        <w:t xml:space="preserve">actuaciones que </w:t>
      </w:r>
      <w:r w:rsidR="00544B42">
        <w:rPr>
          <w:rFonts w:ascii="Verdana" w:hAnsi="Verdana"/>
          <w:sz w:val="20"/>
          <w:szCs w:val="20"/>
          <w:lang w:val="es-CR"/>
        </w:rPr>
        <w:t>se</w:t>
      </w:r>
      <w:r w:rsidRPr="0032068E">
        <w:rPr>
          <w:rFonts w:ascii="Verdana" w:hAnsi="Verdana"/>
          <w:sz w:val="20"/>
          <w:szCs w:val="20"/>
          <w:lang w:val="es-CR"/>
        </w:rPr>
        <w:t xml:space="preserve"> habría</w:t>
      </w:r>
      <w:r w:rsidR="00544B42">
        <w:rPr>
          <w:rFonts w:ascii="Verdana" w:hAnsi="Verdana"/>
          <w:sz w:val="20"/>
          <w:szCs w:val="20"/>
          <w:lang w:val="es-CR"/>
        </w:rPr>
        <w:t>n</w:t>
      </w:r>
      <w:r w:rsidRPr="0032068E">
        <w:rPr>
          <w:rFonts w:ascii="Verdana" w:hAnsi="Verdana"/>
          <w:sz w:val="20"/>
          <w:szCs w:val="20"/>
          <w:lang w:val="es-CR"/>
        </w:rPr>
        <w:t xml:space="preserve"> realizado</w:t>
      </w:r>
      <w:r w:rsidR="00544B42">
        <w:rPr>
          <w:rFonts w:ascii="Verdana" w:hAnsi="Verdana"/>
          <w:sz w:val="20"/>
          <w:szCs w:val="20"/>
          <w:lang w:val="es-CR"/>
        </w:rPr>
        <w:t xml:space="preserve"> hasta la fecha</w:t>
      </w:r>
      <w:r w:rsidRPr="0032068E">
        <w:rPr>
          <w:rFonts w:ascii="Verdana" w:hAnsi="Verdana"/>
          <w:sz w:val="20"/>
          <w:szCs w:val="20"/>
          <w:lang w:val="es-CR"/>
        </w:rPr>
        <w:t xml:space="preserve"> para avanzar en la investigación</w:t>
      </w:r>
      <w:r w:rsidR="001369A7" w:rsidRPr="0032068E">
        <w:rPr>
          <w:rFonts w:ascii="Verdana" w:hAnsi="Verdana"/>
          <w:sz w:val="20"/>
          <w:szCs w:val="20"/>
          <w:lang w:val="es-CR"/>
        </w:rPr>
        <w:t xml:space="preserve">, ni alguna estrategia sobre cómo </w:t>
      </w:r>
      <w:r w:rsidR="00544B42">
        <w:rPr>
          <w:rFonts w:ascii="Verdana" w:hAnsi="Verdana"/>
          <w:sz w:val="20"/>
          <w:szCs w:val="20"/>
          <w:lang w:val="es-CR"/>
        </w:rPr>
        <w:t xml:space="preserve">se </w:t>
      </w:r>
      <w:r w:rsidR="001369A7" w:rsidRPr="0032068E">
        <w:rPr>
          <w:rFonts w:ascii="Verdana" w:hAnsi="Verdana"/>
          <w:sz w:val="20"/>
          <w:szCs w:val="20"/>
          <w:lang w:val="es-CR"/>
        </w:rPr>
        <w:t>procederá con la misma</w:t>
      </w:r>
      <w:r w:rsidRPr="0032068E">
        <w:rPr>
          <w:rFonts w:ascii="Verdana" w:hAnsi="Verdana"/>
          <w:sz w:val="20"/>
          <w:szCs w:val="20"/>
          <w:lang w:val="es-CR"/>
        </w:rPr>
        <w:t xml:space="preserve">. </w:t>
      </w:r>
      <w:r w:rsidR="00145A8F" w:rsidRPr="00145A8F">
        <w:rPr>
          <w:rFonts w:ascii="Verdana" w:hAnsi="Verdana"/>
          <w:sz w:val="20"/>
          <w:szCs w:val="20"/>
          <w:lang w:val="es-CR"/>
        </w:rPr>
        <w:t xml:space="preserve"> </w:t>
      </w:r>
      <w:r w:rsidR="00145A8F" w:rsidRPr="0032068E">
        <w:rPr>
          <w:rFonts w:ascii="Verdana" w:hAnsi="Verdana"/>
          <w:sz w:val="20"/>
          <w:szCs w:val="20"/>
          <w:lang w:val="es-CR"/>
        </w:rPr>
        <w:t xml:space="preserve">Por lo tanto, </w:t>
      </w:r>
      <w:r w:rsidR="00145A8F">
        <w:rPr>
          <w:rFonts w:ascii="Verdana" w:hAnsi="Verdana"/>
          <w:sz w:val="20"/>
          <w:szCs w:val="20"/>
          <w:lang w:val="es-CR"/>
        </w:rPr>
        <w:t>este Tribunal</w:t>
      </w:r>
      <w:r w:rsidR="00145A8F" w:rsidRPr="0032068E">
        <w:rPr>
          <w:rFonts w:ascii="Verdana" w:hAnsi="Verdana"/>
          <w:sz w:val="20"/>
          <w:szCs w:val="20"/>
          <w:lang w:val="es-CR"/>
        </w:rPr>
        <w:t xml:space="preserve"> requiere al Estado que </w:t>
      </w:r>
      <w:r w:rsidR="00145A8F" w:rsidRPr="0032068E">
        <w:rPr>
          <w:rFonts w:ascii="Verdana" w:hAnsi="Verdana"/>
          <w:sz w:val="20"/>
          <w:szCs w:val="20"/>
          <w:lang w:val="es-UY"/>
        </w:rPr>
        <w:t xml:space="preserve">presente </w:t>
      </w:r>
      <w:r w:rsidR="00145A8F" w:rsidRPr="0032068E">
        <w:rPr>
          <w:rFonts w:ascii="Verdana" w:hAnsi="Verdana"/>
          <w:sz w:val="20"/>
          <w:szCs w:val="20"/>
          <w:lang w:val="es-CR"/>
        </w:rPr>
        <w:t>un cronograma de las diligencias por realizar con el fin de identificar, juzgar y</w:t>
      </w:r>
      <w:r w:rsidR="00CB405D">
        <w:rPr>
          <w:rFonts w:ascii="Verdana" w:hAnsi="Verdana"/>
          <w:sz w:val="20"/>
          <w:szCs w:val="20"/>
          <w:lang w:val="es-CR"/>
        </w:rPr>
        <w:t>, en su caso, sancionar</w:t>
      </w:r>
      <w:r w:rsidR="00145A8F" w:rsidRPr="0032068E">
        <w:rPr>
          <w:rFonts w:ascii="Verdana" w:hAnsi="Verdana"/>
          <w:sz w:val="20"/>
          <w:szCs w:val="20"/>
          <w:lang w:val="es-CR"/>
        </w:rPr>
        <w:t xml:space="preserve"> a los responsables de las violaciones a derechos humanos identificadas en el caso.</w:t>
      </w:r>
    </w:p>
    <w:bookmarkEnd w:id="100"/>
    <w:p w14:paraId="7229ABCB" w14:textId="77777777" w:rsidR="00C3267F" w:rsidRPr="00A25EAA" w:rsidRDefault="00C3267F" w:rsidP="00A25EAA">
      <w:pPr>
        <w:spacing w:after="0" w:line="240" w:lineRule="auto"/>
        <w:ind w:right="1444"/>
        <w:jc w:val="both"/>
        <w:rPr>
          <w:rFonts w:ascii="Verdana" w:hAnsi="Verdana"/>
          <w:sz w:val="20"/>
          <w:szCs w:val="20"/>
          <w:lang w:val="es-CR"/>
        </w:rPr>
      </w:pPr>
    </w:p>
    <w:p w14:paraId="43B06FAD" w14:textId="77777777" w:rsidR="00F15D25" w:rsidRPr="0032068E" w:rsidRDefault="00C3267F" w:rsidP="00AD5701">
      <w:pPr>
        <w:pStyle w:val="Heading3"/>
      </w:pPr>
      <w:bookmarkStart w:id="101" w:name="_Toc435778536"/>
      <w:bookmarkStart w:id="102" w:name="_Toc439248794"/>
      <w:r w:rsidRPr="0032068E">
        <w:t>Caso Masacre de las Dos Erres</w:t>
      </w:r>
      <w:bookmarkEnd w:id="101"/>
      <w:bookmarkEnd w:id="102"/>
    </w:p>
    <w:p w14:paraId="62B90D19" w14:textId="77777777" w:rsidR="00C3267F" w:rsidRPr="0032068E" w:rsidRDefault="00C3267F" w:rsidP="00C3267F">
      <w:pPr>
        <w:pStyle w:val="ListParagraph"/>
        <w:spacing w:after="0" w:line="240" w:lineRule="auto"/>
        <w:ind w:left="1080" w:right="1444"/>
        <w:jc w:val="both"/>
        <w:rPr>
          <w:rFonts w:ascii="Verdana" w:hAnsi="Verdana"/>
          <w:sz w:val="20"/>
          <w:szCs w:val="20"/>
          <w:lang w:val="es-CR"/>
        </w:rPr>
      </w:pPr>
    </w:p>
    <w:p w14:paraId="70385C55" w14:textId="4444187F" w:rsidR="00F15D25" w:rsidRPr="0032068E" w:rsidRDefault="00E86B03" w:rsidP="00D901B8">
      <w:pPr>
        <w:numPr>
          <w:ilvl w:val="0"/>
          <w:numId w:val="2"/>
        </w:numPr>
        <w:spacing w:after="0" w:line="240" w:lineRule="auto"/>
        <w:ind w:left="0" w:right="1444" w:firstLine="0"/>
        <w:contextualSpacing/>
        <w:jc w:val="both"/>
        <w:rPr>
          <w:rFonts w:ascii="Verdana" w:hAnsi="Verdana" w:cs="Verdana"/>
          <w:sz w:val="20"/>
          <w:szCs w:val="20"/>
          <w:lang w:val="es-ES"/>
        </w:rPr>
      </w:pPr>
      <w:bookmarkStart w:id="103" w:name="_Ref437955927"/>
      <w:r>
        <w:rPr>
          <w:rFonts w:ascii="Verdana" w:hAnsi="Verdana" w:cs="Verdana"/>
          <w:sz w:val="20"/>
          <w:szCs w:val="20"/>
          <w:lang w:val="es-ES"/>
        </w:rPr>
        <w:t>L</w:t>
      </w:r>
      <w:r w:rsidR="00C3267F" w:rsidRPr="0032068E">
        <w:rPr>
          <w:rFonts w:ascii="Verdana" w:hAnsi="Verdana" w:cs="Verdana"/>
          <w:sz w:val="20"/>
          <w:szCs w:val="20"/>
          <w:lang w:val="es-ES"/>
        </w:rPr>
        <w:t xml:space="preserve">a Corte </w:t>
      </w:r>
      <w:r w:rsidR="00734BCA">
        <w:rPr>
          <w:rFonts w:ascii="Verdana" w:hAnsi="Verdana" w:cs="Verdana"/>
          <w:sz w:val="20"/>
          <w:szCs w:val="20"/>
          <w:lang w:val="es-ES"/>
        </w:rPr>
        <w:t>hizo constar</w:t>
      </w:r>
      <w:r w:rsidR="00734BCA" w:rsidRPr="0032068E">
        <w:rPr>
          <w:rFonts w:ascii="Verdana" w:hAnsi="Verdana" w:cs="Verdana"/>
          <w:sz w:val="20"/>
          <w:szCs w:val="20"/>
          <w:lang w:val="es-ES"/>
        </w:rPr>
        <w:t xml:space="preserve"> </w:t>
      </w:r>
      <w:r w:rsidR="00C3267F" w:rsidRPr="0032068E">
        <w:rPr>
          <w:rFonts w:ascii="Verdana" w:hAnsi="Verdana" w:cs="Verdana"/>
          <w:sz w:val="20"/>
          <w:szCs w:val="20"/>
          <w:lang w:val="es-ES"/>
        </w:rPr>
        <w:t xml:space="preserve">en su Resolución de </w:t>
      </w:r>
      <w:r w:rsidR="00734BCA">
        <w:rPr>
          <w:rFonts w:ascii="Verdana" w:hAnsi="Verdana" w:cs="Verdana"/>
          <w:sz w:val="20"/>
          <w:szCs w:val="20"/>
          <w:lang w:val="es-ES"/>
        </w:rPr>
        <w:t xml:space="preserve">septiembre de </w:t>
      </w:r>
      <w:r w:rsidR="00C3267F" w:rsidRPr="0032068E">
        <w:rPr>
          <w:rFonts w:ascii="Verdana" w:hAnsi="Verdana" w:cs="Verdana"/>
          <w:sz w:val="20"/>
          <w:szCs w:val="20"/>
          <w:lang w:val="es-ES"/>
        </w:rPr>
        <w:t>2012</w:t>
      </w:r>
      <w:r w:rsidR="00734BCA">
        <w:rPr>
          <w:rStyle w:val="FootnoteReference"/>
          <w:rFonts w:ascii="Verdana" w:hAnsi="Verdana" w:cs="Verdana"/>
          <w:sz w:val="20"/>
          <w:szCs w:val="20"/>
          <w:lang w:val="es-ES"/>
        </w:rPr>
        <w:footnoteReference w:id="112"/>
      </w:r>
      <w:r w:rsidR="00C3267F" w:rsidRPr="0032068E">
        <w:rPr>
          <w:rFonts w:ascii="Verdana" w:hAnsi="Verdana" w:cs="Verdana"/>
          <w:sz w:val="20"/>
          <w:szCs w:val="20"/>
          <w:lang w:val="es-ES"/>
        </w:rPr>
        <w:t xml:space="preserve"> que</w:t>
      </w:r>
      <w:r w:rsidR="00EE5F6E">
        <w:rPr>
          <w:rFonts w:ascii="Verdana" w:hAnsi="Verdana" w:cs="Verdana"/>
          <w:sz w:val="20"/>
          <w:szCs w:val="20"/>
          <w:lang w:val="es-ES"/>
        </w:rPr>
        <w:t xml:space="preserve"> en relación con la investigación de los hechos del presente caso</w:t>
      </w:r>
      <w:r w:rsidR="00C3267F" w:rsidRPr="0032068E">
        <w:rPr>
          <w:rFonts w:ascii="Verdana" w:hAnsi="Verdana" w:cs="Verdana"/>
          <w:sz w:val="20"/>
          <w:szCs w:val="20"/>
          <w:lang w:val="es-ES"/>
        </w:rPr>
        <w:t xml:space="preserve"> el Estado informó que </w:t>
      </w:r>
      <w:r w:rsidR="00734BCA">
        <w:rPr>
          <w:rFonts w:ascii="Verdana" w:hAnsi="Verdana" w:cs="Verdana"/>
          <w:sz w:val="20"/>
          <w:szCs w:val="20"/>
          <w:lang w:val="es-ES"/>
        </w:rPr>
        <w:t xml:space="preserve">el 2 de agosto de 2011 el Tribunal Primero de Sentencia Penal </w:t>
      </w:r>
      <w:r w:rsidR="00EE5F6E">
        <w:rPr>
          <w:rFonts w:ascii="Verdana" w:hAnsi="Verdana" w:cs="Verdana"/>
          <w:sz w:val="20"/>
          <w:szCs w:val="20"/>
          <w:lang w:val="es-ES"/>
        </w:rPr>
        <w:t xml:space="preserve">y Delitos contra el Ambiente dictó una sentencia en la cual </w:t>
      </w:r>
      <w:r w:rsidR="00EE5F6E" w:rsidRPr="0032068E">
        <w:rPr>
          <w:rFonts w:ascii="Verdana" w:hAnsi="Verdana" w:cs="Verdana"/>
          <w:sz w:val="20"/>
          <w:szCs w:val="20"/>
          <w:lang w:val="es-ES"/>
        </w:rPr>
        <w:t>conden</w:t>
      </w:r>
      <w:r w:rsidR="00EE5F6E">
        <w:rPr>
          <w:rFonts w:ascii="Verdana" w:hAnsi="Verdana" w:cs="Verdana"/>
          <w:sz w:val="20"/>
          <w:szCs w:val="20"/>
          <w:lang w:val="es-ES"/>
        </w:rPr>
        <w:t>ó</w:t>
      </w:r>
      <w:r w:rsidR="00EE5F6E" w:rsidRPr="0032068E">
        <w:rPr>
          <w:rFonts w:ascii="Verdana" w:hAnsi="Verdana" w:cs="Verdana"/>
          <w:sz w:val="20"/>
          <w:szCs w:val="20"/>
          <w:lang w:val="es-ES"/>
        </w:rPr>
        <w:t xml:space="preserve"> </w:t>
      </w:r>
      <w:r w:rsidR="00EE5F6E">
        <w:rPr>
          <w:rFonts w:ascii="Verdana" w:hAnsi="Verdana" w:cs="Verdana"/>
          <w:sz w:val="20"/>
          <w:szCs w:val="20"/>
          <w:lang w:val="es-ES"/>
        </w:rPr>
        <w:t>a los sindicados</w:t>
      </w:r>
      <w:r w:rsidR="00EE5F6E" w:rsidRPr="0032068E">
        <w:rPr>
          <w:rFonts w:ascii="Verdana" w:hAnsi="Verdana" w:cs="Verdana"/>
          <w:sz w:val="20"/>
          <w:szCs w:val="20"/>
          <w:lang w:val="es-ES"/>
        </w:rPr>
        <w:t xml:space="preserve"> </w:t>
      </w:r>
      <w:r w:rsidR="00C3267F" w:rsidRPr="0032068E">
        <w:rPr>
          <w:rFonts w:ascii="Verdana" w:hAnsi="Verdana" w:cs="Verdana"/>
          <w:sz w:val="20"/>
          <w:szCs w:val="20"/>
          <w:lang w:val="es-ES"/>
        </w:rPr>
        <w:t xml:space="preserve">Reyes Colin Gualip, Manuel Pop Sun, Daniel Martínez Méndez y Carlos Antonio Carías López </w:t>
      </w:r>
      <w:r w:rsidR="00EE5F6E">
        <w:rPr>
          <w:rFonts w:ascii="Verdana" w:hAnsi="Verdana" w:cs="Verdana"/>
          <w:sz w:val="20"/>
          <w:szCs w:val="20"/>
          <w:lang w:val="es-ES"/>
        </w:rPr>
        <w:t>como “autores del delito de asesinato cometido en contra de la vida e integridad de los pobladores de las Dos Erres, por lo que se les impuso la pena de […] 6,030 años de prisión inconmutables”, y como “autores de los delitos contra los deberes de la humanidad, cometidos en contra de la seguridad del Estado; por lo que se les impuso la pena de 30 años de prisión inconmutables”. Además, en dicha sentencia se condenó al señor Carlos Antonio Carías como “autor del delito de hurto agravado, cometido en contra de los pobladores del Parcelamiento de las Dos Erres, por lo que se le impuso una pena de [seis] años de prisión inconmutables”. Asimismo, en la referida Resolución</w:t>
      </w:r>
      <w:r w:rsidR="006E3984">
        <w:rPr>
          <w:rFonts w:ascii="Verdana" w:hAnsi="Verdana" w:cs="Verdana"/>
          <w:sz w:val="20"/>
          <w:szCs w:val="20"/>
          <w:lang w:val="es-ES"/>
        </w:rPr>
        <w:t xml:space="preserve">, la Corte hizo constar que </w:t>
      </w:r>
      <w:r w:rsidR="000B5905">
        <w:rPr>
          <w:rFonts w:ascii="Verdana" w:hAnsi="Verdana" w:cs="Verdana"/>
          <w:sz w:val="20"/>
          <w:szCs w:val="20"/>
          <w:lang w:val="es-ES"/>
        </w:rPr>
        <w:t>Guatemala informó que el 12 de febrero de 2012 el Tribunal Primero B de Mayor Riesgo emitió una sentencia en la cual resolvió  condenar a</w:t>
      </w:r>
      <w:r w:rsidR="00A25EAA">
        <w:rPr>
          <w:rFonts w:ascii="Verdana" w:hAnsi="Verdana" w:cs="Verdana"/>
          <w:sz w:val="20"/>
          <w:szCs w:val="20"/>
          <w:lang w:val="es-ES"/>
        </w:rPr>
        <w:t>l señor Pedro Pimentel Ríos</w:t>
      </w:r>
      <w:r w:rsidR="00C3267F" w:rsidRPr="0032068E">
        <w:rPr>
          <w:rFonts w:ascii="Verdana" w:hAnsi="Verdana" w:cs="Verdana"/>
          <w:sz w:val="20"/>
          <w:szCs w:val="20"/>
          <w:lang w:val="es-ES"/>
        </w:rPr>
        <w:t xml:space="preserve"> </w:t>
      </w:r>
      <w:r w:rsidR="000B5905">
        <w:rPr>
          <w:rFonts w:ascii="Verdana" w:hAnsi="Verdana" w:cs="Verdana"/>
          <w:sz w:val="20"/>
          <w:szCs w:val="20"/>
          <w:lang w:val="es-ES"/>
        </w:rPr>
        <w:t>a “un total de 6,060 años” de prisión por el “delito de asesinato cometido en contra de la vida de 201 personas que habitaban el Parcelamiento D</w:t>
      </w:r>
      <w:r w:rsidR="00A25EAA">
        <w:rPr>
          <w:rFonts w:ascii="Verdana" w:hAnsi="Verdana" w:cs="Verdana"/>
          <w:sz w:val="20"/>
          <w:szCs w:val="20"/>
          <w:lang w:val="es-ES"/>
        </w:rPr>
        <w:t>os Erres” y por “el delito cont</w:t>
      </w:r>
      <w:r w:rsidR="000B5905">
        <w:rPr>
          <w:rFonts w:ascii="Verdana" w:hAnsi="Verdana" w:cs="Verdana"/>
          <w:sz w:val="20"/>
          <w:szCs w:val="20"/>
          <w:lang w:val="es-ES"/>
        </w:rPr>
        <w:t>ra los deberes de humanidad”</w:t>
      </w:r>
      <w:r w:rsidR="000B5905" w:rsidRPr="000B5905">
        <w:rPr>
          <w:rStyle w:val="FootnoteReference"/>
          <w:rFonts w:ascii="Verdana" w:hAnsi="Verdana" w:cs="Verdana"/>
          <w:sz w:val="20"/>
          <w:szCs w:val="20"/>
          <w:lang w:val="es-ES"/>
        </w:rPr>
        <w:t xml:space="preserve"> </w:t>
      </w:r>
      <w:r w:rsidR="000B5905">
        <w:rPr>
          <w:rStyle w:val="FootnoteReference"/>
          <w:rFonts w:ascii="Verdana" w:hAnsi="Verdana" w:cs="Verdana"/>
          <w:sz w:val="20"/>
          <w:szCs w:val="20"/>
          <w:lang w:val="es-ES"/>
        </w:rPr>
        <w:footnoteReference w:id="113"/>
      </w:r>
      <w:r w:rsidR="000B5905">
        <w:rPr>
          <w:rFonts w:ascii="Verdana" w:hAnsi="Verdana" w:cs="Verdana"/>
          <w:sz w:val="20"/>
          <w:szCs w:val="20"/>
          <w:lang w:val="es-ES"/>
        </w:rPr>
        <w:t xml:space="preserve">. En las dos sentencias penales internas mencionadas se ordenó al Ministerio Público a continuar con la investigación correspondiente en contra de las demás personas que </w:t>
      </w:r>
      <w:r w:rsidR="000B5905">
        <w:rPr>
          <w:rFonts w:ascii="Verdana" w:hAnsi="Verdana" w:cs="Verdana"/>
          <w:sz w:val="20"/>
          <w:szCs w:val="20"/>
          <w:lang w:val="es-ES"/>
        </w:rPr>
        <w:lastRenderedPageBreak/>
        <w:t>pudieren haber participado en los hechos</w:t>
      </w:r>
      <w:r w:rsidR="000B5905">
        <w:rPr>
          <w:rStyle w:val="FootnoteReference"/>
          <w:rFonts w:ascii="Verdana" w:hAnsi="Verdana" w:cs="Verdana"/>
          <w:sz w:val="20"/>
          <w:szCs w:val="20"/>
          <w:lang w:val="es-ES"/>
        </w:rPr>
        <w:footnoteReference w:id="114"/>
      </w:r>
      <w:r w:rsidR="000B5905">
        <w:rPr>
          <w:rFonts w:ascii="Verdana" w:hAnsi="Verdana" w:cs="Verdana"/>
          <w:sz w:val="20"/>
          <w:szCs w:val="20"/>
          <w:lang w:val="es-ES"/>
        </w:rPr>
        <w:t xml:space="preserve">. </w:t>
      </w:r>
      <w:r w:rsidR="000B5905">
        <w:rPr>
          <w:rFonts w:ascii="Verdana" w:hAnsi="Verdana"/>
          <w:sz w:val="20"/>
          <w:szCs w:val="20"/>
          <w:lang w:val="es-CR"/>
        </w:rPr>
        <w:t>Al respecto</w:t>
      </w:r>
      <w:r w:rsidR="00634002" w:rsidRPr="0032068E">
        <w:rPr>
          <w:rFonts w:ascii="Verdana" w:hAnsi="Verdana"/>
          <w:sz w:val="20"/>
          <w:szCs w:val="20"/>
          <w:lang w:val="es-CR"/>
        </w:rPr>
        <w:t xml:space="preserve">, </w:t>
      </w:r>
      <w:r w:rsidR="000B5905">
        <w:rPr>
          <w:rFonts w:ascii="Verdana" w:hAnsi="Verdana"/>
          <w:sz w:val="20"/>
          <w:szCs w:val="20"/>
          <w:lang w:val="es-CR"/>
        </w:rPr>
        <w:t>este Tribunal</w:t>
      </w:r>
      <w:r w:rsidR="00634002" w:rsidRPr="0032068E">
        <w:rPr>
          <w:rFonts w:ascii="Verdana" w:hAnsi="Verdana"/>
          <w:sz w:val="20"/>
          <w:szCs w:val="20"/>
          <w:lang w:val="es-CR"/>
        </w:rPr>
        <w:t xml:space="preserve"> consideró  que “el Estado debe continuar efectuando las diligencias pertinentes para completar la investigación con el propósito de investigar, juzgar y, en su caso, sancionar a todos los responsables de los hechos que originaron las violaciones declaradas en la Sentencia”</w:t>
      </w:r>
      <w:r w:rsidR="000B5905">
        <w:rPr>
          <w:rFonts w:ascii="Verdana" w:hAnsi="Verdana"/>
          <w:sz w:val="20"/>
          <w:szCs w:val="20"/>
          <w:lang w:val="es-CR"/>
        </w:rPr>
        <w:t>,</w:t>
      </w:r>
      <w:r w:rsidR="00634002" w:rsidRPr="0032068E">
        <w:rPr>
          <w:rFonts w:ascii="Verdana" w:hAnsi="Verdana"/>
          <w:sz w:val="20"/>
          <w:szCs w:val="20"/>
          <w:lang w:val="es-CR"/>
        </w:rPr>
        <w:t xml:space="preserve"> y por ello solicitó “que el Estado presente información actualizada, detallada y completa sobre la implementación de la investigación, las diligencias adelantadas y sus resultados, en cumplimiento de la Sentencia”</w:t>
      </w:r>
      <w:r w:rsidR="00E3322A" w:rsidRPr="00E3322A">
        <w:rPr>
          <w:rStyle w:val="FootnoteReference"/>
          <w:rFonts w:ascii="Verdana" w:hAnsi="Verdana" w:cs="Verdana"/>
          <w:sz w:val="20"/>
          <w:szCs w:val="20"/>
          <w:lang w:val="es-ES"/>
        </w:rPr>
        <w:t xml:space="preserve"> </w:t>
      </w:r>
      <w:r w:rsidR="00E3322A">
        <w:rPr>
          <w:rStyle w:val="FootnoteReference"/>
          <w:rFonts w:ascii="Verdana" w:hAnsi="Verdana" w:cs="Verdana"/>
          <w:sz w:val="20"/>
          <w:szCs w:val="20"/>
          <w:lang w:val="es-ES"/>
        </w:rPr>
        <w:footnoteReference w:id="115"/>
      </w:r>
      <w:r w:rsidR="00634002" w:rsidRPr="0032068E">
        <w:rPr>
          <w:rFonts w:ascii="Verdana" w:hAnsi="Verdana"/>
          <w:sz w:val="20"/>
          <w:szCs w:val="20"/>
          <w:lang w:val="es-CR"/>
        </w:rPr>
        <w:t>.</w:t>
      </w:r>
      <w:bookmarkEnd w:id="103"/>
      <w:r w:rsidR="00634002" w:rsidRPr="0032068E">
        <w:rPr>
          <w:rFonts w:ascii="Verdana" w:hAnsi="Verdana"/>
          <w:sz w:val="20"/>
          <w:szCs w:val="20"/>
          <w:lang w:val="es-CR"/>
        </w:rPr>
        <w:t xml:space="preserve"> </w:t>
      </w:r>
    </w:p>
    <w:p w14:paraId="3D3B2A6E" w14:textId="77777777" w:rsidR="00C3267F" w:rsidRPr="0032068E" w:rsidRDefault="00C3267F" w:rsidP="00C3267F">
      <w:pPr>
        <w:pStyle w:val="ListParagraph"/>
        <w:spacing w:after="0" w:line="240" w:lineRule="auto"/>
        <w:ind w:left="0" w:right="1444"/>
        <w:jc w:val="both"/>
        <w:rPr>
          <w:rFonts w:ascii="Verdana" w:hAnsi="Verdana"/>
          <w:sz w:val="20"/>
          <w:szCs w:val="20"/>
          <w:lang w:val="es-CR"/>
        </w:rPr>
      </w:pPr>
    </w:p>
    <w:p w14:paraId="4E489B94" w14:textId="036C91D0" w:rsidR="00706807" w:rsidRDefault="00D11684" w:rsidP="00706807">
      <w:pPr>
        <w:pStyle w:val="ListParagraph"/>
        <w:numPr>
          <w:ilvl w:val="0"/>
          <w:numId w:val="2"/>
        </w:numPr>
        <w:spacing w:after="0" w:line="240" w:lineRule="auto"/>
        <w:ind w:left="0" w:right="1444" w:firstLine="0"/>
        <w:jc w:val="both"/>
        <w:rPr>
          <w:rFonts w:ascii="Verdana" w:hAnsi="Verdana"/>
          <w:sz w:val="20"/>
          <w:szCs w:val="20"/>
          <w:lang w:val="es-CR"/>
        </w:rPr>
      </w:pPr>
      <w:bookmarkStart w:id="104" w:name="_Ref437867993"/>
      <w:r w:rsidRPr="00D11684">
        <w:rPr>
          <w:rFonts w:ascii="Verdana" w:hAnsi="Verdana"/>
          <w:sz w:val="20"/>
          <w:szCs w:val="20"/>
          <w:lang w:val="es-CR"/>
        </w:rPr>
        <w:t>En el informe del Ministerio Público de mayo de 2014 se destacaron las referidas sentencias penales condenatorias respecto de c</w:t>
      </w:r>
      <w:r>
        <w:rPr>
          <w:rFonts w:ascii="Verdana" w:hAnsi="Verdana"/>
          <w:sz w:val="20"/>
          <w:szCs w:val="20"/>
          <w:lang w:val="es-CR"/>
        </w:rPr>
        <w:t>inco</w:t>
      </w:r>
      <w:r w:rsidRPr="00D11684">
        <w:rPr>
          <w:rFonts w:ascii="Verdana" w:hAnsi="Verdana"/>
          <w:sz w:val="20"/>
          <w:szCs w:val="20"/>
          <w:lang w:val="es-CR"/>
        </w:rPr>
        <w:t xml:space="preserve"> personas responsables de los hechos </w:t>
      </w:r>
      <w:r>
        <w:rPr>
          <w:rFonts w:ascii="Verdana" w:hAnsi="Verdana"/>
          <w:sz w:val="20"/>
          <w:szCs w:val="20"/>
          <w:lang w:val="es-CR"/>
        </w:rPr>
        <w:t xml:space="preserve">relacionados con </w:t>
      </w:r>
      <w:r w:rsidRPr="00D11684">
        <w:rPr>
          <w:rFonts w:ascii="Verdana" w:hAnsi="Verdana"/>
          <w:sz w:val="20"/>
          <w:szCs w:val="20"/>
          <w:lang w:val="es-CR"/>
        </w:rPr>
        <w:t>el presente caso como “resultados importantes” dentro de la investigación</w:t>
      </w:r>
      <w:r>
        <w:rPr>
          <w:rFonts w:ascii="Verdana" w:hAnsi="Verdana"/>
          <w:sz w:val="20"/>
          <w:szCs w:val="20"/>
          <w:lang w:val="es-CR"/>
        </w:rPr>
        <w:t>. Asimismo, en dicho informe se señala que, además de las cinco personas condenadas, hay otros dieciocho “sindicados” dentro de la investigación, a saber</w:t>
      </w:r>
      <w:proofErr w:type="gramStart"/>
      <w:r>
        <w:rPr>
          <w:rFonts w:ascii="Verdana" w:hAnsi="Verdana"/>
          <w:sz w:val="20"/>
          <w:szCs w:val="20"/>
          <w:lang w:val="es-CR"/>
        </w:rPr>
        <w:t xml:space="preserve">: </w:t>
      </w:r>
      <w:r w:rsidRPr="0032068E">
        <w:rPr>
          <w:rFonts w:ascii="Verdana" w:hAnsi="Verdana"/>
          <w:sz w:val="20"/>
          <w:szCs w:val="20"/>
          <w:lang w:val="es-CR"/>
        </w:rPr>
        <w:t xml:space="preserve"> el</w:t>
      </w:r>
      <w:proofErr w:type="gramEnd"/>
      <w:r w:rsidRPr="0032068E">
        <w:rPr>
          <w:rFonts w:ascii="Verdana" w:hAnsi="Verdana"/>
          <w:sz w:val="20"/>
          <w:szCs w:val="20"/>
          <w:lang w:val="es-CR"/>
        </w:rPr>
        <w:t xml:space="preserve"> ex Presidente de Guatemala</w:t>
      </w:r>
      <w:r>
        <w:rPr>
          <w:rFonts w:ascii="Verdana" w:hAnsi="Verdana"/>
          <w:sz w:val="20"/>
          <w:szCs w:val="20"/>
          <w:lang w:val="es-CR"/>
        </w:rPr>
        <w:t>,</w:t>
      </w:r>
      <w:r w:rsidRPr="0032068E">
        <w:rPr>
          <w:rFonts w:ascii="Verdana" w:hAnsi="Verdana"/>
          <w:sz w:val="20"/>
          <w:szCs w:val="20"/>
          <w:lang w:val="es-CR"/>
        </w:rPr>
        <w:t xml:space="preserve"> José Efraín Ríos Montt</w:t>
      </w:r>
      <w:r w:rsidR="001E3866">
        <w:rPr>
          <w:rFonts w:ascii="Verdana" w:hAnsi="Verdana"/>
          <w:sz w:val="20"/>
          <w:szCs w:val="20"/>
          <w:lang w:val="es-CR"/>
        </w:rPr>
        <w:t>,</w:t>
      </w:r>
      <w:r w:rsidRPr="0032068E">
        <w:rPr>
          <w:rFonts w:ascii="Verdana" w:hAnsi="Verdana"/>
          <w:sz w:val="20"/>
          <w:szCs w:val="20"/>
          <w:lang w:val="es-CR"/>
        </w:rPr>
        <w:t xml:space="preserve"> y</w:t>
      </w:r>
      <w:r>
        <w:rPr>
          <w:rFonts w:ascii="Verdana" w:hAnsi="Verdana"/>
          <w:sz w:val="20"/>
          <w:szCs w:val="20"/>
          <w:lang w:val="es-CR"/>
        </w:rPr>
        <w:t xml:space="preserve"> diecisiete</w:t>
      </w:r>
      <w:r w:rsidRPr="0032068E">
        <w:rPr>
          <w:rFonts w:ascii="Verdana" w:hAnsi="Verdana"/>
          <w:sz w:val="20"/>
          <w:szCs w:val="20"/>
          <w:lang w:val="es-CR"/>
        </w:rPr>
        <w:t xml:space="preserve"> integrantes de la </w:t>
      </w:r>
      <w:r>
        <w:rPr>
          <w:rFonts w:ascii="Verdana" w:hAnsi="Verdana"/>
          <w:sz w:val="20"/>
          <w:szCs w:val="20"/>
          <w:lang w:val="es-CR"/>
        </w:rPr>
        <w:t>“</w:t>
      </w:r>
      <w:r w:rsidRPr="0032068E">
        <w:rPr>
          <w:rFonts w:ascii="Verdana" w:hAnsi="Verdana"/>
          <w:sz w:val="20"/>
          <w:szCs w:val="20"/>
          <w:lang w:val="es-CR"/>
        </w:rPr>
        <w:t>Patrulla Élite Kaibil</w:t>
      </w:r>
      <w:r>
        <w:rPr>
          <w:rFonts w:ascii="Verdana" w:hAnsi="Verdana"/>
          <w:sz w:val="20"/>
          <w:szCs w:val="20"/>
          <w:lang w:val="es-CR"/>
        </w:rPr>
        <w:t>”</w:t>
      </w:r>
      <w:r w:rsidRPr="0032068E">
        <w:rPr>
          <w:rStyle w:val="FootnoteReference"/>
          <w:rFonts w:ascii="Verdana" w:hAnsi="Verdana"/>
          <w:sz w:val="20"/>
          <w:szCs w:val="20"/>
          <w:lang w:val="es-CR"/>
        </w:rPr>
        <w:footnoteReference w:id="116"/>
      </w:r>
      <w:r w:rsidR="001E3866">
        <w:rPr>
          <w:rFonts w:ascii="Verdana" w:hAnsi="Verdana"/>
          <w:sz w:val="20"/>
          <w:szCs w:val="20"/>
          <w:lang w:val="es-CR"/>
        </w:rPr>
        <w:t xml:space="preserve">, de los cuales </w:t>
      </w:r>
      <w:r w:rsidR="0055491F">
        <w:rPr>
          <w:rFonts w:ascii="Verdana" w:hAnsi="Verdana"/>
          <w:sz w:val="20"/>
          <w:szCs w:val="20"/>
          <w:lang w:val="es-CR"/>
        </w:rPr>
        <w:t>diez</w:t>
      </w:r>
      <w:r w:rsidR="001E3866">
        <w:rPr>
          <w:rFonts w:ascii="Verdana" w:hAnsi="Verdana"/>
          <w:sz w:val="20"/>
          <w:szCs w:val="20"/>
          <w:lang w:val="es-CR"/>
        </w:rPr>
        <w:t xml:space="preserve"> estarían pendientes de aprehensión</w:t>
      </w:r>
      <w:r w:rsidR="0055491F">
        <w:rPr>
          <w:rFonts w:ascii="Verdana" w:hAnsi="Verdana"/>
          <w:sz w:val="20"/>
          <w:szCs w:val="20"/>
          <w:lang w:val="es-CR"/>
        </w:rPr>
        <w:t xml:space="preserve"> (ocho pendientes de aprehensión y dos pendientes de extradición)</w:t>
      </w:r>
      <w:r w:rsidR="00A25EAA">
        <w:rPr>
          <w:rFonts w:ascii="Verdana" w:hAnsi="Verdana"/>
          <w:sz w:val="20"/>
          <w:szCs w:val="20"/>
          <w:lang w:val="es-CR"/>
        </w:rPr>
        <w:t>.</w:t>
      </w:r>
      <w:r w:rsidR="001E3866">
        <w:rPr>
          <w:rFonts w:ascii="Verdana" w:hAnsi="Verdana"/>
          <w:sz w:val="20"/>
          <w:szCs w:val="20"/>
          <w:lang w:val="es-CR"/>
        </w:rPr>
        <w:t xml:space="preserve"> Adicionalmente, el Ministerio Público destacó como </w:t>
      </w:r>
      <w:r w:rsidR="00402061">
        <w:rPr>
          <w:rFonts w:ascii="Verdana" w:hAnsi="Verdana"/>
          <w:sz w:val="20"/>
          <w:szCs w:val="20"/>
          <w:lang w:val="es-CR"/>
        </w:rPr>
        <w:t xml:space="preserve">un </w:t>
      </w:r>
      <w:r w:rsidR="001E3866">
        <w:rPr>
          <w:rFonts w:ascii="Verdana" w:hAnsi="Verdana"/>
          <w:sz w:val="20"/>
          <w:szCs w:val="20"/>
          <w:lang w:val="es-CR"/>
        </w:rPr>
        <w:t>“</w:t>
      </w:r>
      <w:r w:rsidR="00402061">
        <w:rPr>
          <w:rFonts w:ascii="Verdana" w:hAnsi="Verdana"/>
          <w:sz w:val="20"/>
          <w:szCs w:val="20"/>
          <w:lang w:val="es-CR"/>
        </w:rPr>
        <w:t>avance</w:t>
      </w:r>
      <w:r w:rsidR="001E3866">
        <w:rPr>
          <w:rFonts w:ascii="Verdana" w:hAnsi="Verdana"/>
          <w:sz w:val="20"/>
          <w:szCs w:val="20"/>
          <w:lang w:val="es-CR"/>
        </w:rPr>
        <w:t xml:space="preserve"> en la investigación”</w:t>
      </w:r>
      <w:r w:rsidR="00402061">
        <w:rPr>
          <w:rFonts w:ascii="Verdana" w:hAnsi="Verdana"/>
          <w:sz w:val="20"/>
          <w:szCs w:val="20"/>
          <w:lang w:val="es-CR"/>
        </w:rPr>
        <w:t xml:space="preserve"> la </w:t>
      </w:r>
      <w:r w:rsidR="00402061" w:rsidRPr="0032068E">
        <w:rPr>
          <w:rFonts w:ascii="Verdana" w:hAnsi="Verdana"/>
          <w:sz w:val="20"/>
          <w:szCs w:val="20"/>
          <w:lang w:val="es-CR"/>
        </w:rPr>
        <w:t>formul</w:t>
      </w:r>
      <w:r w:rsidR="00402061">
        <w:rPr>
          <w:rFonts w:ascii="Verdana" w:hAnsi="Verdana"/>
          <w:sz w:val="20"/>
          <w:szCs w:val="20"/>
          <w:lang w:val="es-CR"/>
        </w:rPr>
        <w:t>ación en abril de 2013 de</w:t>
      </w:r>
      <w:r w:rsidR="00402061" w:rsidRPr="0032068E">
        <w:rPr>
          <w:rFonts w:ascii="Verdana" w:hAnsi="Verdana"/>
          <w:sz w:val="20"/>
          <w:szCs w:val="20"/>
          <w:lang w:val="es-CR"/>
        </w:rPr>
        <w:t xml:space="preserve"> </w:t>
      </w:r>
      <w:r w:rsidR="00402061">
        <w:rPr>
          <w:rFonts w:ascii="Verdana" w:hAnsi="Verdana"/>
          <w:sz w:val="20"/>
          <w:szCs w:val="20"/>
          <w:lang w:val="es-CR"/>
        </w:rPr>
        <w:t>“</w:t>
      </w:r>
      <w:r w:rsidR="00402061" w:rsidRPr="0032068E">
        <w:rPr>
          <w:rFonts w:ascii="Verdana" w:hAnsi="Verdana"/>
          <w:sz w:val="20"/>
          <w:szCs w:val="20"/>
          <w:lang w:val="es-CR"/>
        </w:rPr>
        <w:t xml:space="preserve">la acusación </w:t>
      </w:r>
      <w:r w:rsidR="00402061">
        <w:rPr>
          <w:rFonts w:ascii="Verdana" w:hAnsi="Verdana"/>
          <w:sz w:val="20"/>
          <w:szCs w:val="20"/>
          <w:lang w:val="es-CR"/>
        </w:rPr>
        <w:t xml:space="preserve">y […] solicit[ud] de apertura a juicio </w:t>
      </w:r>
      <w:r w:rsidR="00402061" w:rsidRPr="0032068E">
        <w:rPr>
          <w:rFonts w:ascii="Verdana" w:hAnsi="Verdana"/>
          <w:sz w:val="20"/>
          <w:szCs w:val="20"/>
          <w:lang w:val="es-CR"/>
        </w:rPr>
        <w:t>en contra de José Efraín R</w:t>
      </w:r>
      <w:r w:rsidR="00402061">
        <w:rPr>
          <w:rFonts w:ascii="Verdana" w:hAnsi="Verdana"/>
          <w:sz w:val="20"/>
          <w:szCs w:val="20"/>
          <w:lang w:val="es-CR"/>
        </w:rPr>
        <w:t>í</w:t>
      </w:r>
      <w:r w:rsidR="00402061" w:rsidRPr="0032068E">
        <w:rPr>
          <w:rFonts w:ascii="Verdana" w:hAnsi="Verdana"/>
          <w:sz w:val="20"/>
          <w:szCs w:val="20"/>
          <w:lang w:val="es-CR"/>
        </w:rPr>
        <w:t>os Mont</w:t>
      </w:r>
      <w:r w:rsidR="00402061">
        <w:rPr>
          <w:rFonts w:ascii="Verdana" w:hAnsi="Verdana"/>
          <w:sz w:val="20"/>
          <w:szCs w:val="20"/>
          <w:lang w:val="es-CR"/>
        </w:rPr>
        <w:t>t</w:t>
      </w:r>
      <w:r w:rsidR="00402061" w:rsidRPr="0032068E">
        <w:rPr>
          <w:rFonts w:ascii="Verdana" w:hAnsi="Verdana"/>
          <w:sz w:val="20"/>
          <w:szCs w:val="20"/>
          <w:lang w:val="es-CR"/>
        </w:rPr>
        <w:t xml:space="preserve"> </w:t>
      </w:r>
      <w:r w:rsidR="00402061">
        <w:rPr>
          <w:rFonts w:ascii="Verdana" w:hAnsi="Verdana"/>
          <w:sz w:val="20"/>
          <w:szCs w:val="20"/>
          <w:lang w:val="es-CR"/>
        </w:rPr>
        <w:t xml:space="preserve">[…] </w:t>
      </w:r>
      <w:r w:rsidR="00402061" w:rsidRPr="0032068E">
        <w:rPr>
          <w:rFonts w:ascii="Verdana" w:hAnsi="Verdana"/>
          <w:sz w:val="20"/>
          <w:szCs w:val="20"/>
          <w:lang w:val="es-CR"/>
        </w:rPr>
        <w:t xml:space="preserve">por los delitos de </w:t>
      </w:r>
      <w:r w:rsidR="00402061" w:rsidRPr="00606553">
        <w:rPr>
          <w:rFonts w:ascii="Verdana" w:hAnsi="Verdana"/>
          <w:sz w:val="20"/>
          <w:szCs w:val="20"/>
          <w:lang w:val="es-CR"/>
        </w:rPr>
        <w:t>genocidio y delitos contra los deberes de humanidad y alternativamente […] delitos de asesinato en concurso real, por la muerte de cómo mínimo 200 personas, audiencia que el órgano jurisdiccional competente, aún está pendiente de que se señale día y hora para su celebración”.</w:t>
      </w:r>
      <w:r w:rsidR="00402061" w:rsidRPr="0032068E">
        <w:rPr>
          <w:rFonts w:ascii="Verdana" w:hAnsi="Verdana"/>
          <w:sz w:val="20"/>
          <w:szCs w:val="20"/>
          <w:lang w:val="es-CR"/>
        </w:rPr>
        <w:t xml:space="preserve"> </w:t>
      </w:r>
    </w:p>
    <w:p w14:paraId="714BA2CB" w14:textId="77777777" w:rsidR="00706807" w:rsidRDefault="00706807" w:rsidP="00706807">
      <w:pPr>
        <w:pStyle w:val="ListParagraph"/>
        <w:spacing w:after="0" w:line="240" w:lineRule="auto"/>
        <w:ind w:left="0" w:right="1444"/>
        <w:jc w:val="both"/>
        <w:rPr>
          <w:rFonts w:ascii="Verdana" w:hAnsi="Verdana"/>
          <w:sz w:val="20"/>
          <w:szCs w:val="20"/>
          <w:lang w:val="es-CR"/>
        </w:rPr>
      </w:pPr>
    </w:p>
    <w:p w14:paraId="36A6F185" w14:textId="185BB394" w:rsidR="0055491F" w:rsidRDefault="00C3267F" w:rsidP="00480A44">
      <w:pPr>
        <w:pStyle w:val="ListParagraph"/>
        <w:numPr>
          <w:ilvl w:val="0"/>
          <w:numId w:val="2"/>
        </w:numPr>
        <w:spacing w:after="0" w:line="240" w:lineRule="auto"/>
        <w:ind w:left="0" w:right="1444" w:firstLine="0"/>
        <w:jc w:val="both"/>
        <w:rPr>
          <w:rFonts w:ascii="Verdana" w:hAnsi="Verdana"/>
          <w:sz w:val="20"/>
          <w:szCs w:val="20"/>
          <w:lang w:val="es-CR"/>
        </w:rPr>
      </w:pPr>
      <w:r w:rsidRPr="00480A44">
        <w:rPr>
          <w:rFonts w:ascii="Verdana" w:hAnsi="Verdana"/>
          <w:sz w:val="20"/>
          <w:szCs w:val="20"/>
          <w:lang w:val="es-CR"/>
        </w:rPr>
        <w:t xml:space="preserve">En </w:t>
      </w:r>
      <w:r w:rsidR="003D35B1" w:rsidRPr="00480A44">
        <w:rPr>
          <w:rFonts w:ascii="Verdana" w:hAnsi="Verdana"/>
          <w:sz w:val="20"/>
          <w:szCs w:val="20"/>
          <w:lang w:val="es-CR"/>
        </w:rPr>
        <w:t>sus</w:t>
      </w:r>
      <w:r w:rsidRPr="00480A44">
        <w:rPr>
          <w:rFonts w:ascii="Verdana" w:hAnsi="Verdana"/>
          <w:sz w:val="20"/>
          <w:szCs w:val="20"/>
          <w:lang w:val="es-CR"/>
        </w:rPr>
        <w:t xml:space="preserve"> informe</w:t>
      </w:r>
      <w:r w:rsidR="003D35B1" w:rsidRPr="00480A44">
        <w:rPr>
          <w:rFonts w:ascii="Verdana" w:hAnsi="Verdana"/>
          <w:sz w:val="20"/>
          <w:szCs w:val="20"/>
          <w:lang w:val="es-CR"/>
        </w:rPr>
        <w:t>s</w:t>
      </w:r>
      <w:r w:rsidRPr="00480A44">
        <w:rPr>
          <w:rFonts w:ascii="Verdana" w:hAnsi="Verdana"/>
          <w:sz w:val="20"/>
          <w:szCs w:val="20"/>
          <w:lang w:val="es-CR"/>
        </w:rPr>
        <w:t xml:space="preserve"> </w:t>
      </w:r>
      <w:r w:rsidR="0055491F" w:rsidRPr="00480A44">
        <w:rPr>
          <w:rFonts w:ascii="Verdana" w:hAnsi="Verdana"/>
          <w:sz w:val="20"/>
          <w:szCs w:val="20"/>
          <w:lang w:val="es-CR"/>
        </w:rPr>
        <w:t>de abril y octubre de 2015</w:t>
      </w:r>
      <w:r w:rsidRPr="00480A44">
        <w:rPr>
          <w:rFonts w:ascii="Verdana" w:hAnsi="Verdana"/>
          <w:sz w:val="20"/>
          <w:szCs w:val="20"/>
          <w:lang w:val="es-CR"/>
        </w:rPr>
        <w:t xml:space="preserve">, el Estado </w:t>
      </w:r>
      <w:r w:rsidR="00A42E11" w:rsidRPr="00480A44">
        <w:rPr>
          <w:rFonts w:ascii="Verdana" w:hAnsi="Verdana"/>
          <w:sz w:val="20"/>
          <w:szCs w:val="20"/>
          <w:lang w:val="es-CR"/>
        </w:rPr>
        <w:t>hizo referencia a las acciones que se habrían implementado para dar seguimiento a las órdenes de aprehensión de los referidos diez sindicados en la investigación. Al respecto, indicó</w:t>
      </w:r>
      <w:r w:rsidR="00853A2C" w:rsidRPr="00480A44">
        <w:rPr>
          <w:rFonts w:ascii="Verdana" w:hAnsi="Verdana"/>
          <w:sz w:val="20"/>
          <w:szCs w:val="20"/>
          <w:lang w:val="es-CR"/>
        </w:rPr>
        <w:t xml:space="preserve">, </w:t>
      </w:r>
      <w:r w:rsidR="00853A2C" w:rsidRPr="00480A44">
        <w:rPr>
          <w:rFonts w:ascii="Verdana" w:hAnsi="Verdana"/>
          <w:i/>
          <w:sz w:val="20"/>
          <w:szCs w:val="20"/>
          <w:lang w:val="es-CR"/>
        </w:rPr>
        <w:t>inter alia</w:t>
      </w:r>
      <w:r w:rsidR="00853A2C" w:rsidRPr="00480A44">
        <w:rPr>
          <w:rFonts w:ascii="Verdana" w:hAnsi="Verdana"/>
          <w:sz w:val="20"/>
          <w:szCs w:val="20"/>
          <w:lang w:val="es-CR"/>
        </w:rPr>
        <w:t>,</w:t>
      </w:r>
      <w:r w:rsidR="00A42E11" w:rsidRPr="00480A44">
        <w:rPr>
          <w:rFonts w:ascii="Verdana" w:hAnsi="Verdana"/>
          <w:sz w:val="20"/>
          <w:szCs w:val="20"/>
          <w:lang w:val="es-CR"/>
        </w:rPr>
        <w:t xml:space="preserve"> </w:t>
      </w:r>
      <w:r w:rsidRPr="00480A44">
        <w:rPr>
          <w:rFonts w:ascii="Verdana" w:hAnsi="Verdana"/>
          <w:sz w:val="20"/>
          <w:szCs w:val="20"/>
          <w:lang w:val="es-CR"/>
        </w:rPr>
        <w:t xml:space="preserve">que </w:t>
      </w:r>
      <w:r w:rsidR="00A42E11" w:rsidRPr="00480A44">
        <w:rPr>
          <w:rFonts w:ascii="Verdana" w:hAnsi="Verdana"/>
          <w:sz w:val="20"/>
          <w:szCs w:val="20"/>
          <w:lang w:val="es-CR"/>
        </w:rPr>
        <w:t xml:space="preserve">“se realizaron trámites […] para el diligenciamiento de las solicitudes de asistencia activas tanto a Canadá como a Estados Unidos” y con la Interpol, con la finalidad de aprehender y </w:t>
      </w:r>
      <w:r w:rsidRPr="00480A44">
        <w:rPr>
          <w:rFonts w:ascii="Verdana" w:hAnsi="Verdana"/>
          <w:sz w:val="20"/>
          <w:szCs w:val="20"/>
          <w:lang w:val="es-CR"/>
        </w:rPr>
        <w:t xml:space="preserve">extraditar a las </w:t>
      </w:r>
      <w:r w:rsidR="00A42E11" w:rsidRPr="00480A44">
        <w:rPr>
          <w:rFonts w:ascii="Verdana" w:hAnsi="Verdana"/>
          <w:sz w:val="20"/>
          <w:szCs w:val="20"/>
          <w:lang w:val="es-CR"/>
        </w:rPr>
        <w:t xml:space="preserve">dos </w:t>
      </w:r>
      <w:r w:rsidRPr="00480A44">
        <w:rPr>
          <w:rFonts w:ascii="Verdana" w:hAnsi="Verdana"/>
          <w:sz w:val="20"/>
          <w:szCs w:val="20"/>
          <w:lang w:val="es-CR"/>
        </w:rPr>
        <w:t xml:space="preserve">personas </w:t>
      </w:r>
      <w:r w:rsidR="00A42E11" w:rsidRPr="00480A44">
        <w:rPr>
          <w:rFonts w:ascii="Verdana" w:hAnsi="Verdana"/>
          <w:sz w:val="20"/>
          <w:szCs w:val="20"/>
          <w:lang w:val="es-CR"/>
        </w:rPr>
        <w:t>sindicadas que se encontrarían fuera de Guatemala</w:t>
      </w:r>
      <w:r w:rsidRPr="00480A44">
        <w:rPr>
          <w:rFonts w:ascii="Verdana" w:hAnsi="Verdana"/>
          <w:sz w:val="20"/>
          <w:szCs w:val="20"/>
          <w:lang w:val="es-CR"/>
        </w:rPr>
        <w:t xml:space="preserve">, así como la celebración de reuniones con la Policía Nacional Civil para </w:t>
      </w:r>
      <w:r w:rsidR="00A42E11" w:rsidRPr="00480A44">
        <w:rPr>
          <w:rFonts w:ascii="Verdana" w:hAnsi="Verdana"/>
          <w:sz w:val="20"/>
          <w:szCs w:val="20"/>
          <w:lang w:val="es-CR"/>
        </w:rPr>
        <w:t>“</w:t>
      </w:r>
      <w:r w:rsidRPr="00480A44">
        <w:rPr>
          <w:rFonts w:ascii="Verdana" w:hAnsi="Verdana"/>
          <w:sz w:val="20"/>
          <w:szCs w:val="20"/>
          <w:lang w:val="es-CR"/>
        </w:rPr>
        <w:t>darle seguimiento a la búsqueda y aprehensión de los otros sindicados que se encuentran en territorio guatemalteco”, y la asignación de “un grupo de elementos policiales de la División Especializada de Investigación Criminal de la Policía</w:t>
      </w:r>
      <w:r w:rsidR="000F5C32" w:rsidRPr="00480A44">
        <w:rPr>
          <w:rFonts w:ascii="Verdana" w:hAnsi="Verdana"/>
          <w:sz w:val="20"/>
          <w:szCs w:val="20"/>
          <w:lang w:val="es-CR"/>
        </w:rPr>
        <w:t xml:space="preserve"> </w:t>
      </w:r>
      <w:r w:rsidRPr="00480A44">
        <w:rPr>
          <w:rFonts w:ascii="Verdana" w:hAnsi="Verdana"/>
          <w:sz w:val="20"/>
          <w:szCs w:val="20"/>
          <w:lang w:val="es-CR"/>
        </w:rPr>
        <w:t xml:space="preserve">para </w:t>
      </w:r>
      <w:r w:rsidR="00A42E11" w:rsidRPr="00480A44">
        <w:rPr>
          <w:rFonts w:ascii="Verdana" w:hAnsi="Verdana"/>
          <w:sz w:val="20"/>
          <w:szCs w:val="20"/>
          <w:lang w:val="es-CR"/>
        </w:rPr>
        <w:t xml:space="preserve">darle seguimiento a la ejecución de las órdenes de aprehensión, así como </w:t>
      </w:r>
      <w:r w:rsidR="00853A2C" w:rsidRPr="00480A44">
        <w:rPr>
          <w:rFonts w:ascii="Verdana" w:hAnsi="Verdana"/>
          <w:sz w:val="20"/>
          <w:szCs w:val="20"/>
          <w:lang w:val="es-CR"/>
        </w:rPr>
        <w:t xml:space="preserve">a </w:t>
      </w:r>
      <w:r w:rsidR="00A42E11" w:rsidRPr="00480A44">
        <w:rPr>
          <w:rFonts w:ascii="Verdana" w:hAnsi="Verdana"/>
          <w:sz w:val="20"/>
          <w:szCs w:val="20"/>
          <w:lang w:val="es-CR"/>
        </w:rPr>
        <w:t>las gestiones realizadas con Interpol Guatemala al respecto</w:t>
      </w:r>
      <w:r w:rsidR="00A42E11" w:rsidRPr="0032068E">
        <w:rPr>
          <w:rStyle w:val="FootnoteReference"/>
          <w:rFonts w:ascii="Verdana" w:hAnsi="Verdana"/>
          <w:sz w:val="20"/>
          <w:szCs w:val="20"/>
          <w:lang w:val="es-CR"/>
        </w:rPr>
        <w:footnoteReference w:id="117"/>
      </w:r>
      <w:r w:rsidRPr="00480A44">
        <w:rPr>
          <w:rFonts w:ascii="Verdana" w:hAnsi="Verdana"/>
          <w:sz w:val="20"/>
          <w:szCs w:val="20"/>
          <w:lang w:val="es-CR"/>
        </w:rPr>
        <w:t xml:space="preserve">. </w:t>
      </w:r>
      <w:r w:rsidR="00A25EAA">
        <w:rPr>
          <w:rFonts w:ascii="Verdana" w:hAnsi="Verdana"/>
          <w:sz w:val="20"/>
          <w:szCs w:val="20"/>
          <w:lang w:val="es-CR"/>
        </w:rPr>
        <w:t xml:space="preserve">También indicó que </w:t>
      </w:r>
      <w:r w:rsidR="00A42E11" w:rsidRPr="00480A44">
        <w:rPr>
          <w:rFonts w:ascii="Verdana" w:hAnsi="Verdana"/>
          <w:sz w:val="20"/>
          <w:szCs w:val="20"/>
          <w:lang w:val="es-CR"/>
        </w:rPr>
        <w:t xml:space="preserve">la Dirección de Investigaciones Criminalísticas del Ministerio Público asignó personal para dar </w:t>
      </w:r>
      <w:r w:rsidR="00853A2C" w:rsidRPr="00480A44">
        <w:rPr>
          <w:rFonts w:ascii="Verdana" w:hAnsi="Verdana"/>
          <w:sz w:val="20"/>
          <w:szCs w:val="20"/>
          <w:lang w:val="es-CR"/>
        </w:rPr>
        <w:t>seguimiento</w:t>
      </w:r>
      <w:r w:rsidR="00A42E11" w:rsidRPr="00480A44">
        <w:rPr>
          <w:rFonts w:ascii="Verdana" w:hAnsi="Verdana"/>
          <w:sz w:val="20"/>
          <w:szCs w:val="20"/>
          <w:lang w:val="es-CR"/>
        </w:rPr>
        <w:t xml:space="preserve"> a las </w:t>
      </w:r>
      <w:proofErr w:type="gramStart"/>
      <w:r w:rsidR="00A42E11" w:rsidRPr="00480A44">
        <w:rPr>
          <w:rFonts w:ascii="Verdana" w:hAnsi="Verdana"/>
          <w:sz w:val="20"/>
          <w:szCs w:val="20"/>
          <w:lang w:val="es-CR"/>
        </w:rPr>
        <w:t>ordenes</w:t>
      </w:r>
      <w:proofErr w:type="gramEnd"/>
      <w:r w:rsidR="00A42E11" w:rsidRPr="00480A44">
        <w:rPr>
          <w:rFonts w:ascii="Verdana" w:hAnsi="Verdana"/>
          <w:sz w:val="20"/>
          <w:szCs w:val="20"/>
          <w:lang w:val="es-CR"/>
        </w:rPr>
        <w:t xml:space="preserve"> de captura a nivel nacional e </w:t>
      </w:r>
      <w:r w:rsidR="00A25EAA">
        <w:rPr>
          <w:rFonts w:ascii="Verdana" w:hAnsi="Verdana"/>
          <w:sz w:val="20"/>
          <w:szCs w:val="20"/>
          <w:lang w:val="es-CR"/>
        </w:rPr>
        <w:t>internacional</w:t>
      </w:r>
      <w:r w:rsidR="00A42E11" w:rsidRPr="00480A44">
        <w:rPr>
          <w:rFonts w:ascii="Verdana" w:hAnsi="Verdana"/>
          <w:sz w:val="20"/>
          <w:szCs w:val="20"/>
          <w:lang w:val="es-CR"/>
        </w:rPr>
        <w:t xml:space="preserve">. </w:t>
      </w:r>
      <w:r w:rsidRPr="00480A44">
        <w:rPr>
          <w:rFonts w:ascii="Verdana" w:hAnsi="Verdana"/>
          <w:sz w:val="20"/>
          <w:szCs w:val="20"/>
          <w:lang w:val="es-CR"/>
        </w:rPr>
        <w:t xml:space="preserve">Al respecto, los representantes destacaron </w:t>
      </w:r>
      <w:r w:rsidR="00071D0B" w:rsidRPr="00480A44">
        <w:rPr>
          <w:rFonts w:ascii="Verdana" w:hAnsi="Verdana"/>
          <w:sz w:val="20"/>
          <w:szCs w:val="20"/>
          <w:lang w:val="es-CR"/>
        </w:rPr>
        <w:t>“gravemente que continúan sin haber sido ejecutadas las ordenes de captura dictadas en contra [de los diez] sindicados”</w:t>
      </w:r>
      <w:r w:rsidR="004931DE">
        <w:rPr>
          <w:rStyle w:val="FootnoteReference"/>
          <w:rFonts w:ascii="Verdana" w:hAnsi="Verdana"/>
          <w:sz w:val="20"/>
          <w:szCs w:val="20"/>
          <w:lang w:val="es-CR"/>
        </w:rPr>
        <w:footnoteReference w:id="118"/>
      </w:r>
      <w:r w:rsidR="004931DE" w:rsidRPr="00480A44">
        <w:rPr>
          <w:rFonts w:ascii="Verdana" w:hAnsi="Verdana"/>
          <w:sz w:val="20"/>
          <w:szCs w:val="20"/>
          <w:lang w:val="es-CR"/>
        </w:rPr>
        <w:t>, y</w:t>
      </w:r>
      <w:r w:rsidR="00071D0B" w:rsidRPr="00480A44">
        <w:rPr>
          <w:rFonts w:ascii="Verdana" w:hAnsi="Verdana"/>
          <w:sz w:val="20"/>
          <w:szCs w:val="20"/>
          <w:lang w:val="es-CR"/>
        </w:rPr>
        <w:t xml:space="preserve"> concluyeron que “el Estado continua con su práctica de enunciar diligencias que no responden a un verdadero plan de búsqueda o captura de los responsables de estos hechos”. </w:t>
      </w:r>
      <w:r w:rsidR="00606553" w:rsidRPr="00480A44">
        <w:rPr>
          <w:rFonts w:ascii="Verdana" w:hAnsi="Verdana"/>
          <w:sz w:val="20"/>
          <w:szCs w:val="20"/>
          <w:lang w:val="es-CR"/>
        </w:rPr>
        <w:t xml:space="preserve">La Comisión consideró que la información presentada por el Estado “no representa avance sustantivo alguno” y tampoco aporta “una explicación </w:t>
      </w:r>
      <w:r w:rsidR="00606553" w:rsidRPr="00480A44">
        <w:rPr>
          <w:rFonts w:ascii="Verdana" w:hAnsi="Verdana"/>
          <w:sz w:val="20"/>
          <w:szCs w:val="20"/>
          <w:lang w:val="es-CR"/>
        </w:rPr>
        <w:lastRenderedPageBreak/>
        <w:t>sobre las diligencias, […] su pertinencia, resultados obtenidos o esperados, o […] una indicación sobre las fechas en que fueron efectivamente realizadas [dichas] diligencias”</w:t>
      </w:r>
      <w:bookmarkEnd w:id="104"/>
      <w:r w:rsidR="00480A44">
        <w:rPr>
          <w:rFonts w:ascii="Verdana" w:hAnsi="Verdana"/>
          <w:sz w:val="20"/>
          <w:szCs w:val="20"/>
          <w:lang w:val="es-CR"/>
        </w:rPr>
        <w:t>.</w:t>
      </w:r>
    </w:p>
    <w:p w14:paraId="71D52DFE" w14:textId="77777777" w:rsidR="00480A44" w:rsidRPr="00480A44" w:rsidRDefault="00480A44" w:rsidP="00480A44">
      <w:pPr>
        <w:pStyle w:val="ListParagraph"/>
        <w:spacing w:after="0" w:line="240" w:lineRule="auto"/>
        <w:ind w:left="0" w:right="1444"/>
        <w:jc w:val="both"/>
        <w:rPr>
          <w:rFonts w:ascii="Verdana" w:hAnsi="Verdana"/>
          <w:sz w:val="20"/>
          <w:szCs w:val="20"/>
          <w:lang w:val="es-CR"/>
        </w:rPr>
      </w:pPr>
    </w:p>
    <w:p w14:paraId="3BBFE0FC" w14:textId="385FCD53" w:rsidR="00C3267F" w:rsidRDefault="00DF3257" w:rsidP="00480A44">
      <w:pPr>
        <w:pStyle w:val="ListParagraph"/>
        <w:numPr>
          <w:ilvl w:val="0"/>
          <w:numId w:val="2"/>
        </w:numPr>
        <w:spacing w:after="0" w:line="240" w:lineRule="auto"/>
        <w:ind w:left="0" w:right="1444" w:firstLine="0"/>
        <w:jc w:val="both"/>
        <w:rPr>
          <w:rFonts w:ascii="Verdana" w:hAnsi="Verdana"/>
          <w:sz w:val="20"/>
          <w:szCs w:val="20"/>
          <w:lang w:val="es-CR"/>
        </w:rPr>
      </w:pPr>
      <w:bookmarkStart w:id="105" w:name="_Ref437957219"/>
      <w:r w:rsidRPr="00480A44">
        <w:rPr>
          <w:rFonts w:ascii="Verdana" w:hAnsi="Verdana"/>
          <w:sz w:val="20"/>
          <w:szCs w:val="20"/>
          <w:lang w:val="es-CR"/>
        </w:rPr>
        <w:t>Adicionalmente, t</w:t>
      </w:r>
      <w:r w:rsidR="00C3267F" w:rsidRPr="00480A44">
        <w:rPr>
          <w:rFonts w:ascii="Verdana" w:hAnsi="Verdana"/>
          <w:sz w:val="20"/>
          <w:szCs w:val="20"/>
          <w:lang w:val="es-CR"/>
        </w:rPr>
        <w:t xml:space="preserve">anto </w:t>
      </w:r>
      <w:r w:rsidRPr="00480A44">
        <w:rPr>
          <w:rFonts w:ascii="Verdana" w:hAnsi="Verdana"/>
          <w:sz w:val="20"/>
          <w:szCs w:val="20"/>
          <w:lang w:val="es-CR"/>
        </w:rPr>
        <w:t xml:space="preserve">en </w:t>
      </w:r>
      <w:r w:rsidR="001C43C7">
        <w:rPr>
          <w:rFonts w:ascii="Verdana" w:hAnsi="Verdana"/>
          <w:sz w:val="20"/>
          <w:szCs w:val="20"/>
          <w:lang w:val="es-CR"/>
        </w:rPr>
        <w:t xml:space="preserve">el </w:t>
      </w:r>
      <w:r w:rsidRPr="00480A44">
        <w:rPr>
          <w:rFonts w:ascii="Verdana" w:hAnsi="Verdana"/>
          <w:sz w:val="20"/>
          <w:szCs w:val="20"/>
          <w:lang w:val="es-CR"/>
        </w:rPr>
        <w:t>i</w:t>
      </w:r>
      <w:r w:rsidR="00C3267F" w:rsidRPr="00480A44">
        <w:rPr>
          <w:rFonts w:ascii="Verdana" w:hAnsi="Verdana"/>
          <w:sz w:val="20"/>
          <w:szCs w:val="20"/>
          <w:lang w:val="es-CR"/>
        </w:rPr>
        <w:t>nforme del Ministerio Público</w:t>
      </w:r>
      <w:r w:rsidR="009041CF" w:rsidRPr="00480A44">
        <w:rPr>
          <w:rFonts w:ascii="Verdana" w:hAnsi="Verdana"/>
          <w:sz w:val="20"/>
          <w:szCs w:val="20"/>
          <w:lang w:val="es-CR"/>
        </w:rPr>
        <w:t xml:space="preserve"> </w:t>
      </w:r>
      <w:r w:rsidR="009041CF" w:rsidRPr="00480A44">
        <w:rPr>
          <w:rFonts w:ascii="Verdana" w:hAnsi="Verdana" w:cs="Verdana"/>
          <w:sz w:val="20"/>
          <w:szCs w:val="20"/>
          <w:lang w:val="es-ES"/>
        </w:rPr>
        <w:t xml:space="preserve">de </w:t>
      </w:r>
      <w:r w:rsidR="009041CF" w:rsidRPr="001C43C7">
        <w:rPr>
          <w:rFonts w:ascii="Verdana" w:hAnsi="Verdana" w:cs="Verdana"/>
          <w:sz w:val="20"/>
          <w:szCs w:val="20"/>
          <w:lang w:val="es-ES"/>
        </w:rPr>
        <w:t>mayo de 2014</w:t>
      </w:r>
      <w:r w:rsidR="00C3267F" w:rsidRPr="001C43C7">
        <w:rPr>
          <w:rFonts w:ascii="Verdana" w:hAnsi="Verdana"/>
          <w:sz w:val="20"/>
          <w:szCs w:val="20"/>
          <w:lang w:val="es-CR"/>
        </w:rPr>
        <w:t xml:space="preserve"> como </w:t>
      </w:r>
      <w:r w:rsidR="001318B4" w:rsidRPr="001C43C7">
        <w:rPr>
          <w:rFonts w:ascii="Verdana" w:hAnsi="Verdana"/>
          <w:sz w:val="20"/>
          <w:szCs w:val="20"/>
          <w:lang w:val="es-CR"/>
        </w:rPr>
        <w:t xml:space="preserve">en el </w:t>
      </w:r>
      <w:r w:rsidR="00C3267F" w:rsidRPr="001C43C7">
        <w:rPr>
          <w:rFonts w:ascii="Verdana" w:hAnsi="Verdana"/>
          <w:sz w:val="20"/>
          <w:szCs w:val="20"/>
          <w:lang w:val="es-CR"/>
        </w:rPr>
        <w:t xml:space="preserve">informe estatal de </w:t>
      </w:r>
      <w:r w:rsidRPr="001C43C7">
        <w:rPr>
          <w:rFonts w:ascii="Verdana" w:hAnsi="Verdana"/>
          <w:sz w:val="20"/>
          <w:szCs w:val="20"/>
          <w:lang w:val="es-CR"/>
        </w:rPr>
        <w:t xml:space="preserve">abril de </w:t>
      </w:r>
      <w:r w:rsidR="00C3267F" w:rsidRPr="001C43C7">
        <w:rPr>
          <w:rFonts w:ascii="Verdana" w:hAnsi="Verdana"/>
          <w:sz w:val="20"/>
          <w:szCs w:val="20"/>
          <w:lang w:val="es-CR"/>
        </w:rPr>
        <w:t>2015, se</w:t>
      </w:r>
      <w:r w:rsidRPr="001C43C7">
        <w:rPr>
          <w:rFonts w:ascii="Verdana" w:hAnsi="Verdana"/>
          <w:sz w:val="20"/>
          <w:szCs w:val="20"/>
          <w:lang w:val="es-CR"/>
        </w:rPr>
        <w:t xml:space="preserve"> hizo referencia a las acciones de amparo</w:t>
      </w:r>
      <w:r w:rsidR="00760CC8" w:rsidRPr="001C43C7">
        <w:rPr>
          <w:rFonts w:ascii="Verdana" w:hAnsi="Verdana"/>
          <w:sz w:val="20"/>
          <w:szCs w:val="20"/>
          <w:lang w:val="es-CR"/>
        </w:rPr>
        <w:t xml:space="preserve"> y recursos judiciales</w:t>
      </w:r>
      <w:r w:rsidRPr="001C43C7">
        <w:rPr>
          <w:rFonts w:ascii="Verdana" w:hAnsi="Verdana"/>
          <w:sz w:val="20"/>
          <w:szCs w:val="20"/>
          <w:lang w:val="es-CR"/>
        </w:rPr>
        <w:t xml:space="preserve"> interpuest</w:t>
      </w:r>
      <w:r w:rsidR="00760CC8" w:rsidRPr="001C43C7">
        <w:rPr>
          <w:rFonts w:ascii="Verdana" w:hAnsi="Verdana"/>
          <w:sz w:val="20"/>
          <w:szCs w:val="20"/>
          <w:lang w:val="es-CR"/>
        </w:rPr>
        <w:t>o</w:t>
      </w:r>
      <w:r w:rsidRPr="001C43C7">
        <w:rPr>
          <w:rFonts w:ascii="Verdana" w:hAnsi="Verdana"/>
          <w:sz w:val="20"/>
          <w:szCs w:val="20"/>
          <w:lang w:val="es-CR"/>
        </w:rPr>
        <w:t>s</w:t>
      </w:r>
      <w:r w:rsidR="001D794B" w:rsidRPr="001C43C7">
        <w:rPr>
          <w:rFonts w:ascii="Verdana" w:hAnsi="Verdana"/>
          <w:sz w:val="20"/>
          <w:szCs w:val="20"/>
          <w:lang w:val="es-CR"/>
        </w:rPr>
        <w:t xml:space="preserve"> por parte del </w:t>
      </w:r>
      <w:r w:rsidR="001318B4" w:rsidRPr="001C43C7">
        <w:rPr>
          <w:rFonts w:ascii="Verdana" w:hAnsi="Verdana"/>
          <w:sz w:val="20"/>
          <w:szCs w:val="20"/>
          <w:lang w:val="es-CR"/>
        </w:rPr>
        <w:t>sindicado</w:t>
      </w:r>
      <w:r w:rsidR="001D794B" w:rsidRPr="001C43C7">
        <w:rPr>
          <w:rFonts w:ascii="Verdana" w:hAnsi="Verdana"/>
          <w:sz w:val="20"/>
          <w:szCs w:val="20"/>
          <w:lang w:val="es-CR"/>
        </w:rPr>
        <w:t xml:space="preserve"> José Efraín Ríos Montt (</w:t>
      </w:r>
      <w:r w:rsidR="001D794B" w:rsidRPr="001C43C7">
        <w:rPr>
          <w:rFonts w:ascii="Verdana" w:hAnsi="Verdana"/>
          <w:i/>
          <w:sz w:val="20"/>
          <w:szCs w:val="20"/>
          <w:lang w:val="es-CR"/>
        </w:rPr>
        <w:t>supra</w:t>
      </w:r>
      <w:r w:rsidR="001D794B" w:rsidRPr="001C43C7">
        <w:rPr>
          <w:rFonts w:ascii="Verdana" w:hAnsi="Verdana"/>
          <w:sz w:val="20"/>
          <w:szCs w:val="20"/>
          <w:lang w:val="es-CR"/>
        </w:rPr>
        <w:t xml:space="preserve"> Considerando 110) y del condenado Carlos Antonio Carías López (</w:t>
      </w:r>
      <w:r w:rsidR="001D794B" w:rsidRPr="001C43C7">
        <w:rPr>
          <w:rFonts w:ascii="Verdana" w:hAnsi="Verdana"/>
          <w:i/>
          <w:sz w:val="20"/>
          <w:szCs w:val="20"/>
          <w:lang w:val="es-CR"/>
        </w:rPr>
        <w:t>supra</w:t>
      </w:r>
      <w:r w:rsidR="001D794B" w:rsidRPr="001C43C7">
        <w:rPr>
          <w:rFonts w:ascii="Verdana" w:hAnsi="Verdana"/>
          <w:sz w:val="20"/>
          <w:szCs w:val="20"/>
          <w:lang w:val="es-CR"/>
        </w:rPr>
        <w:t xml:space="preserve"> Considerando 109)</w:t>
      </w:r>
      <w:r w:rsidR="001318B4" w:rsidRPr="001C43C7">
        <w:rPr>
          <w:rFonts w:ascii="Verdana" w:hAnsi="Verdana"/>
          <w:sz w:val="20"/>
          <w:szCs w:val="20"/>
          <w:lang w:val="es-CR"/>
        </w:rPr>
        <w:t>.</w:t>
      </w:r>
      <w:r w:rsidR="00C3267F" w:rsidRPr="00480A44">
        <w:rPr>
          <w:rFonts w:ascii="Verdana" w:hAnsi="Verdana"/>
          <w:sz w:val="20"/>
          <w:szCs w:val="20"/>
          <w:lang w:val="es-CR"/>
        </w:rPr>
        <w:t xml:space="preserve"> </w:t>
      </w:r>
      <w:r w:rsidR="00D23253" w:rsidRPr="00480A44">
        <w:rPr>
          <w:rFonts w:ascii="Verdana" w:hAnsi="Verdana"/>
          <w:sz w:val="20"/>
          <w:szCs w:val="20"/>
          <w:lang w:val="es-CR"/>
        </w:rPr>
        <w:t xml:space="preserve">El Ministerio Público </w:t>
      </w:r>
      <w:r w:rsidR="00C3267F" w:rsidRPr="00480A44">
        <w:rPr>
          <w:rFonts w:ascii="Verdana" w:hAnsi="Verdana"/>
          <w:sz w:val="20"/>
          <w:szCs w:val="20"/>
          <w:lang w:val="es-CR"/>
        </w:rPr>
        <w:t>identific</w:t>
      </w:r>
      <w:r w:rsidR="00D23253" w:rsidRPr="00480A44">
        <w:rPr>
          <w:rFonts w:ascii="Verdana" w:hAnsi="Verdana"/>
          <w:sz w:val="20"/>
          <w:szCs w:val="20"/>
          <w:lang w:val="es-CR"/>
        </w:rPr>
        <w:t>ó la interposición de los referidos</w:t>
      </w:r>
      <w:r w:rsidR="00760CC8" w:rsidRPr="00480A44">
        <w:rPr>
          <w:rFonts w:ascii="Verdana" w:hAnsi="Verdana"/>
          <w:sz w:val="20"/>
          <w:szCs w:val="20"/>
          <w:lang w:val="es-CR"/>
        </w:rPr>
        <w:t xml:space="preserve"> amparos y recursos judiciales</w:t>
      </w:r>
      <w:r w:rsidR="00D23253" w:rsidRPr="00480A44">
        <w:rPr>
          <w:rFonts w:ascii="Verdana" w:hAnsi="Verdana"/>
          <w:sz w:val="20"/>
          <w:szCs w:val="20"/>
          <w:lang w:val="es-CR"/>
        </w:rPr>
        <w:t xml:space="preserve"> </w:t>
      </w:r>
      <w:r w:rsidR="00C3267F" w:rsidRPr="00480A44">
        <w:rPr>
          <w:rFonts w:ascii="Verdana" w:hAnsi="Verdana"/>
          <w:sz w:val="20"/>
          <w:szCs w:val="20"/>
          <w:lang w:val="es-CR"/>
        </w:rPr>
        <w:t xml:space="preserve">como </w:t>
      </w:r>
      <w:r w:rsidR="00D23253" w:rsidRPr="00480A44">
        <w:rPr>
          <w:rFonts w:ascii="Verdana" w:hAnsi="Verdana"/>
          <w:sz w:val="20"/>
          <w:szCs w:val="20"/>
          <w:lang w:val="es-CR"/>
        </w:rPr>
        <w:t>“</w:t>
      </w:r>
      <w:r w:rsidR="00C3267F" w:rsidRPr="00480A44">
        <w:rPr>
          <w:rFonts w:ascii="Verdana" w:hAnsi="Verdana"/>
          <w:sz w:val="20"/>
          <w:szCs w:val="20"/>
          <w:lang w:val="es-CR"/>
        </w:rPr>
        <w:t xml:space="preserve">obstáculos en </w:t>
      </w:r>
      <w:r w:rsidR="00D23253" w:rsidRPr="00480A44">
        <w:rPr>
          <w:rFonts w:ascii="Verdana" w:hAnsi="Verdana"/>
          <w:sz w:val="20"/>
          <w:szCs w:val="20"/>
          <w:lang w:val="es-CR"/>
        </w:rPr>
        <w:t xml:space="preserve">la </w:t>
      </w:r>
      <w:r w:rsidR="00C3267F" w:rsidRPr="00480A44">
        <w:rPr>
          <w:rFonts w:ascii="Verdana" w:hAnsi="Verdana"/>
          <w:sz w:val="20"/>
          <w:szCs w:val="20"/>
          <w:lang w:val="es-CR"/>
        </w:rPr>
        <w:t>investigación</w:t>
      </w:r>
      <w:r w:rsidR="00D23253" w:rsidRPr="00480A44">
        <w:rPr>
          <w:rFonts w:ascii="Verdana" w:hAnsi="Verdana"/>
          <w:sz w:val="20"/>
          <w:szCs w:val="20"/>
          <w:lang w:val="es-CR"/>
        </w:rPr>
        <w:t>” de los hechos del presente caso. En relación con el sindicado Ríos Montt, señaló que</w:t>
      </w:r>
      <w:r w:rsidR="00C3267F" w:rsidRPr="00480A44">
        <w:rPr>
          <w:rFonts w:ascii="Verdana" w:hAnsi="Verdana"/>
          <w:sz w:val="20"/>
          <w:szCs w:val="20"/>
          <w:lang w:val="es-CR"/>
        </w:rPr>
        <w:t xml:space="preserve"> </w:t>
      </w:r>
      <w:r w:rsidR="00760CC8" w:rsidRPr="00480A44">
        <w:rPr>
          <w:rFonts w:ascii="Verdana" w:hAnsi="Verdana"/>
          <w:sz w:val="20"/>
          <w:szCs w:val="20"/>
          <w:lang w:val="es-CR"/>
        </w:rPr>
        <w:t>interpuso</w:t>
      </w:r>
      <w:r w:rsidR="00AD0569" w:rsidRPr="00480A44">
        <w:rPr>
          <w:rFonts w:ascii="Verdana" w:hAnsi="Verdana"/>
          <w:sz w:val="20"/>
          <w:szCs w:val="20"/>
          <w:lang w:val="es-CR"/>
        </w:rPr>
        <w:t>: (i)</w:t>
      </w:r>
      <w:r w:rsidR="00760CC8" w:rsidRPr="00480A44">
        <w:rPr>
          <w:rFonts w:ascii="Verdana" w:hAnsi="Verdana"/>
          <w:sz w:val="20"/>
          <w:szCs w:val="20"/>
          <w:lang w:val="es-CR"/>
        </w:rPr>
        <w:t xml:space="preserve"> dos recursos de amparo y diversos recursos judiciales (de apelación y reposición) por considerar que el caso debía ser tramitado por el procedimiento que establece la Ley de Reconciliación Nacional</w:t>
      </w:r>
      <w:r w:rsidR="00151D99" w:rsidRPr="006D0844">
        <w:rPr>
          <w:rStyle w:val="FootnoteReference"/>
          <w:rFonts w:ascii="Verdana" w:hAnsi="Verdana"/>
          <w:sz w:val="20"/>
          <w:szCs w:val="20"/>
          <w:lang w:val="es-CR"/>
        </w:rPr>
        <w:footnoteReference w:id="119"/>
      </w:r>
      <w:r w:rsidR="00AD0569" w:rsidRPr="00480A44">
        <w:rPr>
          <w:rFonts w:ascii="Verdana" w:hAnsi="Verdana"/>
          <w:sz w:val="20"/>
          <w:szCs w:val="20"/>
          <w:lang w:val="es-CR"/>
        </w:rPr>
        <w:t xml:space="preserve">, y (ii) </w:t>
      </w:r>
      <w:r w:rsidR="002038CA" w:rsidRPr="00480A44">
        <w:rPr>
          <w:rFonts w:ascii="Verdana" w:hAnsi="Verdana"/>
          <w:sz w:val="20"/>
          <w:szCs w:val="20"/>
          <w:lang w:val="es-CR"/>
        </w:rPr>
        <w:t xml:space="preserve">recursos en relación con la alegada errónea calificación jurídica de los hechos por los cuales está siendo imputado el señor Ríos Montt como genocidio, así como los alegados “quebrantos de salud” que estaría sufriendo dicho imputado. Respecto del condenado Carlos Antonio Carías López, el Ministerio Público se refirió a los recursos judiciales interpuestos por su defensor por considerar que los delitos cometidos por éste podrían ser “amnistiados”. </w:t>
      </w:r>
      <w:r w:rsidR="001C43C7">
        <w:rPr>
          <w:rFonts w:ascii="Verdana" w:hAnsi="Verdana"/>
          <w:sz w:val="20"/>
          <w:szCs w:val="20"/>
          <w:lang w:val="es-CR"/>
        </w:rPr>
        <w:t>El Ministerio Pú</w:t>
      </w:r>
      <w:r w:rsidR="00950BE7" w:rsidRPr="00480A44">
        <w:rPr>
          <w:rFonts w:ascii="Verdana" w:hAnsi="Verdana"/>
          <w:sz w:val="20"/>
          <w:szCs w:val="20"/>
          <w:lang w:val="es-CR"/>
        </w:rPr>
        <w:t>blico hizo notar estos aspectos con el fin de “resaltar la serie de dificultades y obstáculos habidos en el transcurso del diligenciamiento del presente proceso de investigación, el uso indebido y exagerado de acciones de amparo, amnistías planteadas, tanto otros medios de impugnación promovidos […] que […] únicamente pretenden demorar el presente proceso”, y en el caso del señor Ríos Montt evitar que el sindicado sea juzgado.</w:t>
      </w:r>
      <w:r w:rsidR="00151D99" w:rsidRPr="00480A44">
        <w:rPr>
          <w:rFonts w:ascii="Verdana" w:hAnsi="Verdana"/>
          <w:sz w:val="20"/>
          <w:szCs w:val="20"/>
          <w:lang w:val="es-CR"/>
        </w:rPr>
        <w:t xml:space="preserve"> Adicionalmente, el Ministerio Público se refirió a otros obstáculos relacionados </w:t>
      </w:r>
      <w:r w:rsidR="001C43C7">
        <w:rPr>
          <w:rFonts w:ascii="Verdana" w:hAnsi="Verdana"/>
          <w:sz w:val="20"/>
          <w:szCs w:val="20"/>
          <w:lang w:val="es-CR"/>
        </w:rPr>
        <w:t xml:space="preserve">a </w:t>
      </w:r>
      <w:r w:rsidR="00151D99" w:rsidRPr="00480A44">
        <w:rPr>
          <w:rFonts w:ascii="Verdana" w:hAnsi="Verdana"/>
          <w:sz w:val="20"/>
          <w:szCs w:val="20"/>
          <w:lang w:val="es-CR"/>
        </w:rPr>
        <w:t>la falta de información sobre “el tema de extradiciones y deportaciones” de dos de los sindicados</w:t>
      </w:r>
      <w:r w:rsidR="00151D99">
        <w:rPr>
          <w:rStyle w:val="FootnoteReference"/>
          <w:rFonts w:ascii="Verdana" w:hAnsi="Verdana"/>
          <w:sz w:val="20"/>
          <w:szCs w:val="20"/>
          <w:lang w:val="es-CR"/>
        </w:rPr>
        <w:footnoteReference w:id="120"/>
      </w:r>
      <w:r w:rsidR="00151D99" w:rsidRPr="00480A44">
        <w:rPr>
          <w:rFonts w:ascii="Verdana" w:hAnsi="Verdana"/>
          <w:sz w:val="20"/>
          <w:szCs w:val="20"/>
          <w:lang w:val="es-CR"/>
        </w:rPr>
        <w:t>.</w:t>
      </w:r>
      <w:bookmarkEnd w:id="105"/>
    </w:p>
    <w:p w14:paraId="16D32386" w14:textId="77777777" w:rsidR="008C5411" w:rsidRPr="00480A44" w:rsidRDefault="008C5411" w:rsidP="008C5411">
      <w:pPr>
        <w:pStyle w:val="ListParagraph"/>
        <w:spacing w:after="0" w:line="240" w:lineRule="auto"/>
        <w:ind w:left="0" w:right="1444"/>
        <w:jc w:val="both"/>
        <w:rPr>
          <w:rFonts w:ascii="Verdana" w:hAnsi="Verdana"/>
          <w:sz w:val="20"/>
          <w:szCs w:val="20"/>
          <w:lang w:val="es-CR"/>
        </w:rPr>
      </w:pPr>
    </w:p>
    <w:p w14:paraId="4B26EFE6" w14:textId="0BC94253" w:rsidR="00C3267F" w:rsidRPr="0032068E" w:rsidRDefault="006069CD" w:rsidP="00C3267F">
      <w:pPr>
        <w:pStyle w:val="ListParagraph"/>
        <w:numPr>
          <w:ilvl w:val="0"/>
          <w:numId w:val="2"/>
        </w:numPr>
        <w:spacing w:after="0" w:line="240" w:lineRule="auto"/>
        <w:ind w:left="0" w:right="1444" w:firstLine="0"/>
        <w:jc w:val="both"/>
        <w:rPr>
          <w:rFonts w:ascii="Verdana" w:hAnsi="Verdana"/>
          <w:sz w:val="20"/>
          <w:szCs w:val="20"/>
          <w:lang w:val="es-CR"/>
        </w:rPr>
      </w:pPr>
      <w:r w:rsidRPr="0032068E">
        <w:rPr>
          <w:rFonts w:ascii="Verdana" w:hAnsi="Verdana"/>
          <w:sz w:val="20"/>
          <w:szCs w:val="20"/>
          <w:lang w:val="es-CR"/>
        </w:rPr>
        <w:t xml:space="preserve">La Corte </w:t>
      </w:r>
      <w:r w:rsidR="00E85BBC" w:rsidRPr="0032068E">
        <w:rPr>
          <w:rFonts w:ascii="Verdana" w:hAnsi="Verdana"/>
          <w:sz w:val="20"/>
          <w:szCs w:val="20"/>
          <w:lang w:val="es-CR"/>
        </w:rPr>
        <w:t>se referirá</w:t>
      </w:r>
      <w:r w:rsidRPr="0032068E">
        <w:rPr>
          <w:rFonts w:ascii="Verdana" w:hAnsi="Verdana"/>
          <w:sz w:val="20"/>
          <w:szCs w:val="20"/>
          <w:lang w:val="es-CR"/>
        </w:rPr>
        <w:t xml:space="preserve"> </w:t>
      </w:r>
      <w:r w:rsidR="00E85BBC" w:rsidRPr="0032068E">
        <w:rPr>
          <w:rFonts w:ascii="Verdana" w:hAnsi="Verdana"/>
          <w:sz w:val="20"/>
          <w:szCs w:val="20"/>
          <w:lang w:val="es-CR"/>
        </w:rPr>
        <w:t>a</w:t>
      </w:r>
      <w:r w:rsidRPr="0032068E">
        <w:rPr>
          <w:rFonts w:ascii="Verdana" w:hAnsi="Verdana"/>
          <w:sz w:val="20"/>
          <w:szCs w:val="20"/>
          <w:lang w:val="es-CR"/>
        </w:rPr>
        <w:t xml:space="preserve">l </w:t>
      </w:r>
      <w:r w:rsidR="006D0844">
        <w:rPr>
          <w:rFonts w:ascii="Verdana" w:hAnsi="Verdana"/>
          <w:sz w:val="20"/>
          <w:szCs w:val="20"/>
          <w:lang w:val="es-CR"/>
        </w:rPr>
        <w:t>dilatorio</w:t>
      </w:r>
      <w:r w:rsidRPr="0032068E">
        <w:rPr>
          <w:rFonts w:ascii="Verdana" w:hAnsi="Verdana"/>
          <w:sz w:val="20"/>
          <w:szCs w:val="20"/>
          <w:lang w:val="es-CR"/>
        </w:rPr>
        <w:t xml:space="preserve"> uso de recursos </w:t>
      </w:r>
      <w:r w:rsidRPr="009465EA">
        <w:rPr>
          <w:rFonts w:ascii="Verdana" w:hAnsi="Verdana"/>
          <w:sz w:val="20"/>
          <w:szCs w:val="20"/>
          <w:lang w:val="es-CR"/>
        </w:rPr>
        <w:t>judiciales (</w:t>
      </w:r>
      <w:r w:rsidRPr="009465EA">
        <w:rPr>
          <w:rFonts w:ascii="Verdana" w:hAnsi="Verdana"/>
          <w:i/>
          <w:sz w:val="20"/>
          <w:szCs w:val="20"/>
          <w:lang w:val="es-CR"/>
        </w:rPr>
        <w:t>infra</w:t>
      </w:r>
      <w:r w:rsidRPr="009465EA">
        <w:rPr>
          <w:rFonts w:ascii="Verdana" w:hAnsi="Verdana"/>
          <w:sz w:val="20"/>
          <w:szCs w:val="20"/>
          <w:lang w:val="es-CR"/>
        </w:rPr>
        <w:t xml:space="preserve"> Considerando</w:t>
      </w:r>
      <w:r w:rsidR="006D0844" w:rsidRPr="009465EA">
        <w:rPr>
          <w:rFonts w:ascii="Verdana" w:hAnsi="Verdana"/>
          <w:sz w:val="20"/>
          <w:szCs w:val="20"/>
          <w:lang w:val="es-CR"/>
        </w:rPr>
        <w:t>s</w:t>
      </w:r>
      <w:r w:rsidRPr="009465EA">
        <w:rPr>
          <w:rFonts w:ascii="Verdana" w:hAnsi="Verdana"/>
          <w:sz w:val="20"/>
          <w:szCs w:val="20"/>
          <w:lang w:val="es-CR"/>
        </w:rPr>
        <w:t xml:space="preserve"> </w:t>
      </w:r>
      <w:r w:rsidR="006D0844" w:rsidRPr="009465EA">
        <w:rPr>
          <w:rFonts w:ascii="Verdana" w:hAnsi="Verdana"/>
          <w:sz w:val="20"/>
          <w:szCs w:val="20"/>
          <w:lang w:val="es-CR"/>
        </w:rPr>
        <w:fldChar w:fldCharType="begin"/>
      </w:r>
      <w:r w:rsidR="006D0844" w:rsidRPr="009465EA">
        <w:rPr>
          <w:rFonts w:ascii="Verdana" w:hAnsi="Verdana"/>
          <w:sz w:val="20"/>
          <w:szCs w:val="20"/>
          <w:lang w:val="es-CR"/>
        </w:rPr>
        <w:instrText xml:space="preserve"> REF _Ref437858589 \r \h </w:instrText>
      </w:r>
      <w:r w:rsidR="004B4974" w:rsidRPr="009465EA">
        <w:rPr>
          <w:rFonts w:ascii="Verdana" w:hAnsi="Verdana"/>
          <w:sz w:val="20"/>
          <w:szCs w:val="20"/>
          <w:lang w:val="es-CR"/>
        </w:rPr>
        <w:instrText xml:space="preserve"> \* MERGEFORMAT </w:instrText>
      </w:r>
      <w:r w:rsidR="006D0844" w:rsidRPr="009465EA">
        <w:rPr>
          <w:rFonts w:ascii="Verdana" w:hAnsi="Verdana"/>
          <w:sz w:val="20"/>
          <w:szCs w:val="20"/>
          <w:lang w:val="es-CR"/>
        </w:rPr>
      </w:r>
      <w:r w:rsidR="006D0844" w:rsidRPr="009465EA">
        <w:rPr>
          <w:rFonts w:ascii="Verdana" w:hAnsi="Verdana"/>
          <w:sz w:val="20"/>
          <w:szCs w:val="20"/>
          <w:lang w:val="es-CR"/>
        </w:rPr>
        <w:fldChar w:fldCharType="separate"/>
      </w:r>
      <w:r w:rsidR="007E3C4B">
        <w:rPr>
          <w:rFonts w:ascii="Verdana" w:hAnsi="Verdana"/>
          <w:sz w:val="20"/>
          <w:szCs w:val="20"/>
          <w:lang w:val="es-CR"/>
        </w:rPr>
        <w:t>132</w:t>
      </w:r>
      <w:r w:rsidR="006D0844" w:rsidRPr="009465EA">
        <w:rPr>
          <w:rFonts w:ascii="Verdana" w:hAnsi="Verdana"/>
          <w:sz w:val="20"/>
          <w:szCs w:val="20"/>
          <w:lang w:val="es-CR"/>
        </w:rPr>
        <w:fldChar w:fldCharType="end"/>
      </w:r>
      <w:r w:rsidR="006D0844" w:rsidRPr="009465EA">
        <w:rPr>
          <w:rFonts w:ascii="Verdana" w:hAnsi="Verdana"/>
          <w:sz w:val="20"/>
          <w:szCs w:val="20"/>
          <w:lang w:val="es-CR"/>
        </w:rPr>
        <w:t xml:space="preserve"> a </w:t>
      </w:r>
      <w:r w:rsidR="006D0844" w:rsidRPr="009465EA">
        <w:rPr>
          <w:rFonts w:ascii="Verdana" w:hAnsi="Verdana"/>
          <w:sz w:val="20"/>
          <w:szCs w:val="20"/>
          <w:lang w:val="es-CR"/>
        </w:rPr>
        <w:fldChar w:fldCharType="begin"/>
      </w:r>
      <w:r w:rsidR="006D0844" w:rsidRPr="009465EA">
        <w:rPr>
          <w:rFonts w:ascii="Verdana" w:hAnsi="Verdana"/>
          <w:sz w:val="20"/>
          <w:szCs w:val="20"/>
          <w:lang w:val="es-CR"/>
        </w:rPr>
        <w:instrText xml:space="preserve"> REF _Ref437939198 \r \h </w:instrText>
      </w:r>
      <w:r w:rsidR="004B4974" w:rsidRPr="009465EA">
        <w:rPr>
          <w:rFonts w:ascii="Verdana" w:hAnsi="Verdana"/>
          <w:sz w:val="20"/>
          <w:szCs w:val="20"/>
          <w:lang w:val="es-CR"/>
        </w:rPr>
        <w:instrText xml:space="preserve"> \* MERGEFORMAT </w:instrText>
      </w:r>
      <w:r w:rsidR="006D0844" w:rsidRPr="009465EA">
        <w:rPr>
          <w:rFonts w:ascii="Verdana" w:hAnsi="Verdana"/>
          <w:sz w:val="20"/>
          <w:szCs w:val="20"/>
          <w:lang w:val="es-CR"/>
        </w:rPr>
      </w:r>
      <w:r w:rsidR="006D0844" w:rsidRPr="009465EA">
        <w:rPr>
          <w:rFonts w:ascii="Verdana" w:hAnsi="Verdana"/>
          <w:sz w:val="20"/>
          <w:szCs w:val="20"/>
          <w:lang w:val="es-CR"/>
        </w:rPr>
        <w:fldChar w:fldCharType="separate"/>
      </w:r>
      <w:r w:rsidR="007E3C4B">
        <w:rPr>
          <w:rFonts w:ascii="Verdana" w:hAnsi="Verdana"/>
          <w:sz w:val="20"/>
          <w:szCs w:val="20"/>
          <w:lang w:val="es-CR"/>
        </w:rPr>
        <w:t>136</w:t>
      </w:r>
      <w:r w:rsidR="006D0844" w:rsidRPr="009465EA">
        <w:rPr>
          <w:rFonts w:ascii="Verdana" w:hAnsi="Verdana"/>
          <w:sz w:val="20"/>
          <w:szCs w:val="20"/>
          <w:lang w:val="es-CR"/>
        </w:rPr>
        <w:fldChar w:fldCharType="end"/>
      </w:r>
      <w:r w:rsidRPr="009465EA">
        <w:rPr>
          <w:rFonts w:ascii="Verdana" w:hAnsi="Verdana"/>
          <w:sz w:val="20"/>
          <w:szCs w:val="20"/>
          <w:lang w:val="es-CR"/>
        </w:rPr>
        <w:t xml:space="preserve">), </w:t>
      </w:r>
      <w:r w:rsidR="00706807" w:rsidRPr="009465EA">
        <w:rPr>
          <w:rFonts w:ascii="Verdana" w:hAnsi="Verdana"/>
          <w:sz w:val="20"/>
          <w:szCs w:val="20"/>
          <w:lang w:val="es-CR"/>
        </w:rPr>
        <w:t xml:space="preserve">a </w:t>
      </w:r>
      <w:r w:rsidRPr="009465EA">
        <w:rPr>
          <w:rFonts w:ascii="Verdana" w:hAnsi="Verdana"/>
          <w:sz w:val="20"/>
          <w:szCs w:val="20"/>
          <w:lang w:val="es-CR"/>
        </w:rPr>
        <w:t>las solicitudes de eximentes de responsabilidad como la amnistía (</w:t>
      </w:r>
      <w:r w:rsidRPr="009465EA">
        <w:rPr>
          <w:rFonts w:ascii="Verdana" w:hAnsi="Verdana"/>
          <w:i/>
          <w:sz w:val="20"/>
          <w:szCs w:val="20"/>
          <w:lang w:val="es-CR"/>
        </w:rPr>
        <w:t>infra</w:t>
      </w:r>
      <w:r w:rsidRPr="009465EA">
        <w:rPr>
          <w:rFonts w:ascii="Verdana" w:hAnsi="Verdana"/>
          <w:sz w:val="20"/>
          <w:szCs w:val="20"/>
          <w:lang w:val="es-CR"/>
        </w:rPr>
        <w:t xml:space="preserve"> Considerando</w:t>
      </w:r>
      <w:r w:rsidR="00745ACC" w:rsidRPr="009465EA">
        <w:rPr>
          <w:rFonts w:ascii="Verdana" w:hAnsi="Verdana"/>
          <w:sz w:val="20"/>
          <w:szCs w:val="20"/>
          <w:lang w:val="es-CR"/>
        </w:rPr>
        <w:t>s</w:t>
      </w:r>
      <w:r w:rsidR="009465EA" w:rsidRPr="009465EA">
        <w:rPr>
          <w:rFonts w:ascii="Verdana" w:hAnsi="Verdana"/>
          <w:sz w:val="20"/>
          <w:szCs w:val="20"/>
          <w:lang w:val="es-CR"/>
        </w:rPr>
        <w:t xml:space="preserve"> 137 a 149</w:t>
      </w:r>
      <w:r w:rsidRPr="009465EA">
        <w:rPr>
          <w:rFonts w:ascii="Verdana" w:hAnsi="Verdana"/>
          <w:sz w:val="20"/>
          <w:szCs w:val="20"/>
          <w:lang w:val="es-CR"/>
        </w:rPr>
        <w:t>), y a la falta de ejecución de órdenes de aprehensión por parte de la Policía Nacional Civil (</w:t>
      </w:r>
      <w:r w:rsidRPr="009465EA">
        <w:rPr>
          <w:rFonts w:ascii="Verdana" w:hAnsi="Verdana"/>
          <w:i/>
          <w:sz w:val="20"/>
          <w:szCs w:val="20"/>
          <w:lang w:val="es-CR"/>
        </w:rPr>
        <w:t>infra</w:t>
      </w:r>
      <w:r w:rsidRPr="009465EA">
        <w:rPr>
          <w:rFonts w:ascii="Verdana" w:hAnsi="Verdana"/>
          <w:sz w:val="20"/>
          <w:szCs w:val="20"/>
          <w:lang w:val="es-CR"/>
        </w:rPr>
        <w:t xml:space="preserve"> Considerando</w:t>
      </w:r>
      <w:r w:rsidR="00745ACC" w:rsidRPr="009465EA">
        <w:rPr>
          <w:rFonts w:ascii="Verdana" w:hAnsi="Verdana"/>
          <w:sz w:val="20"/>
          <w:szCs w:val="20"/>
          <w:lang w:val="es-CR"/>
        </w:rPr>
        <w:t>s</w:t>
      </w:r>
      <w:r w:rsidRPr="009465EA">
        <w:rPr>
          <w:rFonts w:ascii="Verdana" w:hAnsi="Verdana"/>
          <w:sz w:val="20"/>
          <w:szCs w:val="20"/>
          <w:lang w:val="es-CR"/>
        </w:rPr>
        <w:t xml:space="preserve"> </w:t>
      </w:r>
      <w:r w:rsidR="009465EA" w:rsidRPr="009465EA">
        <w:rPr>
          <w:rFonts w:ascii="Verdana" w:hAnsi="Verdana"/>
          <w:sz w:val="20"/>
          <w:szCs w:val="20"/>
          <w:lang w:val="es-CR"/>
        </w:rPr>
        <w:t xml:space="preserve">150 </w:t>
      </w:r>
      <w:r w:rsidR="00745ACC" w:rsidRPr="009465EA">
        <w:rPr>
          <w:rFonts w:ascii="Verdana" w:hAnsi="Verdana"/>
          <w:sz w:val="20"/>
          <w:szCs w:val="20"/>
          <w:lang w:val="es-CR"/>
        </w:rPr>
        <w:t xml:space="preserve">a </w:t>
      </w:r>
      <w:r w:rsidR="00745ACC" w:rsidRPr="009465EA">
        <w:rPr>
          <w:rFonts w:ascii="Verdana" w:hAnsi="Verdana"/>
          <w:sz w:val="20"/>
          <w:szCs w:val="20"/>
          <w:lang w:val="es-CR"/>
        </w:rPr>
        <w:fldChar w:fldCharType="begin"/>
      </w:r>
      <w:r w:rsidR="00745ACC" w:rsidRPr="009465EA">
        <w:rPr>
          <w:rFonts w:ascii="Verdana" w:hAnsi="Verdana"/>
          <w:sz w:val="20"/>
          <w:szCs w:val="20"/>
          <w:lang w:val="es-CR"/>
        </w:rPr>
        <w:instrText xml:space="preserve"> REF _Ref437953119 \r \h </w:instrText>
      </w:r>
      <w:r w:rsidR="009465EA">
        <w:rPr>
          <w:rFonts w:ascii="Verdana" w:hAnsi="Verdana"/>
          <w:sz w:val="20"/>
          <w:szCs w:val="20"/>
          <w:lang w:val="es-CR"/>
        </w:rPr>
        <w:instrText xml:space="preserve"> \* MERGEFORMAT </w:instrText>
      </w:r>
      <w:r w:rsidR="00745ACC" w:rsidRPr="009465EA">
        <w:rPr>
          <w:rFonts w:ascii="Verdana" w:hAnsi="Verdana"/>
          <w:sz w:val="20"/>
          <w:szCs w:val="20"/>
          <w:lang w:val="es-CR"/>
        </w:rPr>
      </w:r>
      <w:r w:rsidR="00745ACC" w:rsidRPr="009465EA">
        <w:rPr>
          <w:rFonts w:ascii="Verdana" w:hAnsi="Verdana"/>
          <w:sz w:val="20"/>
          <w:szCs w:val="20"/>
          <w:lang w:val="es-CR"/>
        </w:rPr>
        <w:fldChar w:fldCharType="separate"/>
      </w:r>
      <w:r w:rsidR="007E3C4B">
        <w:rPr>
          <w:rFonts w:ascii="Verdana" w:hAnsi="Verdana"/>
          <w:sz w:val="20"/>
          <w:szCs w:val="20"/>
          <w:lang w:val="es-CR"/>
        </w:rPr>
        <w:t>155</w:t>
      </w:r>
      <w:r w:rsidR="00745ACC" w:rsidRPr="009465EA">
        <w:rPr>
          <w:rFonts w:ascii="Verdana" w:hAnsi="Verdana"/>
          <w:sz w:val="20"/>
          <w:szCs w:val="20"/>
          <w:lang w:val="es-CR"/>
        </w:rPr>
        <w:fldChar w:fldCharType="end"/>
      </w:r>
      <w:r w:rsidRPr="009465EA">
        <w:rPr>
          <w:rFonts w:ascii="Verdana" w:hAnsi="Verdana"/>
          <w:sz w:val="20"/>
          <w:szCs w:val="20"/>
          <w:lang w:val="es-CR"/>
        </w:rPr>
        <w:t>)</w:t>
      </w:r>
      <w:r w:rsidR="00E85BBC" w:rsidRPr="009465EA">
        <w:rPr>
          <w:rFonts w:ascii="Verdana" w:hAnsi="Verdana"/>
          <w:sz w:val="20"/>
          <w:szCs w:val="20"/>
          <w:lang w:val="es-CR"/>
        </w:rPr>
        <w:t xml:space="preserve"> posteriormente</w:t>
      </w:r>
      <w:r w:rsidRPr="009465EA">
        <w:rPr>
          <w:rFonts w:ascii="Verdana" w:hAnsi="Verdana"/>
          <w:sz w:val="20"/>
          <w:szCs w:val="20"/>
          <w:lang w:val="es-CR"/>
        </w:rPr>
        <w:t>.</w:t>
      </w:r>
      <w:r w:rsidRPr="0032068E">
        <w:rPr>
          <w:rFonts w:ascii="Verdana" w:hAnsi="Verdana"/>
          <w:sz w:val="20"/>
          <w:szCs w:val="20"/>
          <w:lang w:val="es-CR"/>
        </w:rPr>
        <w:t xml:space="preserve"> </w:t>
      </w:r>
    </w:p>
    <w:p w14:paraId="2FCE27EB" w14:textId="77777777" w:rsidR="00C3267F" w:rsidRPr="0032068E" w:rsidRDefault="00C3267F" w:rsidP="00C3267F">
      <w:pPr>
        <w:pStyle w:val="ListParagraph"/>
        <w:rPr>
          <w:rFonts w:ascii="Verdana" w:hAnsi="Verdana"/>
          <w:sz w:val="20"/>
          <w:szCs w:val="20"/>
          <w:lang w:val="es-CR"/>
        </w:rPr>
      </w:pPr>
    </w:p>
    <w:p w14:paraId="12DE224A" w14:textId="23409218" w:rsidR="00C3267F" w:rsidRPr="0032068E" w:rsidRDefault="00706807" w:rsidP="00C3267F">
      <w:pPr>
        <w:pStyle w:val="ListParagraph"/>
        <w:numPr>
          <w:ilvl w:val="0"/>
          <w:numId w:val="2"/>
        </w:numPr>
        <w:spacing w:after="0" w:line="240" w:lineRule="auto"/>
        <w:ind w:left="0" w:right="1444" w:firstLine="0"/>
        <w:jc w:val="both"/>
        <w:rPr>
          <w:rFonts w:ascii="Verdana" w:hAnsi="Verdana"/>
          <w:sz w:val="20"/>
          <w:szCs w:val="20"/>
          <w:lang w:val="es-CR"/>
        </w:rPr>
      </w:pPr>
      <w:bookmarkStart w:id="106" w:name="_Ref437962077"/>
      <w:r>
        <w:rPr>
          <w:rFonts w:ascii="Verdana" w:hAnsi="Verdana"/>
          <w:sz w:val="20"/>
          <w:szCs w:val="20"/>
          <w:lang w:val="es-CR"/>
        </w:rPr>
        <w:t xml:space="preserve">La Corte valora las actuaciones implementadas por el Estado para avanzar en la investigación </w:t>
      </w:r>
      <w:r w:rsidR="0083347C">
        <w:rPr>
          <w:rFonts w:ascii="Verdana" w:hAnsi="Verdana"/>
          <w:sz w:val="20"/>
          <w:szCs w:val="20"/>
          <w:lang w:val="es-CR"/>
        </w:rPr>
        <w:t>y juzgamiento por</w:t>
      </w:r>
      <w:r>
        <w:rPr>
          <w:rFonts w:ascii="Verdana" w:hAnsi="Verdana"/>
          <w:sz w:val="20"/>
          <w:szCs w:val="20"/>
          <w:lang w:val="es-CR"/>
        </w:rPr>
        <w:t xml:space="preserve"> los hechos del presente caso, entre las que destacan las decisiones judiciales condenatorias respecto de cinco personas </w:t>
      </w:r>
      <w:r w:rsidRPr="009465EA">
        <w:rPr>
          <w:rFonts w:ascii="Verdana" w:hAnsi="Verdana"/>
          <w:sz w:val="20"/>
          <w:szCs w:val="20"/>
          <w:lang w:val="es-CR"/>
        </w:rPr>
        <w:t>(</w:t>
      </w:r>
      <w:r w:rsidRPr="009465EA">
        <w:rPr>
          <w:rFonts w:ascii="Verdana" w:hAnsi="Verdana"/>
          <w:i/>
          <w:sz w:val="20"/>
          <w:szCs w:val="20"/>
          <w:lang w:val="es-CR"/>
        </w:rPr>
        <w:t>supra</w:t>
      </w:r>
      <w:r w:rsidRPr="009465EA">
        <w:rPr>
          <w:rFonts w:ascii="Verdana" w:hAnsi="Verdana"/>
          <w:sz w:val="20"/>
          <w:szCs w:val="20"/>
          <w:lang w:val="es-CR"/>
        </w:rPr>
        <w:t xml:space="preserve"> Considerando</w:t>
      </w:r>
      <w:r w:rsidR="009465EA" w:rsidRPr="009465EA">
        <w:rPr>
          <w:rFonts w:ascii="Verdana" w:hAnsi="Verdana"/>
          <w:sz w:val="20"/>
          <w:szCs w:val="20"/>
          <w:lang w:val="es-CR"/>
        </w:rPr>
        <w:t>s</w:t>
      </w:r>
      <w:r w:rsidRPr="009465EA">
        <w:rPr>
          <w:rFonts w:ascii="Verdana" w:hAnsi="Verdana"/>
          <w:sz w:val="20"/>
          <w:szCs w:val="20"/>
          <w:lang w:val="es-CR"/>
        </w:rPr>
        <w:t xml:space="preserve"> </w:t>
      </w:r>
      <w:r w:rsidR="009465EA" w:rsidRPr="009465EA">
        <w:rPr>
          <w:rFonts w:ascii="Verdana" w:hAnsi="Verdana"/>
          <w:sz w:val="20"/>
          <w:szCs w:val="20"/>
          <w:lang w:val="es-CR"/>
        </w:rPr>
        <w:t xml:space="preserve">108 y </w:t>
      </w:r>
      <w:r w:rsidRPr="009465EA">
        <w:rPr>
          <w:rFonts w:ascii="Verdana" w:hAnsi="Verdana"/>
          <w:sz w:val="20"/>
          <w:szCs w:val="20"/>
          <w:lang w:val="es-CR"/>
        </w:rPr>
        <w:t>109) y la acusación y solicitud</w:t>
      </w:r>
      <w:r w:rsidR="009465EA">
        <w:rPr>
          <w:rFonts w:ascii="Verdana" w:hAnsi="Verdana"/>
          <w:sz w:val="20"/>
          <w:szCs w:val="20"/>
          <w:lang w:val="es-CR"/>
        </w:rPr>
        <w:t xml:space="preserve"> de apertura a juicio respecto de otro imputado </w:t>
      </w:r>
      <w:r w:rsidRPr="009465EA">
        <w:rPr>
          <w:rFonts w:ascii="Verdana" w:hAnsi="Verdana"/>
          <w:sz w:val="20"/>
          <w:szCs w:val="20"/>
          <w:lang w:val="es-CR"/>
        </w:rPr>
        <w:t>(</w:t>
      </w:r>
      <w:r w:rsidRPr="009465EA">
        <w:rPr>
          <w:rFonts w:ascii="Verdana" w:hAnsi="Verdana"/>
          <w:i/>
          <w:sz w:val="20"/>
          <w:szCs w:val="20"/>
          <w:lang w:val="es-CR"/>
        </w:rPr>
        <w:t xml:space="preserve">supra </w:t>
      </w:r>
      <w:r w:rsidRPr="009465EA">
        <w:rPr>
          <w:rFonts w:ascii="Verdana" w:hAnsi="Verdana"/>
          <w:sz w:val="20"/>
          <w:szCs w:val="20"/>
          <w:lang w:val="es-CR"/>
        </w:rPr>
        <w:t>Considerando 110). Sin embargo, la Corte hace notar</w:t>
      </w:r>
      <w:r w:rsidR="00733A9B" w:rsidRPr="009465EA">
        <w:rPr>
          <w:rFonts w:ascii="Verdana" w:hAnsi="Verdana"/>
          <w:sz w:val="20"/>
          <w:szCs w:val="20"/>
          <w:lang w:val="es-CR"/>
        </w:rPr>
        <w:t>,</w:t>
      </w:r>
      <w:r w:rsidRPr="009465EA">
        <w:rPr>
          <w:rFonts w:ascii="Verdana" w:hAnsi="Verdana"/>
          <w:sz w:val="20"/>
          <w:szCs w:val="20"/>
          <w:lang w:val="es-CR"/>
        </w:rPr>
        <w:t xml:space="preserve"> con base en lo informado por los representantes</w:t>
      </w:r>
      <w:r w:rsidR="00733A9B" w:rsidRPr="009465EA">
        <w:rPr>
          <w:rFonts w:ascii="Verdana" w:hAnsi="Verdana"/>
          <w:sz w:val="20"/>
          <w:szCs w:val="20"/>
          <w:lang w:val="es-CR"/>
        </w:rPr>
        <w:t xml:space="preserve"> y la Comisión,</w:t>
      </w:r>
      <w:r w:rsidRPr="009465EA">
        <w:rPr>
          <w:rFonts w:ascii="Verdana" w:hAnsi="Verdana"/>
          <w:sz w:val="20"/>
          <w:szCs w:val="20"/>
          <w:lang w:val="es-CR"/>
        </w:rPr>
        <w:t xml:space="preserve"> que desde abril de 2013 </w:t>
      </w:r>
      <w:r w:rsidR="00733A9B" w:rsidRPr="009465EA">
        <w:rPr>
          <w:rFonts w:ascii="Verdana" w:hAnsi="Verdana"/>
          <w:sz w:val="20"/>
          <w:szCs w:val="20"/>
          <w:lang w:val="es-CR"/>
        </w:rPr>
        <w:t xml:space="preserve">el proceso </w:t>
      </w:r>
      <w:r w:rsidR="009465EA">
        <w:rPr>
          <w:rFonts w:ascii="Verdana" w:hAnsi="Verdana"/>
          <w:sz w:val="20"/>
          <w:szCs w:val="20"/>
          <w:lang w:val="es-CR"/>
        </w:rPr>
        <w:t>en contra de ese</w:t>
      </w:r>
      <w:r w:rsidRPr="009465EA">
        <w:rPr>
          <w:rFonts w:ascii="Verdana" w:hAnsi="Verdana"/>
          <w:sz w:val="20"/>
          <w:szCs w:val="20"/>
          <w:lang w:val="es-CR"/>
        </w:rPr>
        <w:t xml:space="preserve"> imputado se encuentra </w:t>
      </w:r>
      <w:r w:rsidR="00733A9B" w:rsidRPr="009465EA">
        <w:rPr>
          <w:rFonts w:ascii="Verdana" w:hAnsi="Verdana"/>
          <w:sz w:val="20"/>
          <w:szCs w:val="20"/>
          <w:lang w:val="es-CR"/>
        </w:rPr>
        <w:t>“</w:t>
      </w:r>
      <w:r w:rsidRPr="009465EA">
        <w:rPr>
          <w:rFonts w:ascii="Verdana" w:hAnsi="Verdana"/>
          <w:sz w:val="20"/>
          <w:szCs w:val="20"/>
          <w:lang w:val="es-CR"/>
        </w:rPr>
        <w:t>paralizado</w:t>
      </w:r>
      <w:r w:rsidR="00733A9B" w:rsidRPr="009465EA">
        <w:rPr>
          <w:rFonts w:ascii="Verdana" w:hAnsi="Verdana"/>
          <w:sz w:val="20"/>
          <w:szCs w:val="20"/>
          <w:lang w:val="es-CR"/>
        </w:rPr>
        <w:t>”</w:t>
      </w:r>
      <w:r w:rsidRPr="009465EA">
        <w:rPr>
          <w:rFonts w:ascii="Verdana" w:hAnsi="Verdana"/>
          <w:sz w:val="20"/>
          <w:szCs w:val="20"/>
          <w:lang w:val="es-CR"/>
        </w:rPr>
        <w:t xml:space="preserve"> como consecuencia los recur</w:t>
      </w:r>
      <w:r w:rsidR="00B03395" w:rsidRPr="009465EA">
        <w:rPr>
          <w:rFonts w:ascii="Verdana" w:hAnsi="Verdana"/>
          <w:sz w:val="20"/>
          <w:szCs w:val="20"/>
          <w:lang w:val="es-CR"/>
        </w:rPr>
        <w:t xml:space="preserve">sos judiciales interpuestos en relación con la calificación de los delitos que le son atribuidos. </w:t>
      </w:r>
      <w:bookmarkEnd w:id="106"/>
      <w:r w:rsidR="009465EA">
        <w:rPr>
          <w:rFonts w:ascii="Verdana" w:hAnsi="Verdana"/>
          <w:sz w:val="20"/>
          <w:szCs w:val="20"/>
          <w:lang w:val="es-CR"/>
        </w:rPr>
        <w:t>Asimismo, l</w:t>
      </w:r>
      <w:r w:rsidR="009465EA" w:rsidRPr="009465EA">
        <w:rPr>
          <w:rFonts w:ascii="Verdana" w:hAnsi="Verdana"/>
          <w:sz w:val="20"/>
          <w:szCs w:val="20"/>
          <w:lang w:val="es-CR"/>
        </w:rPr>
        <w:t xml:space="preserve">a Corte no cuenta con información detallada y actualizada sobre las diligencias llevadas a cabo por el Estado para lograr la extradición de aquellos imputados que se encuentran fuera de Guatemala, ni de aquellas relacionadas con la acusación y, de ser el caso, sanción de los demás imputados identificados en el Informe del Ministerio Público de mayo de 2014.  Además de ello, </w:t>
      </w:r>
      <w:r w:rsidR="009465EA">
        <w:rPr>
          <w:rFonts w:ascii="Verdana" w:hAnsi="Verdana"/>
          <w:sz w:val="20"/>
          <w:szCs w:val="20"/>
          <w:lang w:val="es-CR"/>
        </w:rPr>
        <w:t xml:space="preserve">no es claro si se está </w:t>
      </w:r>
      <w:r w:rsidR="009465EA" w:rsidRPr="009465EA">
        <w:rPr>
          <w:rFonts w:ascii="Verdana" w:hAnsi="Verdana"/>
          <w:sz w:val="20"/>
          <w:szCs w:val="20"/>
          <w:lang w:val="es-CR"/>
        </w:rPr>
        <w:t>in</w:t>
      </w:r>
      <w:r w:rsidR="009465EA">
        <w:rPr>
          <w:rFonts w:ascii="Verdana" w:hAnsi="Verdana"/>
          <w:sz w:val="20"/>
          <w:szCs w:val="20"/>
          <w:lang w:val="es-CR"/>
        </w:rPr>
        <w:t>vestigando</w:t>
      </w:r>
      <w:r w:rsidR="009465EA" w:rsidRPr="009465EA">
        <w:rPr>
          <w:rFonts w:ascii="Verdana" w:hAnsi="Verdana"/>
          <w:sz w:val="20"/>
          <w:szCs w:val="20"/>
          <w:lang w:val="es-CR"/>
        </w:rPr>
        <w:t xml:space="preserve"> si existen otras responsabilidades vinculadas con los hechos atinentes al presente caso.</w:t>
      </w:r>
    </w:p>
    <w:p w14:paraId="6ED62209" w14:textId="77777777" w:rsidR="00C3267F" w:rsidRPr="0032068E" w:rsidRDefault="00C3267F" w:rsidP="00C3267F">
      <w:pPr>
        <w:pStyle w:val="ListParagraph"/>
        <w:rPr>
          <w:rFonts w:ascii="Verdana" w:hAnsi="Verdana"/>
          <w:sz w:val="20"/>
          <w:szCs w:val="20"/>
          <w:lang w:val="es-CR"/>
        </w:rPr>
      </w:pPr>
    </w:p>
    <w:p w14:paraId="27E4931B" w14:textId="6E36CDF1" w:rsidR="00C3267F" w:rsidRPr="0032068E" w:rsidRDefault="00B03395" w:rsidP="00C3267F">
      <w:pPr>
        <w:pStyle w:val="ListParagraph"/>
        <w:numPr>
          <w:ilvl w:val="0"/>
          <w:numId w:val="2"/>
        </w:numPr>
        <w:spacing w:after="0" w:line="240" w:lineRule="auto"/>
        <w:ind w:left="0" w:right="1444" w:firstLine="0"/>
        <w:jc w:val="both"/>
        <w:rPr>
          <w:rFonts w:ascii="Verdana" w:hAnsi="Verdana"/>
          <w:sz w:val="20"/>
          <w:szCs w:val="20"/>
          <w:lang w:val="es-CR"/>
        </w:rPr>
      </w:pPr>
      <w:bookmarkStart w:id="107" w:name="_Ref437964485"/>
      <w:r>
        <w:rPr>
          <w:rFonts w:ascii="Verdana" w:hAnsi="Verdana"/>
          <w:sz w:val="20"/>
          <w:szCs w:val="20"/>
          <w:lang w:val="es-CR"/>
        </w:rPr>
        <w:lastRenderedPageBreak/>
        <w:t>L</w:t>
      </w:r>
      <w:r w:rsidR="00C3267F" w:rsidRPr="0032068E">
        <w:rPr>
          <w:rFonts w:ascii="Verdana" w:hAnsi="Verdana"/>
          <w:sz w:val="20"/>
          <w:szCs w:val="20"/>
          <w:lang w:val="es-CR"/>
        </w:rPr>
        <w:t>a Corte requiere al Estado que presente información actualizada y detallada sobre</w:t>
      </w:r>
      <w:r>
        <w:rPr>
          <w:rFonts w:ascii="Verdana" w:hAnsi="Verdana"/>
          <w:sz w:val="20"/>
          <w:szCs w:val="20"/>
          <w:lang w:val="es-CR"/>
        </w:rPr>
        <w:t xml:space="preserve"> la investigación de los hechos del presente caso, en particular sobre</w:t>
      </w:r>
      <w:r w:rsidR="00C3267F" w:rsidRPr="0032068E">
        <w:rPr>
          <w:rFonts w:ascii="Verdana" w:hAnsi="Verdana"/>
          <w:sz w:val="20"/>
          <w:szCs w:val="20"/>
          <w:lang w:val="es-CR"/>
        </w:rPr>
        <w:t xml:space="preserve"> </w:t>
      </w:r>
      <w:r>
        <w:rPr>
          <w:rFonts w:ascii="Verdana" w:hAnsi="Verdana"/>
          <w:sz w:val="20"/>
          <w:szCs w:val="20"/>
          <w:lang w:val="es-CR"/>
        </w:rPr>
        <w:t xml:space="preserve">el proceso seguido contra el imputado Ríos Montt, y la </w:t>
      </w:r>
      <w:r w:rsidR="00C3267F" w:rsidRPr="0032068E">
        <w:rPr>
          <w:rFonts w:ascii="Verdana" w:hAnsi="Verdana"/>
          <w:sz w:val="20"/>
          <w:szCs w:val="20"/>
          <w:lang w:val="es-CR"/>
        </w:rPr>
        <w:t>determina</w:t>
      </w:r>
      <w:r>
        <w:rPr>
          <w:rFonts w:ascii="Verdana" w:hAnsi="Verdana"/>
          <w:sz w:val="20"/>
          <w:szCs w:val="20"/>
          <w:lang w:val="es-CR"/>
        </w:rPr>
        <w:t>ción de</w:t>
      </w:r>
      <w:r w:rsidR="00C3267F" w:rsidRPr="0032068E">
        <w:rPr>
          <w:rFonts w:ascii="Verdana" w:hAnsi="Verdana"/>
          <w:sz w:val="20"/>
          <w:szCs w:val="20"/>
          <w:lang w:val="es-CR"/>
        </w:rPr>
        <w:t xml:space="preserve"> la </w:t>
      </w:r>
      <w:r w:rsidRPr="0032068E">
        <w:rPr>
          <w:rFonts w:ascii="Verdana" w:hAnsi="Verdana"/>
          <w:sz w:val="20"/>
          <w:szCs w:val="20"/>
          <w:lang w:val="es-CR"/>
        </w:rPr>
        <w:t>responsabilidad</w:t>
      </w:r>
      <w:r>
        <w:rPr>
          <w:rFonts w:ascii="Verdana" w:hAnsi="Verdana"/>
          <w:sz w:val="20"/>
          <w:szCs w:val="20"/>
          <w:lang w:val="es-CR"/>
        </w:rPr>
        <w:t xml:space="preserve"> penal</w:t>
      </w:r>
      <w:r w:rsidRPr="0032068E">
        <w:rPr>
          <w:rFonts w:ascii="Verdana" w:hAnsi="Verdana"/>
          <w:sz w:val="20"/>
          <w:szCs w:val="20"/>
          <w:lang w:val="es-CR"/>
        </w:rPr>
        <w:t xml:space="preserve"> </w:t>
      </w:r>
      <w:r w:rsidR="00C3267F" w:rsidRPr="0032068E">
        <w:rPr>
          <w:rFonts w:ascii="Verdana" w:hAnsi="Verdana"/>
          <w:sz w:val="20"/>
          <w:szCs w:val="20"/>
          <w:lang w:val="es-CR"/>
        </w:rPr>
        <w:t>de los</w:t>
      </w:r>
      <w:r>
        <w:rPr>
          <w:rFonts w:ascii="Verdana" w:hAnsi="Verdana"/>
          <w:sz w:val="20"/>
          <w:szCs w:val="20"/>
          <w:lang w:val="es-CR"/>
        </w:rPr>
        <w:t xml:space="preserve"> restantes</w:t>
      </w:r>
      <w:r w:rsidR="00C3267F" w:rsidRPr="0032068E">
        <w:rPr>
          <w:rFonts w:ascii="Verdana" w:hAnsi="Verdana"/>
          <w:sz w:val="20"/>
          <w:szCs w:val="20"/>
          <w:lang w:val="es-CR"/>
        </w:rPr>
        <w:t xml:space="preserve"> imputados señalados por el Ministerio Público</w:t>
      </w:r>
      <w:r>
        <w:rPr>
          <w:rFonts w:ascii="Verdana" w:hAnsi="Verdana"/>
          <w:sz w:val="20"/>
          <w:szCs w:val="20"/>
          <w:lang w:val="es-CR"/>
        </w:rPr>
        <w:t xml:space="preserve">, así como </w:t>
      </w:r>
      <w:r w:rsidR="00C3267F" w:rsidRPr="0032068E">
        <w:rPr>
          <w:rFonts w:ascii="Verdana" w:hAnsi="Verdana"/>
          <w:sz w:val="20"/>
          <w:szCs w:val="20"/>
          <w:lang w:val="es-CR"/>
        </w:rPr>
        <w:t>de cualquier otra persona que pueda estar involucrada con la Masacre de las Dos Erres</w:t>
      </w:r>
      <w:r>
        <w:rPr>
          <w:rFonts w:ascii="Verdana" w:hAnsi="Verdana"/>
          <w:sz w:val="20"/>
          <w:szCs w:val="20"/>
          <w:lang w:val="es-CR"/>
        </w:rPr>
        <w:t>. Asimismo, se requiere que el Estado presente información sobre las medidas que adopte con el fin de</w:t>
      </w:r>
      <w:r w:rsidR="00C3267F" w:rsidRPr="0032068E">
        <w:rPr>
          <w:rFonts w:ascii="Verdana" w:hAnsi="Verdana"/>
          <w:sz w:val="20"/>
          <w:szCs w:val="20"/>
          <w:lang w:val="es-CR"/>
        </w:rPr>
        <w:t xml:space="preserve"> superar los obstáculos estructurales que afectan las investigaciones, enjuiciamientos y capturas de los responsables de dichos hechos, entre ellas la</w:t>
      </w:r>
      <w:r>
        <w:rPr>
          <w:rFonts w:ascii="Verdana" w:hAnsi="Verdana"/>
          <w:sz w:val="20"/>
          <w:szCs w:val="20"/>
          <w:lang w:val="es-CR"/>
        </w:rPr>
        <w:t xml:space="preserve"> ejecución de las órdenes de aprehensión y </w:t>
      </w:r>
      <w:r w:rsidR="00C3267F" w:rsidRPr="0032068E">
        <w:rPr>
          <w:rFonts w:ascii="Verdana" w:hAnsi="Verdana"/>
          <w:sz w:val="20"/>
          <w:szCs w:val="20"/>
          <w:lang w:val="es-CR"/>
        </w:rPr>
        <w:t xml:space="preserve">de extradición de aquellos imputados que se encuentren fuera de Guatemala. </w:t>
      </w:r>
      <w:r w:rsidR="009D2FDE" w:rsidRPr="0032068E">
        <w:rPr>
          <w:rFonts w:ascii="Verdana" w:hAnsi="Verdana"/>
          <w:sz w:val="20"/>
          <w:szCs w:val="20"/>
          <w:lang w:val="es-CR"/>
        </w:rPr>
        <w:t xml:space="preserve">En este sentido, se solicita </w:t>
      </w:r>
      <w:r w:rsidR="00733A9B">
        <w:rPr>
          <w:rFonts w:ascii="Verdana" w:hAnsi="Verdana"/>
          <w:sz w:val="20"/>
          <w:szCs w:val="20"/>
          <w:lang w:val="es-CR"/>
        </w:rPr>
        <w:t xml:space="preserve">a Guatemala </w:t>
      </w:r>
      <w:r w:rsidR="009D2FDE" w:rsidRPr="0032068E">
        <w:rPr>
          <w:rFonts w:ascii="Verdana" w:hAnsi="Verdana"/>
          <w:sz w:val="20"/>
          <w:szCs w:val="20"/>
          <w:lang w:val="es-CR"/>
        </w:rPr>
        <w:t xml:space="preserve">que </w:t>
      </w:r>
      <w:r w:rsidR="009D2FDE" w:rsidRPr="0032068E">
        <w:rPr>
          <w:rFonts w:ascii="Verdana" w:hAnsi="Verdana"/>
          <w:sz w:val="20"/>
          <w:szCs w:val="20"/>
          <w:lang w:val="es-UY"/>
        </w:rPr>
        <w:t xml:space="preserve">presente </w:t>
      </w:r>
      <w:r w:rsidR="009D2FDE" w:rsidRPr="0032068E">
        <w:rPr>
          <w:rFonts w:ascii="Verdana" w:hAnsi="Verdana"/>
          <w:sz w:val="20"/>
          <w:szCs w:val="20"/>
          <w:lang w:val="es-CR"/>
        </w:rPr>
        <w:t>un cronograma de las diligencias por realizar con el fin de identificar, juzgar y</w:t>
      </w:r>
      <w:r>
        <w:rPr>
          <w:rFonts w:ascii="Verdana" w:hAnsi="Verdana"/>
          <w:sz w:val="20"/>
          <w:szCs w:val="20"/>
          <w:lang w:val="es-CR"/>
        </w:rPr>
        <w:t>,</w:t>
      </w:r>
      <w:r w:rsidR="009D2FDE" w:rsidRPr="0032068E">
        <w:rPr>
          <w:rFonts w:ascii="Verdana" w:hAnsi="Verdana"/>
          <w:sz w:val="20"/>
          <w:szCs w:val="20"/>
          <w:lang w:val="es-CR"/>
        </w:rPr>
        <w:t xml:space="preserve"> en su caso, sancionar, a los responsables de las violaciones a derechos humanos identificadas en el caso</w:t>
      </w:r>
      <w:r w:rsidR="00277E35" w:rsidRPr="0032068E">
        <w:rPr>
          <w:rFonts w:ascii="Verdana" w:hAnsi="Verdana"/>
          <w:sz w:val="20"/>
          <w:szCs w:val="20"/>
          <w:lang w:val="es-CR"/>
        </w:rPr>
        <w:t>.</w:t>
      </w:r>
      <w:bookmarkEnd w:id="107"/>
    </w:p>
    <w:p w14:paraId="3F19F658" w14:textId="77777777" w:rsidR="00E0073A" w:rsidRDefault="00E0073A" w:rsidP="00C3267F">
      <w:pPr>
        <w:pStyle w:val="ListParagraph"/>
        <w:spacing w:after="0" w:line="240" w:lineRule="auto"/>
        <w:ind w:left="0" w:right="1444"/>
        <w:jc w:val="both"/>
        <w:rPr>
          <w:rFonts w:ascii="Verdana" w:hAnsi="Verdana"/>
          <w:sz w:val="20"/>
          <w:szCs w:val="20"/>
          <w:lang w:val="es-CR"/>
        </w:rPr>
      </w:pPr>
    </w:p>
    <w:p w14:paraId="14DA10BA" w14:textId="77777777" w:rsidR="00D33DAD" w:rsidRDefault="00D33DAD" w:rsidP="00C3267F">
      <w:pPr>
        <w:pStyle w:val="ListParagraph"/>
        <w:spacing w:after="0" w:line="240" w:lineRule="auto"/>
        <w:ind w:left="0" w:right="1444"/>
        <w:jc w:val="both"/>
        <w:rPr>
          <w:rFonts w:ascii="Verdana" w:hAnsi="Verdana"/>
          <w:sz w:val="20"/>
          <w:szCs w:val="20"/>
          <w:lang w:val="es-CR"/>
        </w:rPr>
      </w:pPr>
    </w:p>
    <w:p w14:paraId="0CC06E10" w14:textId="77777777" w:rsidR="00D33DAD" w:rsidRDefault="00D33DAD" w:rsidP="00C3267F">
      <w:pPr>
        <w:pStyle w:val="ListParagraph"/>
        <w:spacing w:after="0" w:line="240" w:lineRule="auto"/>
        <w:ind w:left="0" w:right="1444"/>
        <w:jc w:val="both"/>
        <w:rPr>
          <w:rFonts w:ascii="Verdana" w:hAnsi="Verdana"/>
          <w:sz w:val="20"/>
          <w:szCs w:val="20"/>
          <w:lang w:val="es-CR"/>
        </w:rPr>
      </w:pPr>
    </w:p>
    <w:p w14:paraId="4D4B2205" w14:textId="77777777" w:rsidR="00D33DAD" w:rsidRPr="0032068E" w:rsidRDefault="00D33DAD" w:rsidP="00C3267F">
      <w:pPr>
        <w:pStyle w:val="ListParagraph"/>
        <w:spacing w:after="0" w:line="240" w:lineRule="auto"/>
        <w:ind w:left="0" w:right="1444"/>
        <w:jc w:val="both"/>
        <w:rPr>
          <w:rFonts w:ascii="Verdana" w:hAnsi="Verdana"/>
          <w:sz w:val="20"/>
          <w:szCs w:val="20"/>
          <w:lang w:val="es-CR"/>
        </w:rPr>
      </w:pPr>
    </w:p>
    <w:p w14:paraId="2E5CFAFC" w14:textId="30D47B33" w:rsidR="00F15D25" w:rsidRPr="0032068E" w:rsidRDefault="00C3267F" w:rsidP="00AD5701">
      <w:pPr>
        <w:pStyle w:val="Heading3"/>
      </w:pPr>
      <w:bookmarkStart w:id="108" w:name="_Toc435778537"/>
      <w:bookmarkStart w:id="109" w:name="_Toc439248795"/>
      <w:r w:rsidRPr="0032068E">
        <w:t>Caso Chitay Nech</w:t>
      </w:r>
      <w:bookmarkEnd w:id="108"/>
      <w:r w:rsidR="00367BD3">
        <w:t xml:space="preserve"> y otros</w:t>
      </w:r>
      <w:bookmarkEnd w:id="109"/>
    </w:p>
    <w:p w14:paraId="40155742" w14:textId="77777777" w:rsidR="00C3267F" w:rsidRPr="0032068E" w:rsidRDefault="00C3267F" w:rsidP="00C3267F">
      <w:pPr>
        <w:pStyle w:val="ListParagraph"/>
        <w:spacing w:after="0" w:line="240" w:lineRule="auto"/>
        <w:ind w:left="0" w:right="1444"/>
        <w:jc w:val="both"/>
        <w:rPr>
          <w:rFonts w:ascii="Verdana" w:hAnsi="Verdana"/>
          <w:sz w:val="20"/>
          <w:szCs w:val="20"/>
          <w:lang w:val="es-CR"/>
        </w:rPr>
      </w:pPr>
    </w:p>
    <w:p w14:paraId="0DC16448" w14:textId="2B1A2514" w:rsidR="00F15D25" w:rsidRPr="00CD1A83" w:rsidRDefault="00745FBF" w:rsidP="00D901B8">
      <w:pPr>
        <w:numPr>
          <w:ilvl w:val="0"/>
          <w:numId w:val="2"/>
        </w:numPr>
        <w:spacing w:after="0" w:line="240" w:lineRule="auto"/>
        <w:ind w:left="0" w:right="1444" w:firstLine="0"/>
        <w:contextualSpacing/>
        <w:jc w:val="both"/>
        <w:rPr>
          <w:rFonts w:ascii="Verdana" w:hAnsi="Verdana"/>
          <w:sz w:val="20"/>
          <w:szCs w:val="20"/>
          <w:lang w:val="es-CR"/>
        </w:rPr>
      </w:pPr>
      <w:r>
        <w:rPr>
          <w:rFonts w:ascii="Verdana" w:hAnsi="Verdana" w:cs="Verdana"/>
          <w:sz w:val="20"/>
          <w:szCs w:val="20"/>
          <w:lang w:val="es-ES"/>
        </w:rPr>
        <w:t>E</w:t>
      </w:r>
      <w:r w:rsidR="00367BD3" w:rsidRPr="00597CAA">
        <w:rPr>
          <w:rFonts w:ascii="Verdana" w:hAnsi="Verdana" w:cs="Verdana"/>
          <w:sz w:val="20"/>
          <w:szCs w:val="20"/>
          <w:lang w:val="es-ES"/>
        </w:rPr>
        <w:t xml:space="preserve">n la Sentencia del presente caso se hizo constar que el 2 de marzo de 2009 </w:t>
      </w:r>
      <w:r w:rsidR="00367BD3" w:rsidRPr="00597CAA">
        <w:rPr>
          <w:rFonts w:ascii="Verdana" w:hAnsi="Verdana"/>
          <w:sz w:val="20"/>
          <w:szCs w:val="20"/>
          <w:lang w:val="es-CR"/>
        </w:rPr>
        <w:t xml:space="preserve">se inició la investigación con una denuncia presentada por el delito </w:t>
      </w:r>
      <w:r w:rsidR="0034191D">
        <w:rPr>
          <w:rFonts w:ascii="Verdana" w:hAnsi="Verdana"/>
          <w:sz w:val="20"/>
          <w:szCs w:val="20"/>
          <w:lang w:val="es-CR"/>
        </w:rPr>
        <w:t xml:space="preserve">de </w:t>
      </w:r>
      <w:r w:rsidR="00367BD3" w:rsidRPr="00597CAA">
        <w:rPr>
          <w:rFonts w:ascii="Verdana" w:hAnsi="Verdana"/>
          <w:sz w:val="20"/>
          <w:szCs w:val="20"/>
          <w:lang w:val="es-CR"/>
        </w:rPr>
        <w:t>desaparición forzada</w:t>
      </w:r>
      <w:r w:rsidR="00ED3F07" w:rsidRPr="00597CAA">
        <w:rPr>
          <w:rStyle w:val="FootnoteReference"/>
          <w:rFonts w:ascii="Verdana" w:hAnsi="Verdana"/>
          <w:sz w:val="20"/>
          <w:szCs w:val="20"/>
          <w:lang w:val="es-CR"/>
        </w:rPr>
        <w:footnoteReference w:id="121"/>
      </w:r>
      <w:r w:rsidR="00367BD3" w:rsidRPr="00597CAA">
        <w:rPr>
          <w:rFonts w:ascii="Verdana" w:hAnsi="Verdana"/>
          <w:sz w:val="20"/>
          <w:szCs w:val="20"/>
          <w:lang w:val="es-CR"/>
        </w:rPr>
        <w:t>.</w:t>
      </w:r>
      <w:r w:rsidR="00367BD3" w:rsidRPr="00597CAA">
        <w:rPr>
          <w:lang w:val="es-CR"/>
        </w:rPr>
        <w:t xml:space="preserve"> </w:t>
      </w:r>
      <w:r w:rsidR="00367BD3" w:rsidRPr="00597CAA">
        <w:rPr>
          <w:rFonts w:ascii="Verdana" w:hAnsi="Verdana" w:cs="Verdana"/>
          <w:sz w:val="20"/>
          <w:szCs w:val="20"/>
          <w:lang w:val="es-ES"/>
        </w:rPr>
        <w:t>E</w:t>
      </w:r>
      <w:r w:rsidR="00C3267F" w:rsidRPr="00597CAA">
        <w:rPr>
          <w:rFonts w:ascii="Verdana" w:hAnsi="Verdana" w:cs="Verdana"/>
          <w:sz w:val="20"/>
          <w:szCs w:val="20"/>
          <w:lang w:val="es-ES"/>
        </w:rPr>
        <w:t>n su Resolución de</w:t>
      </w:r>
      <w:r w:rsidR="00367BD3" w:rsidRPr="00597CAA">
        <w:rPr>
          <w:rFonts w:ascii="Verdana" w:hAnsi="Verdana" w:cs="Verdana"/>
          <w:sz w:val="20"/>
          <w:szCs w:val="20"/>
          <w:lang w:val="es-ES"/>
        </w:rPr>
        <w:t xml:space="preserve"> agosto de</w:t>
      </w:r>
      <w:r w:rsidR="00C3267F" w:rsidRPr="00597CAA">
        <w:rPr>
          <w:rFonts w:ascii="Verdana" w:hAnsi="Verdana" w:cs="Verdana"/>
          <w:sz w:val="20"/>
          <w:szCs w:val="20"/>
          <w:lang w:val="es-ES"/>
        </w:rPr>
        <w:t xml:space="preserve"> 2013</w:t>
      </w:r>
      <w:r w:rsidR="00ED3F07" w:rsidRPr="00597CAA">
        <w:rPr>
          <w:rStyle w:val="FootnoteReference"/>
          <w:rFonts w:ascii="Verdana" w:hAnsi="Verdana" w:cs="Verdana"/>
          <w:sz w:val="20"/>
          <w:szCs w:val="20"/>
          <w:lang w:val="es-ES"/>
        </w:rPr>
        <w:footnoteReference w:id="122"/>
      </w:r>
      <w:r w:rsidR="00367BD3" w:rsidRPr="00597CAA">
        <w:rPr>
          <w:rFonts w:ascii="Verdana" w:hAnsi="Verdana" w:cs="Verdana"/>
          <w:sz w:val="20"/>
          <w:szCs w:val="20"/>
          <w:lang w:val="es-ES"/>
        </w:rPr>
        <w:t xml:space="preserve">, la Corte “valor[ó] los esfuerzos realizados por el Estado orientados a llevar a cabo diligencias en la investigación de los hechos” relacionados con la detención y posterior desaparición forzada del señor Florencio Chitay Nech. </w:t>
      </w:r>
      <w:r w:rsidR="00ED3F07" w:rsidRPr="00597CAA">
        <w:rPr>
          <w:rFonts w:ascii="Verdana" w:hAnsi="Verdana" w:cs="Verdana"/>
          <w:sz w:val="20"/>
          <w:szCs w:val="20"/>
          <w:lang w:val="es-ES"/>
        </w:rPr>
        <w:t>A</w:t>
      </w:r>
      <w:r w:rsidR="00C3267F" w:rsidRPr="00597CAA">
        <w:rPr>
          <w:rFonts w:ascii="Verdana" w:hAnsi="Verdana" w:cs="Verdana"/>
          <w:sz w:val="20"/>
          <w:szCs w:val="20"/>
          <w:lang w:val="es-ES"/>
        </w:rPr>
        <w:t xml:space="preserve"> pesar de que el Estado habría realizado una serie de diligencias</w:t>
      </w:r>
      <w:r>
        <w:rPr>
          <w:rFonts w:ascii="Verdana" w:hAnsi="Verdana" w:cs="Verdana"/>
          <w:sz w:val="20"/>
          <w:szCs w:val="20"/>
          <w:lang w:val="es-ES"/>
        </w:rPr>
        <w:t>,</w:t>
      </w:r>
      <w:r w:rsidR="00C3267F" w:rsidRPr="00597CAA">
        <w:rPr>
          <w:rFonts w:ascii="Verdana" w:hAnsi="Verdana" w:cs="Verdana"/>
          <w:sz w:val="20"/>
          <w:szCs w:val="20"/>
          <w:lang w:val="es-ES"/>
        </w:rPr>
        <w:t xml:space="preserve"> </w:t>
      </w:r>
      <w:r w:rsidR="00ED3F07" w:rsidRPr="00597CAA">
        <w:rPr>
          <w:rFonts w:ascii="Verdana" w:hAnsi="Verdana" w:cs="Verdana"/>
          <w:sz w:val="20"/>
          <w:szCs w:val="20"/>
          <w:lang w:val="es-ES"/>
        </w:rPr>
        <w:t>el Tribunal se refirió a varios</w:t>
      </w:r>
      <w:r w:rsidR="00634002" w:rsidRPr="00597CAA">
        <w:rPr>
          <w:rFonts w:ascii="Verdana" w:hAnsi="Verdana" w:cs="Verdana"/>
          <w:sz w:val="20"/>
          <w:szCs w:val="20"/>
          <w:lang w:val="es-ES"/>
        </w:rPr>
        <w:t xml:space="preserve"> obstáculos que impedían su desarrollo, </w:t>
      </w:r>
      <w:r w:rsidR="00ED3F07" w:rsidRPr="00597CAA">
        <w:rPr>
          <w:rFonts w:ascii="Verdana" w:hAnsi="Verdana" w:cs="Verdana"/>
          <w:sz w:val="20"/>
          <w:szCs w:val="20"/>
          <w:lang w:val="es-ES"/>
        </w:rPr>
        <w:t xml:space="preserve">tales </w:t>
      </w:r>
      <w:r w:rsidR="00634002" w:rsidRPr="00597CAA">
        <w:rPr>
          <w:rFonts w:ascii="Verdana" w:hAnsi="Verdana" w:cs="Verdana"/>
          <w:sz w:val="20"/>
          <w:szCs w:val="20"/>
          <w:lang w:val="es-ES"/>
        </w:rPr>
        <w:t>como: (</w:t>
      </w:r>
      <w:r w:rsidR="00B429F0" w:rsidRPr="00597CAA">
        <w:rPr>
          <w:rFonts w:ascii="Verdana" w:hAnsi="Verdana" w:cs="Verdana"/>
          <w:sz w:val="20"/>
          <w:szCs w:val="20"/>
          <w:lang w:val="es-ES"/>
        </w:rPr>
        <w:t>i</w:t>
      </w:r>
      <w:r w:rsidR="00634002" w:rsidRPr="00597CAA">
        <w:rPr>
          <w:rFonts w:ascii="Verdana" w:hAnsi="Verdana" w:cs="Verdana"/>
          <w:sz w:val="20"/>
          <w:szCs w:val="20"/>
          <w:lang w:val="es-ES"/>
        </w:rPr>
        <w:t>) que</w:t>
      </w:r>
      <w:r w:rsidR="0034191D">
        <w:rPr>
          <w:rFonts w:ascii="Verdana" w:hAnsi="Verdana" w:cs="Verdana"/>
          <w:sz w:val="20"/>
          <w:szCs w:val="20"/>
          <w:lang w:val="es-ES"/>
        </w:rPr>
        <w:t xml:space="preserve"> el Estado indicaba que</w:t>
      </w:r>
      <w:r w:rsidR="00634002" w:rsidRPr="00597CAA">
        <w:rPr>
          <w:rFonts w:ascii="Verdana" w:hAnsi="Verdana" w:cs="Verdana"/>
          <w:sz w:val="20"/>
          <w:szCs w:val="20"/>
          <w:lang w:val="es-ES"/>
        </w:rPr>
        <w:t xml:space="preserve"> la desaparición forzada no se encontraba tipificada en la legislación penal para el momento en el cual </w:t>
      </w:r>
      <w:r w:rsidR="0034191D">
        <w:rPr>
          <w:rFonts w:ascii="Verdana" w:hAnsi="Verdana" w:cs="Verdana"/>
          <w:sz w:val="20"/>
          <w:szCs w:val="20"/>
          <w:lang w:val="es-ES"/>
        </w:rPr>
        <w:t xml:space="preserve">dieron inicio </w:t>
      </w:r>
      <w:r w:rsidR="00634002" w:rsidRPr="00597CAA">
        <w:rPr>
          <w:rFonts w:ascii="Verdana" w:hAnsi="Verdana" w:cs="Verdana"/>
          <w:sz w:val="20"/>
          <w:szCs w:val="20"/>
          <w:lang w:val="es-ES"/>
        </w:rPr>
        <w:t>los hechos, por lo que la investigación no habría podido llevarse a cabo por dicho delito, y que (</w:t>
      </w:r>
      <w:r w:rsidR="00BA3461" w:rsidRPr="00597CAA">
        <w:rPr>
          <w:rFonts w:ascii="Verdana" w:hAnsi="Verdana" w:cs="Verdana"/>
          <w:sz w:val="20"/>
          <w:szCs w:val="20"/>
          <w:lang w:val="es-ES"/>
        </w:rPr>
        <w:t>ii</w:t>
      </w:r>
      <w:r w:rsidR="0034191D">
        <w:rPr>
          <w:rFonts w:ascii="Verdana" w:hAnsi="Verdana" w:cs="Verdana"/>
          <w:sz w:val="20"/>
          <w:szCs w:val="20"/>
          <w:lang w:val="es-ES"/>
        </w:rPr>
        <w:t xml:space="preserve">) </w:t>
      </w:r>
      <w:r w:rsidR="00634002" w:rsidRPr="00597CAA">
        <w:rPr>
          <w:rFonts w:ascii="Verdana" w:hAnsi="Verdana" w:cs="Verdana"/>
          <w:sz w:val="20"/>
          <w:szCs w:val="20"/>
          <w:lang w:val="es-ES"/>
        </w:rPr>
        <w:t xml:space="preserve">existían algunos procesos pendientes </w:t>
      </w:r>
      <w:r w:rsidR="00634002" w:rsidRPr="00CD1A83">
        <w:rPr>
          <w:rFonts w:ascii="Verdana" w:hAnsi="Verdana" w:cs="Verdana"/>
          <w:sz w:val="20"/>
          <w:szCs w:val="20"/>
          <w:lang w:val="es-ES"/>
        </w:rPr>
        <w:t xml:space="preserve">relacionados con la </w:t>
      </w:r>
      <w:r w:rsidR="00B429F0" w:rsidRPr="00460697">
        <w:rPr>
          <w:rFonts w:ascii="Verdana" w:hAnsi="Verdana" w:cs="Verdana"/>
          <w:sz w:val="20"/>
          <w:szCs w:val="20"/>
          <w:lang w:val="es-ES"/>
        </w:rPr>
        <w:t>aplicac</w:t>
      </w:r>
      <w:r w:rsidR="00B429F0" w:rsidRPr="004708D8">
        <w:rPr>
          <w:rFonts w:ascii="Verdana" w:hAnsi="Verdana" w:cs="Verdana"/>
          <w:sz w:val="20"/>
          <w:szCs w:val="20"/>
          <w:lang w:val="es-ES"/>
        </w:rPr>
        <w:t>ión</w:t>
      </w:r>
      <w:r w:rsidR="00B429F0" w:rsidRPr="00395925">
        <w:rPr>
          <w:rFonts w:ascii="Verdana" w:hAnsi="Verdana" w:cs="Verdana"/>
          <w:sz w:val="20"/>
          <w:szCs w:val="20"/>
          <w:lang w:val="es-ES"/>
        </w:rPr>
        <w:t xml:space="preserve"> </w:t>
      </w:r>
      <w:r w:rsidR="00634002" w:rsidRPr="00395925">
        <w:rPr>
          <w:rFonts w:ascii="Verdana" w:hAnsi="Verdana" w:cs="Verdana"/>
          <w:sz w:val="20"/>
          <w:szCs w:val="20"/>
          <w:lang w:val="es-ES"/>
        </w:rPr>
        <w:t>de la Ley de Reconciliación Nacional como forma de amnistía</w:t>
      </w:r>
      <w:r w:rsidR="00B429F0" w:rsidRPr="001258C4">
        <w:rPr>
          <w:rFonts w:ascii="Verdana" w:hAnsi="Verdana" w:cs="Verdana"/>
          <w:sz w:val="20"/>
          <w:szCs w:val="20"/>
          <w:lang w:val="es-ES"/>
        </w:rPr>
        <w:t xml:space="preserve"> en el presente caso</w:t>
      </w:r>
      <w:r w:rsidR="00634002" w:rsidRPr="001258C4">
        <w:rPr>
          <w:rFonts w:ascii="Verdana" w:hAnsi="Verdana" w:cs="Verdana"/>
          <w:sz w:val="20"/>
          <w:szCs w:val="20"/>
          <w:lang w:val="es-ES"/>
        </w:rPr>
        <w:t>.</w:t>
      </w:r>
      <w:r w:rsidR="00B429F0" w:rsidRPr="001258C4">
        <w:rPr>
          <w:rFonts w:ascii="Verdana" w:hAnsi="Verdana" w:cs="Verdana"/>
          <w:sz w:val="20"/>
          <w:szCs w:val="20"/>
          <w:lang w:val="es-ES"/>
        </w:rPr>
        <w:t xml:space="preserve"> </w:t>
      </w:r>
      <w:r w:rsidR="00B429F0" w:rsidRPr="00BE5007">
        <w:rPr>
          <w:rFonts w:ascii="Verdana" w:hAnsi="Verdana" w:cs="Verdana"/>
          <w:sz w:val="20"/>
          <w:szCs w:val="20"/>
          <w:lang w:val="es-ES"/>
        </w:rPr>
        <w:t>La Corte se refirió a dichos obst</w:t>
      </w:r>
      <w:r w:rsidR="00B429F0" w:rsidRPr="00C500B7">
        <w:rPr>
          <w:rFonts w:ascii="Verdana" w:hAnsi="Verdana" w:cs="Verdana"/>
          <w:sz w:val="20"/>
          <w:szCs w:val="20"/>
          <w:lang w:val="es-ES"/>
        </w:rPr>
        <w:t>áculos recordando lo dispuesto en la Sentencia y en su jurisprudencia reiter</w:t>
      </w:r>
      <w:r w:rsidR="0034191D">
        <w:rPr>
          <w:rFonts w:ascii="Verdana" w:hAnsi="Verdana" w:cs="Verdana"/>
          <w:sz w:val="20"/>
          <w:szCs w:val="20"/>
          <w:lang w:val="es-ES"/>
        </w:rPr>
        <w:t>ad</w:t>
      </w:r>
      <w:r w:rsidR="00B429F0" w:rsidRPr="00095EA1">
        <w:rPr>
          <w:rFonts w:ascii="Verdana" w:hAnsi="Verdana" w:cs="Verdana"/>
          <w:sz w:val="20"/>
          <w:szCs w:val="20"/>
          <w:lang w:val="es-ES"/>
        </w:rPr>
        <w:t xml:space="preserve">a sobre el carácter </w:t>
      </w:r>
      <w:r w:rsidR="00B429F0" w:rsidRPr="00F3215A">
        <w:rPr>
          <w:rFonts w:ascii="Verdana" w:hAnsi="Verdana" w:cs="Verdana"/>
          <w:sz w:val="20"/>
          <w:szCs w:val="20"/>
          <w:lang w:val="es-ES"/>
        </w:rPr>
        <w:t>continuado de la desaparición forzada y la imposibilidad de aplicar eximentes de responsabilidad, como amnist</w:t>
      </w:r>
      <w:r w:rsidR="00B429F0" w:rsidRPr="00C471B6">
        <w:rPr>
          <w:rFonts w:ascii="Verdana" w:hAnsi="Verdana" w:cs="Verdana"/>
          <w:sz w:val="20"/>
          <w:szCs w:val="20"/>
          <w:lang w:val="es-ES"/>
        </w:rPr>
        <w:t>ías, en casos de graves violaciones de derechos humanos.</w:t>
      </w:r>
      <w:r w:rsidR="00634002" w:rsidRPr="00C471B6">
        <w:rPr>
          <w:rFonts w:ascii="Verdana" w:hAnsi="Verdana" w:cs="Verdana"/>
          <w:sz w:val="20"/>
          <w:szCs w:val="20"/>
          <w:lang w:val="es-ES"/>
        </w:rPr>
        <w:t xml:space="preserve"> </w:t>
      </w:r>
      <w:r w:rsidR="00B429F0" w:rsidRPr="007061BA">
        <w:rPr>
          <w:rFonts w:ascii="Verdana" w:hAnsi="Verdana" w:cs="Verdana"/>
          <w:sz w:val="20"/>
          <w:szCs w:val="20"/>
          <w:lang w:val="es-ES"/>
        </w:rPr>
        <w:t>C</w:t>
      </w:r>
      <w:r w:rsidR="00B429F0" w:rsidRPr="006A03DA">
        <w:rPr>
          <w:rFonts w:ascii="Verdana" w:hAnsi="Verdana" w:cs="Verdana"/>
          <w:sz w:val="20"/>
          <w:szCs w:val="20"/>
          <w:lang w:val="es-ES"/>
        </w:rPr>
        <w:t>on base en lo anterior</w:t>
      </w:r>
      <w:r w:rsidR="00622928" w:rsidRPr="004A422E">
        <w:rPr>
          <w:rFonts w:ascii="Verdana" w:hAnsi="Verdana" w:cs="Verdana"/>
          <w:sz w:val="20"/>
          <w:szCs w:val="20"/>
          <w:lang w:val="es-ES"/>
        </w:rPr>
        <w:t>, la Corte ordenó que el Estado “continúe con las investigaciones iniciadas el 2 de marzo de 2009, tomando en cuenta como tipo penal aplicable el delito de desaparición forzada, a fin de determinar las responsabilidades penales y aplicar efectivamente las sanciones y consecuencias que la ley prevea, así como detalle los avances de la investigación y las acciones que ha emprendido para la identificación, en su caso, de los autores del hecho delictivo en su próximo informe”</w:t>
      </w:r>
      <w:r w:rsidR="00622928" w:rsidRPr="00CD1A83">
        <w:rPr>
          <w:rStyle w:val="FootnoteReference"/>
          <w:rFonts w:ascii="Verdana" w:hAnsi="Verdana" w:cs="Verdana"/>
          <w:sz w:val="20"/>
          <w:szCs w:val="20"/>
          <w:lang w:val="es-ES"/>
        </w:rPr>
        <w:footnoteReference w:id="123"/>
      </w:r>
      <w:r w:rsidR="00622928" w:rsidRPr="00CD1A83">
        <w:rPr>
          <w:rFonts w:ascii="Verdana" w:hAnsi="Verdana" w:cs="Verdana"/>
          <w:sz w:val="20"/>
          <w:szCs w:val="20"/>
          <w:lang w:val="es-ES"/>
        </w:rPr>
        <w:t>.</w:t>
      </w:r>
    </w:p>
    <w:p w14:paraId="4F30E7CF" w14:textId="77777777" w:rsidR="00C3267F" w:rsidRPr="00CD1A83" w:rsidRDefault="00C3267F" w:rsidP="00C3267F">
      <w:pPr>
        <w:pStyle w:val="ListParagraph"/>
        <w:spacing w:after="0" w:line="240" w:lineRule="auto"/>
        <w:ind w:left="0" w:right="1444"/>
        <w:jc w:val="both"/>
        <w:rPr>
          <w:rFonts w:ascii="Verdana" w:hAnsi="Verdana"/>
          <w:sz w:val="20"/>
          <w:szCs w:val="20"/>
          <w:lang w:val="es-CR"/>
        </w:rPr>
      </w:pPr>
    </w:p>
    <w:p w14:paraId="4C979318" w14:textId="0436302B" w:rsidR="003B0C6B" w:rsidRPr="00250FCD" w:rsidRDefault="001C7E0B" w:rsidP="00C3267F">
      <w:pPr>
        <w:pStyle w:val="ListParagraph"/>
        <w:numPr>
          <w:ilvl w:val="0"/>
          <w:numId w:val="2"/>
        </w:numPr>
        <w:spacing w:after="0" w:line="240" w:lineRule="auto"/>
        <w:ind w:left="0" w:right="1444" w:firstLine="0"/>
        <w:jc w:val="both"/>
        <w:rPr>
          <w:rFonts w:ascii="Verdana" w:hAnsi="Verdana"/>
          <w:sz w:val="20"/>
          <w:szCs w:val="20"/>
          <w:lang w:val="es-CR"/>
        </w:rPr>
      </w:pPr>
      <w:bookmarkStart w:id="110" w:name="_Ref437868003"/>
      <w:r w:rsidRPr="00250FCD">
        <w:rPr>
          <w:rFonts w:ascii="Verdana" w:hAnsi="Verdana"/>
          <w:sz w:val="20"/>
          <w:szCs w:val="20"/>
          <w:lang w:val="es-CR"/>
        </w:rPr>
        <w:t>L</w:t>
      </w:r>
      <w:r w:rsidR="00C3267F" w:rsidRPr="00250FCD">
        <w:rPr>
          <w:rFonts w:ascii="Verdana" w:hAnsi="Verdana"/>
          <w:sz w:val="20"/>
          <w:szCs w:val="20"/>
          <w:lang w:val="es-CR"/>
        </w:rPr>
        <w:t xml:space="preserve">a Corte observa que </w:t>
      </w:r>
      <w:r w:rsidRPr="00250FCD">
        <w:rPr>
          <w:rFonts w:ascii="Verdana" w:hAnsi="Verdana"/>
          <w:sz w:val="20"/>
          <w:szCs w:val="20"/>
          <w:lang w:val="es-CR"/>
        </w:rPr>
        <w:t>en el i</w:t>
      </w:r>
      <w:r w:rsidR="00C3267F" w:rsidRPr="00250FCD">
        <w:rPr>
          <w:rFonts w:ascii="Verdana" w:hAnsi="Verdana"/>
          <w:sz w:val="20"/>
          <w:szCs w:val="20"/>
          <w:lang w:val="es-CR"/>
        </w:rPr>
        <w:t>nforme del Ministerio Público</w:t>
      </w:r>
      <w:r w:rsidR="009041CF" w:rsidRPr="00250FCD">
        <w:rPr>
          <w:rFonts w:ascii="Verdana" w:hAnsi="Verdana"/>
          <w:sz w:val="20"/>
          <w:szCs w:val="20"/>
          <w:lang w:val="es-CR"/>
        </w:rPr>
        <w:t xml:space="preserve"> </w:t>
      </w:r>
      <w:r w:rsidR="009041CF" w:rsidRPr="00250FCD">
        <w:rPr>
          <w:rFonts w:ascii="Verdana" w:hAnsi="Verdana" w:cs="Verdana"/>
          <w:sz w:val="20"/>
          <w:szCs w:val="20"/>
          <w:lang w:val="es-ES"/>
        </w:rPr>
        <w:t>de mayo de 2014</w:t>
      </w:r>
      <w:r w:rsidR="00C3267F" w:rsidRPr="00250FCD">
        <w:rPr>
          <w:rFonts w:ascii="Verdana" w:hAnsi="Verdana"/>
          <w:sz w:val="20"/>
          <w:szCs w:val="20"/>
          <w:lang w:val="es-CR"/>
        </w:rPr>
        <w:t xml:space="preserve"> se </w:t>
      </w:r>
      <w:r w:rsidRPr="00250FCD">
        <w:rPr>
          <w:rFonts w:ascii="Verdana" w:hAnsi="Verdana"/>
          <w:sz w:val="20"/>
          <w:szCs w:val="20"/>
          <w:lang w:val="es-CR"/>
        </w:rPr>
        <w:t xml:space="preserve">hace constar que </w:t>
      </w:r>
      <w:r w:rsidR="0034191D" w:rsidRPr="00250FCD">
        <w:rPr>
          <w:rFonts w:ascii="Verdana" w:hAnsi="Verdana"/>
          <w:sz w:val="20"/>
          <w:szCs w:val="20"/>
          <w:lang w:val="es-CR"/>
        </w:rPr>
        <w:t xml:space="preserve">el proceso penal </w:t>
      </w:r>
      <w:r w:rsidRPr="00250FCD">
        <w:rPr>
          <w:rFonts w:ascii="Verdana" w:hAnsi="Verdana"/>
          <w:sz w:val="20"/>
          <w:szCs w:val="20"/>
          <w:lang w:val="es-CR"/>
        </w:rPr>
        <w:t>por los hechos del presente caso se encuentra en “etapa de investigación</w:t>
      </w:r>
      <w:r w:rsidR="0034191D" w:rsidRPr="00250FCD">
        <w:rPr>
          <w:rFonts w:ascii="Verdana" w:hAnsi="Verdana"/>
          <w:sz w:val="20"/>
          <w:szCs w:val="20"/>
          <w:lang w:val="es-CR"/>
        </w:rPr>
        <w:t>”</w:t>
      </w:r>
      <w:r w:rsidRPr="00250FCD">
        <w:rPr>
          <w:rFonts w:ascii="Verdana" w:hAnsi="Verdana"/>
          <w:sz w:val="20"/>
          <w:szCs w:val="20"/>
          <w:lang w:val="es-CR"/>
        </w:rPr>
        <w:t xml:space="preserve">. En dicho informe y en los presentados por el Estado en abril y octubre de 2015 no se identificó claramente </w:t>
      </w:r>
      <w:r w:rsidR="00C3267F" w:rsidRPr="00250FCD">
        <w:rPr>
          <w:rFonts w:ascii="Verdana" w:hAnsi="Verdana"/>
          <w:sz w:val="20"/>
          <w:szCs w:val="20"/>
          <w:lang w:val="es-CR"/>
        </w:rPr>
        <w:t>la existencia de algún imputado con relación a este caso.</w:t>
      </w:r>
      <w:r w:rsidRPr="00250FCD">
        <w:rPr>
          <w:rFonts w:ascii="Verdana" w:hAnsi="Verdana"/>
          <w:sz w:val="20"/>
          <w:szCs w:val="20"/>
          <w:lang w:val="es-CR"/>
        </w:rPr>
        <w:t xml:space="preserve"> El informe del Ministerio Público únicamente indica como “[d]atos de lo [s]indicados” a un “grupo de hombres armados”, sin especificar sus nombres.</w:t>
      </w:r>
      <w:r w:rsidR="00C3267F" w:rsidRPr="00250FCD">
        <w:rPr>
          <w:rFonts w:ascii="Verdana" w:hAnsi="Verdana"/>
          <w:sz w:val="20"/>
          <w:szCs w:val="20"/>
          <w:lang w:val="es-CR"/>
        </w:rPr>
        <w:t xml:space="preserve"> </w:t>
      </w:r>
      <w:r w:rsidRPr="00250FCD">
        <w:rPr>
          <w:rFonts w:ascii="Verdana" w:hAnsi="Verdana"/>
          <w:sz w:val="20"/>
          <w:szCs w:val="20"/>
          <w:lang w:val="es-CR"/>
        </w:rPr>
        <w:t xml:space="preserve">Asimismo, en dichos informes se da cuenta de las diligencias realizadas entre marzo de 2009 y el año 2015, las cuales </w:t>
      </w:r>
      <w:r w:rsidR="00091555" w:rsidRPr="00250FCD">
        <w:rPr>
          <w:rFonts w:ascii="Verdana" w:hAnsi="Verdana"/>
          <w:sz w:val="20"/>
          <w:szCs w:val="20"/>
          <w:lang w:val="es-CR"/>
        </w:rPr>
        <w:lastRenderedPageBreak/>
        <w:t xml:space="preserve">principalmente se han orientado a recabar datos e información sobre la víctima Florencio Chitay Nech y los hechos del caso, a través de la recepción de declaraciones de sus familiares y </w:t>
      </w:r>
      <w:r w:rsidR="005A0F93" w:rsidRPr="00250FCD">
        <w:rPr>
          <w:rFonts w:ascii="Verdana" w:hAnsi="Verdana"/>
          <w:sz w:val="20"/>
          <w:szCs w:val="20"/>
          <w:lang w:val="es-CR"/>
        </w:rPr>
        <w:t>solicitudes de información a diferentes instituciones estatales</w:t>
      </w:r>
      <w:r w:rsidR="00EA0105" w:rsidRPr="00250FCD">
        <w:rPr>
          <w:rStyle w:val="FootnoteReference"/>
          <w:rFonts w:ascii="Verdana" w:hAnsi="Verdana"/>
          <w:sz w:val="20"/>
          <w:szCs w:val="20"/>
          <w:lang w:val="es-CR"/>
        </w:rPr>
        <w:footnoteReference w:id="124"/>
      </w:r>
      <w:r w:rsidR="007D069E" w:rsidRPr="00250FCD">
        <w:rPr>
          <w:rFonts w:ascii="Verdana" w:hAnsi="Verdana"/>
          <w:sz w:val="20"/>
          <w:szCs w:val="20"/>
          <w:lang w:val="es-CR"/>
        </w:rPr>
        <w:t>.</w:t>
      </w:r>
      <w:r w:rsidR="00310E31" w:rsidRPr="00250FCD">
        <w:rPr>
          <w:rFonts w:ascii="Verdana" w:hAnsi="Verdana"/>
          <w:sz w:val="20"/>
          <w:szCs w:val="20"/>
          <w:lang w:val="es-CR"/>
        </w:rPr>
        <w:t xml:space="preserve"> Al respecto, los representantes consideraron que “los procesos de investigación se siguen con las mismas líneas, sin tener avances en los mismos, centrándose la investigación en indagaciones para conocer los pormenores de la familia Chitay Rodríguez, no así del caso específico”</w:t>
      </w:r>
      <w:r w:rsidR="003B0C6B" w:rsidRPr="00250FCD">
        <w:rPr>
          <w:rFonts w:ascii="Verdana" w:hAnsi="Verdana"/>
          <w:sz w:val="20"/>
          <w:szCs w:val="20"/>
          <w:lang w:val="es-CR"/>
        </w:rPr>
        <w:t xml:space="preserve"> y que los informes del Estado son “repetitivos” en cuanto a la información que presentan. La Comisión coincidió con los representantes y consideró importante que Guatemala presente información actualizada sobre las diligencias pendi</w:t>
      </w:r>
      <w:r w:rsidR="0034191D" w:rsidRPr="00250FCD">
        <w:rPr>
          <w:rFonts w:ascii="Verdana" w:hAnsi="Verdana"/>
          <w:sz w:val="20"/>
          <w:szCs w:val="20"/>
          <w:lang w:val="es-CR"/>
        </w:rPr>
        <w:t>entes y</w:t>
      </w:r>
      <w:r w:rsidR="003B0C6B" w:rsidRPr="00250FCD">
        <w:rPr>
          <w:rFonts w:ascii="Verdana" w:hAnsi="Verdana"/>
          <w:sz w:val="20"/>
          <w:szCs w:val="20"/>
          <w:lang w:val="es-CR"/>
        </w:rPr>
        <w:t xml:space="preserve"> el estado de la investigación, tomando en cuenta que el tipo penal aplicable es el de desaparición forzada, y sobre aquellas diligencias realizadas para determinar el paradero de la víctima. La Corte reitera lo indicado (</w:t>
      </w:r>
      <w:r w:rsidR="003B0C6B" w:rsidRPr="00250FCD">
        <w:rPr>
          <w:rFonts w:ascii="Verdana" w:hAnsi="Verdana"/>
          <w:i/>
          <w:sz w:val="20"/>
          <w:szCs w:val="20"/>
          <w:lang w:val="es-CR"/>
        </w:rPr>
        <w:t>supra</w:t>
      </w:r>
      <w:r w:rsidR="003B0C6B" w:rsidRPr="00250FCD">
        <w:rPr>
          <w:rFonts w:ascii="Verdana" w:hAnsi="Verdana"/>
          <w:sz w:val="20"/>
          <w:szCs w:val="20"/>
          <w:lang w:val="es-CR"/>
        </w:rPr>
        <w:t xml:space="preserve"> Considerando 79) respecto de la necesidad de recabar información sobre las víctimas a fin de esclarecer los hechos y llevar a ca</w:t>
      </w:r>
      <w:r w:rsidR="0034191D" w:rsidRPr="00250FCD">
        <w:rPr>
          <w:rFonts w:ascii="Verdana" w:hAnsi="Verdana"/>
          <w:sz w:val="20"/>
          <w:szCs w:val="20"/>
          <w:lang w:val="es-CR"/>
        </w:rPr>
        <w:t>bo una investigación con diligencia</w:t>
      </w:r>
      <w:r w:rsidR="003B0C6B" w:rsidRPr="00250FCD">
        <w:rPr>
          <w:rFonts w:ascii="Verdana" w:hAnsi="Verdana"/>
          <w:sz w:val="20"/>
          <w:szCs w:val="20"/>
          <w:lang w:val="es-CR"/>
        </w:rPr>
        <w:t>.</w:t>
      </w:r>
    </w:p>
    <w:p w14:paraId="68BF1450" w14:textId="54FF151D" w:rsidR="003B0C6B" w:rsidRDefault="003B0C6B" w:rsidP="003B0C6B">
      <w:pPr>
        <w:pStyle w:val="ListParagraph"/>
        <w:spacing w:after="0" w:line="240" w:lineRule="auto"/>
        <w:ind w:left="0" w:right="1444"/>
        <w:jc w:val="both"/>
        <w:rPr>
          <w:rFonts w:ascii="Verdana" w:hAnsi="Verdana"/>
          <w:sz w:val="20"/>
          <w:szCs w:val="20"/>
          <w:lang w:val="es-CR"/>
        </w:rPr>
      </w:pPr>
    </w:p>
    <w:p w14:paraId="2239DF3F" w14:textId="016774CF" w:rsidR="00C3267F" w:rsidRPr="00CD1A83" w:rsidRDefault="00632DB6" w:rsidP="00C3267F">
      <w:pPr>
        <w:pStyle w:val="ListParagraph"/>
        <w:numPr>
          <w:ilvl w:val="0"/>
          <w:numId w:val="2"/>
        </w:numPr>
        <w:spacing w:after="0" w:line="240" w:lineRule="auto"/>
        <w:ind w:left="0" w:right="1444" w:firstLine="0"/>
        <w:jc w:val="both"/>
        <w:rPr>
          <w:rFonts w:ascii="Verdana" w:hAnsi="Verdana"/>
          <w:sz w:val="20"/>
          <w:szCs w:val="20"/>
          <w:lang w:val="es-CR"/>
        </w:rPr>
      </w:pPr>
      <w:r w:rsidRPr="00CD1A83">
        <w:rPr>
          <w:rFonts w:ascii="Verdana" w:hAnsi="Verdana"/>
          <w:sz w:val="20"/>
          <w:szCs w:val="20"/>
          <w:lang w:val="es-CR"/>
        </w:rPr>
        <w:t>Asimismo, la Corte hace notar que en e</w:t>
      </w:r>
      <w:r w:rsidR="00C3267F" w:rsidRPr="00CD1A83">
        <w:rPr>
          <w:rFonts w:ascii="Verdana" w:hAnsi="Verdana"/>
          <w:sz w:val="20"/>
          <w:szCs w:val="20"/>
          <w:lang w:val="es-CR"/>
        </w:rPr>
        <w:t>l Informe del Ministerio Público</w:t>
      </w:r>
      <w:r w:rsidR="009041CF" w:rsidRPr="00CD1A83">
        <w:rPr>
          <w:rFonts w:ascii="Verdana" w:hAnsi="Verdana"/>
          <w:sz w:val="20"/>
          <w:szCs w:val="20"/>
          <w:lang w:val="es-CR"/>
        </w:rPr>
        <w:t xml:space="preserve"> </w:t>
      </w:r>
      <w:r w:rsidR="009041CF" w:rsidRPr="00CD1A83">
        <w:rPr>
          <w:rFonts w:ascii="Verdana" w:hAnsi="Verdana" w:cs="Verdana"/>
          <w:sz w:val="20"/>
          <w:szCs w:val="20"/>
          <w:lang w:val="es-ES"/>
        </w:rPr>
        <w:t>de mayo de 2014</w:t>
      </w:r>
      <w:r w:rsidR="00C3267F" w:rsidRPr="00CD1A83">
        <w:rPr>
          <w:rFonts w:ascii="Verdana" w:hAnsi="Verdana"/>
          <w:sz w:val="20"/>
          <w:szCs w:val="20"/>
          <w:lang w:val="es-CR"/>
        </w:rPr>
        <w:t xml:space="preserve">, </w:t>
      </w:r>
      <w:r w:rsidRPr="00CD1A83">
        <w:rPr>
          <w:rFonts w:ascii="Verdana" w:hAnsi="Verdana"/>
          <w:sz w:val="20"/>
          <w:szCs w:val="20"/>
          <w:lang w:val="es-CR"/>
        </w:rPr>
        <w:t>se</w:t>
      </w:r>
      <w:r w:rsidR="00C3267F" w:rsidRPr="00CD1A83">
        <w:rPr>
          <w:rFonts w:ascii="Verdana" w:hAnsi="Verdana"/>
          <w:sz w:val="20"/>
          <w:szCs w:val="20"/>
          <w:lang w:val="es-CR"/>
        </w:rPr>
        <w:t xml:space="preserve"> señala</w:t>
      </w:r>
      <w:r w:rsidRPr="00CD1A83">
        <w:rPr>
          <w:rFonts w:ascii="Verdana" w:hAnsi="Verdana"/>
          <w:sz w:val="20"/>
          <w:szCs w:val="20"/>
          <w:lang w:val="es-CR"/>
        </w:rPr>
        <w:t>ron</w:t>
      </w:r>
      <w:r w:rsidR="00C3267F" w:rsidRPr="00CD1A83">
        <w:rPr>
          <w:rFonts w:ascii="Verdana" w:hAnsi="Verdana"/>
          <w:sz w:val="20"/>
          <w:szCs w:val="20"/>
          <w:lang w:val="es-CR"/>
        </w:rPr>
        <w:t xml:space="preserve"> como </w:t>
      </w:r>
      <w:r w:rsidR="00406569" w:rsidRPr="00CD1A83">
        <w:rPr>
          <w:rFonts w:ascii="Verdana" w:hAnsi="Verdana"/>
          <w:sz w:val="20"/>
          <w:szCs w:val="20"/>
          <w:lang w:val="es-CR"/>
        </w:rPr>
        <w:t xml:space="preserve">“posibles dificultades o problemáticas” </w:t>
      </w:r>
      <w:r w:rsidR="00C3267F" w:rsidRPr="00CD1A83">
        <w:rPr>
          <w:rFonts w:ascii="Verdana" w:hAnsi="Verdana"/>
          <w:sz w:val="20"/>
          <w:szCs w:val="20"/>
          <w:lang w:val="es-CR"/>
        </w:rPr>
        <w:t>en la investigación</w:t>
      </w:r>
      <w:r w:rsidR="0063283C" w:rsidRPr="00CD1A83">
        <w:rPr>
          <w:rFonts w:ascii="Verdana" w:hAnsi="Verdana"/>
          <w:sz w:val="20"/>
          <w:szCs w:val="20"/>
          <w:lang w:val="es-CR"/>
        </w:rPr>
        <w:t>: (i)</w:t>
      </w:r>
      <w:r w:rsidR="00C3267F" w:rsidRPr="00CD1A83">
        <w:rPr>
          <w:rFonts w:ascii="Verdana" w:hAnsi="Verdana"/>
          <w:sz w:val="20"/>
          <w:szCs w:val="20"/>
          <w:lang w:val="es-CR"/>
        </w:rPr>
        <w:t xml:space="preserve"> que no se ha logrado la localización del hijo menor de </w:t>
      </w:r>
      <w:r w:rsidR="00406569" w:rsidRPr="00CD1A83">
        <w:rPr>
          <w:rFonts w:ascii="Verdana" w:hAnsi="Verdana"/>
          <w:sz w:val="20"/>
          <w:szCs w:val="20"/>
          <w:lang w:val="es-CR"/>
        </w:rPr>
        <w:t xml:space="preserve">la víctima, </w:t>
      </w:r>
      <w:r w:rsidR="00C3267F" w:rsidRPr="00CD1A83">
        <w:rPr>
          <w:rFonts w:ascii="Verdana" w:hAnsi="Verdana"/>
          <w:sz w:val="20"/>
          <w:szCs w:val="20"/>
          <w:lang w:val="es-CR"/>
        </w:rPr>
        <w:t>Estemerio Chitay Rodríguez</w:t>
      </w:r>
      <w:r w:rsidR="00406569" w:rsidRPr="00CD1A83">
        <w:rPr>
          <w:rFonts w:ascii="Verdana" w:hAnsi="Verdana"/>
          <w:sz w:val="20"/>
          <w:szCs w:val="20"/>
          <w:lang w:val="es-CR"/>
        </w:rPr>
        <w:t>, quien lo acompañaba al momento de los hechos,</w:t>
      </w:r>
      <w:r w:rsidR="00C3267F" w:rsidRPr="00CD1A83">
        <w:rPr>
          <w:rFonts w:ascii="Verdana" w:hAnsi="Verdana"/>
          <w:sz w:val="20"/>
          <w:szCs w:val="20"/>
          <w:lang w:val="es-CR"/>
        </w:rPr>
        <w:t xml:space="preserve"> “para que rinda su declaración testimonial”,</w:t>
      </w:r>
      <w:r w:rsidR="0063283C" w:rsidRPr="00CD1A83">
        <w:rPr>
          <w:rFonts w:ascii="Verdana" w:hAnsi="Verdana"/>
          <w:sz w:val="20"/>
          <w:szCs w:val="20"/>
          <w:lang w:val="es-CR"/>
        </w:rPr>
        <w:t xml:space="preserve"> ya que se encontraría viviendo fuera de Guatemala,</w:t>
      </w:r>
      <w:r w:rsidR="00C3267F" w:rsidRPr="00CD1A83">
        <w:rPr>
          <w:rFonts w:ascii="Verdana" w:hAnsi="Verdana"/>
          <w:sz w:val="20"/>
          <w:szCs w:val="20"/>
          <w:lang w:val="es-CR"/>
        </w:rPr>
        <w:t xml:space="preserve"> y</w:t>
      </w:r>
      <w:r w:rsidR="0063283C" w:rsidRPr="00CD1A83">
        <w:rPr>
          <w:rFonts w:ascii="Verdana" w:hAnsi="Verdana"/>
          <w:sz w:val="20"/>
          <w:szCs w:val="20"/>
          <w:lang w:val="es-CR"/>
        </w:rPr>
        <w:t xml:space="preserve"> (ii)</w:t>
      </w:r>
      <w:r w:rsidR="00C3267F" w:rsidRPr="00CD1A83">
        <w:rPr>
          <w:rFonts w:ascii="Verdana" w:hAnsi="Verdana"/>
          <w:sz w:val="20"/>
          <w:szCs w:val="20"/>
          <w:lang w:val="es-CR"/>
        </w:rPr>
        <w:t xml:space="preserve"> la </w:t>
      </w:r>
      <w:r w:rsidR="0063283C" w:rsidRPr="00CD1A83">
        <w:rPr>
          <w:rFonts w:ascii="Verdana" w:hAnsi="Verdana"/>
          <w:sz w:val="20"/>
          <w:szCs w:val="20"/>
          <w:lang w:val="es-CR"/>
        </w:rPr>
        <w:t xml:space="preserve">negativa </w:t>
      </w:r>
      <w:r w:rsidR="00C3267F" w:rsidRPr="00CD1A83">
        <w:rPr>
          <w:rFonts w:ascii="Verdana" w:hAnsi="Verdana"/>
          <w:sz w:val="20"/>
          <w:szCs w:val="20"/>
          <w:lang w:val="es-CR"/>
        </w:rPr>
        <w:t xml:space="preserve">por parte del Ministerio de Defensa Nacional en </w:t>
      </w:r>
      <w:r w:rsidR="0063283C" w:rsidRPr="00CD1A83">
        <w:rPr>
          <w:rFonts w:ascii="Verdana" w:hAnsi="Verdana"/>
          <w:sz w:val="20"/>
          <w:szCs w:val="20"/>
          <w:lang w:val="es-CR"/>
        </w:rPr>
        <w:t xml:space="preserve">brindar </w:t>
      </w:r>
      <w:r w:rsidR="00C3267F" w:rsidRPr="00CD1A83">
        <w:rPr>
          <w:rFonts w:ascii="Verdana" w:hAnsi="Verdana"/>
          <w:sz w:val="20"/>
          <w:szCs w:val="20"/>
          <w:lang w:val="es-CR"/>
        </w:rPr>
        <w:t>acceso a la información que se encuentra bajo su poder</w:t>
      </w:r>
      <w:r w:rsidR="0063283C" w:rsidRPr="00CD1A83">
        <w:rPr>
          <w:rFonts w:ascii="Verdana" w:hAnsi="Verdana"/>
          <w:sz w:val="20"/>
          <w:szCs w:val="20"/>
          <w:lang w:val="es-CR"/>
        </w:rPr>
        <w:t xml:space="preserve">, puesto que para ello es </w:t>
      </w:r>
      <w:r w:rsidR="008D013E" w:rsidRPr="00CD1A83">
        <w:rPr>
          <w:rFonts w:ascii="Verdana" w:hAnsi="Verdana"/>
          <w:sz w:val="20"/>
          <w:szCs w:val="20"/>
          <w:lang w:val="es-CR"/>
        </w:rPr>
        <w:t xml:space="preserve">necesario que </w:t>
      </w:r>
      <w:r w:rsidR="003117A8" w:rsidRPr="00CD1A83">
        <w:rPr>
          <w:rFonts w:ascii="Verdana" w:hAnsi="Verdana"/>
          <w:sz w:val="20"/>
          <w:szCs w:val="20"/>
          <w:lang w:val="es-CR"/>
        </w:rPr>
        <w:t>un juez</w:t>
      </w:r>
      <w:r w:rsidR="008D013E" w:rsidRPr="00CD1A83">
        <w:rPr>
          <w:rFonts w:ascii="Verdana" w:hAnsi="Verdana"/>
          <w:sz w:val="20"/>
          <w:szCs w:val="20"/>
          <w:lang w:val="es-CR"/>
        </w:rPr>
        <w:t xml:space="preserve"> competente autorice los requerimientos de información</w:t>
      </w:r>
      <w:r w:rsidR="003117A8" w:rsidRPr="00CD1A83">
        <w:rPr>
          <w:rFonts w:ascii="Verdana" w:hAnsi="Verdana"/>
          <w:sz w:val="20"/>
          <w:szCs w:val="20"/>
          <w:lang w:val="es-CR"/>
        </w:rPr>
        <w:t xml:space="preserve">. </w:t>
      </w:r>
      <w:bookmarkEnd w:id="110"/>
    </w:p>
    <w:p w14:paraId="21362EB5" w14:textId="77777777" w:rsidR="00C3267F" w:rsidRPr="00CD1A83" w:rsidRDefault="00C3267F" w:rsidP="00C3267F">
      <w:pPr>
        <w:pStyle w:val="ListParagraph"/>
        <w:spacing w:after="0" w:line="240" w:lineRule="auto"/>
        <w:ind w:left="0" w:right="1444"/>
        <w:jc w:val="both"/>
        <w:rPr>
          <w:rFonts w:ascii="Verdana" w:hAnsi="Verdana"/>
          <w:sz w:val="20"/>
          <w:szCs w:val="20"/>
          <w:lang w:val="es-CR"/>
        </w:rPr>
      </w:pPr>
    </w:p>
    <w:p w14:paraId="5E032898" w14:textId="24C1F5FB" w:rsidR="0042036F" w:rsidRPr="0034191D" w:rsidRDefault="00460697" w:rsidP="00DB3B4F">
      <w:pPr>
        <w:pStyle w:val="ListParagraph"/>
        <w:numPr>
          <w:ilvl w:val="0"/>
          <w:numId w:val="2"/>
        </w:numPr>
        <w:spacing w:after="0" w:line="240" w:lineRule="auto"/>
        <w:ind w:left="0" w:right="1444" w:firstLine="0"/>
        <w:jc w:val="both"/>
        <w:rPr>
          <w:rFonts w:ascii="Verdana" w:hAnsi="Verdana"/>
          <w:b/>
          <w:sz w:val="20"/>
          <w:szCs w:val="20"/>
          <w:lang w:val="es-CR"/>
        </w:rPr>
      </w:pPr>
      <w:r w:rsidRPr="004708D8">
        <w:rPr>
          <w:rFonts w:ascii="Verdana" w:hAnsi="Verdana" w:cs="Verdana"/>
          <w:sz w:val="20"/>
          <w:szCs w:val="20"/>
          <w:lang w:val="es-ES"/>
        </w:rPr>
        <w:t xml:space="preserve">En cuanto a la recepción de la declaración de </w:t>
      </w:r>
      <w:r w:rsidRPr="004708D8">
        <w:rPr>
          <w:rFonts w:ascii="Verdana" w:hAnsi="Verdana"/>
          <w:sz w:val="20"/>
          <w:szCs w:val="20"/>
          <w:lang w:val="es-CR"/>
        </w:rPr>
        <w:t>Estemerio Chitay Rodríguez</w:t>
      </w:r>
      <w:r w:rsidR="0034191D">
        <w:rPr>
          <w:rFonts w:ascii="Verdana" w:hAnsi="Verdana"/>
          <w:sz w:val="20"/>
          <w:szCs w:val="20"/>
          <w:lang w:val="es-CR"/>
        </w:rPr>
        <w:t>,</w:t>
      </w:r>
      <w:r w:rsidRPr="004708D8">
        <w:rPr>
          <w:rFonts w:ascii="Verdana" w:hAnsi="Verdana" w:cs="Verdana"/>
          <w:sz w:val="20"/>
          <w:szCs w:val="20"/>
          <w:lang w:val="es-ES"/>
        </w:rPr>
        <w:t xml:space="preserve"> la Corte recuerda que en </w:t>
      </w:r>
      <w:r w:rsidR="0034191D">
        <w:rPr>
          <w:rFonts w:ascii="Verdana" w:hAnsi="Verdana" w:cs="Verdana"/>
          <w:sz w:val="20"/>
          <w:szCs w:val="20"/>
          <w:lang w:val="es-ES"/>
        </w:rPr>
        <w:t>la Resolución de agosto de 2013</w:t>
      </w:r>
      <w:r w:rsidRPr="004708D8">
        <w:rPr>
          <w:rFonts w:ascii="Verdana" w:hAnsi="Verdana" w:cs="Verdana"/>
          <w:sz w:val="20"/>
          <w:szCs w:val="20"/>
          <w:lang w:val="es-ES"/>
        </w:rPr>
        <w:t xml:space="preserve"> se hizo constar que desde el 2012 el Estado </w:t>
      </w:r>
      <w:r w:rsidR="004708D8" w:rsidRPr="004708D8">
        <w:rPr>
          <w:rFonts w:ascii="Verdana" w:hAnsi="Verdana" w:cs="Verdana"/>
          <w:sz w:val="20"/>
          <w:szCs w:val="20"/>
          <w:lang w:val="es-ES"/>
        </w:rPr>
        <w:t>se refirió a la posibilidad de que un representante del Ministerio Público viajara a los Estados Unidos para entrevistarlo</w:t>
      </w:r>
      <w:r w:rsidR="004708D8" w:rsidRPr="004708D8">
        <w:rPr>
          <w:rStyle w:val="FootnoteReference"/>
          <w:rFonts w:ascii="Verdana" w:hAnsi="Verdana" w:cs="Verdana"/>
          <w:sz w:val="20"/>
          <w:szCs w:val="20"/>
          <w:lang w:val="es-ES"/>
        </w:rPr>
        <w:footnoteReference w:id="125"/>
      </w:r>
      <w:r w:rsidR="004708D8" w:rsidRPr="004708D8">
        <w:rPr>
          <w:rFonts w:ascii="Verdana" w:hAnsi="Verdana" w:cs="Verdana"/>
          <w:sz w:val="20"/>
          <w:szCs w:val="20"/>
          <w:lang w:val="es-ES"/>
        </w:rPr>
        <w:t xml:space="preserve">. No obstante, a la fecha la declaración </w:t>
      </w:r>
      <w:r w:rsidR="00A55E19" w:rsidRPr="004708D8">
        <w:rPr>
          <w:rFonts w:ascii="Verdana" w:hAnsi="Verdana" w:cs="Verdana"/>
          <w:sz w:val="20"/>
          <w:szCs w:val="20"/>
          <w:lang w:val="es-ES"/>
        </w:rPr>
        <w:t>continúa</w:t>
      </w:r>
      <w:r w:rsidR="004708D8" w:rsidRPr="004708D8">
        <w:rPr>
          <w:rFonts w:ascii="Verdana" w:hAnsi="Verdana" w:cs="Verdana"/>
          <w:sz w:val="20"/>
          <w:szCs w:val="20"/>
          <w:lang w:val="es-ES"/>
        </w:rPr>
        <w:t xml:space="preserve"> sin ser recabada. En relación con</w:t>
      </w:r>
      <w:r w:rsidR="00C3267F" w:rsidRPr="004708D8">
        <w:rPr>
          <w:rFonts w:ascii="Verdana" w:hAnsi="Verdana" w:cs="Verdana"/>
          <w:sz w:val="20"/>
          <w:szCs w:val="20"/>
          <w:lang w:val="es-ES"/>
        </w:rPr>
        <w:t xml:space="preserve"> los obstáculos derivados de la falta de acceso a la </w:t>
      </w:r>
      <w:r w:rsidR="00C3267F" w:rsidRPr="00D275D2">
        <w:rPr>
          <w:rFonts w:ascii="Verdana" w:hAnsi="Verdana" w:cs="Verdana"/>
          <w:sz w:val="20"/>
          <w:szCs w:val="20"/>
          <w:lang w:val="es-ES"/>
        </w:rPr>
        <w:t>información bajo el control de</w:t>
      </w:r>
      <w:r w:rsidR="00C3267F" w:rsidRPr="005D226A">
        <w:rPr>
          <w:rFonts w:ascii="Verdana" w:hAnsi="Verdana" w:cs="Verdana"/>
          <w:sz w:val="20"/>
          <w:szCs w:val="20"/>
          <w:lang w:val="es-ES"/>
        </w:rPr>
        <w:t xml:space="preserve"> las instituciones milita</w:t>
      </w:r>
      <w:r w:rsidR="00C3267F" w:rsidRPr="0034191D">
        <w:rPr>
          <w:rFonts w:ascii="Verdana" w:hAnsi="Verdana" w:cs="Verdana"/>
          <w:sz w:val="20"/>
          <w:szCs w:val="20"/>
          <w:lang w:val="es-ES"/>
        </w:rPr>
        <w:t>res</w:t>
      </w:r>
      <w:r w:rsidR="004708D8" w:rsidRPr="0034191D">
        <w:rPr>
          <w:rFonts w:ascii="Verdana" w:hAnsi="Verdana" w:cs="Verdana"/>
          <w:sz w:val="20"/>
          <w:szCs w:val="20"/>
          <w:lang w:val="es-ES"/>
        </w:rPr>
        <w:t xml:space="preserve">, la Corte se pronunciará posteriormente al respecto </w:t>
      </w:r>
      <w:r w:rsidR="00C3267F" w:rsidRPr="0034191D">
        <w:rPr>
          <w:rFonts w:ascii="Verdana" w:hAnsi="Verdana" w:cs="Verdana"/>
          <w:sz w:val="20"/>
          <w:szCs w:val="20"/>
          <w:lang w:val="es-ES"/>
        </w:rPr>
        <w:t>(</w:t>
      </w:r>
      <w:r w:rsidR="000C5082" w:rsidRPr="0034191D">
        <w:rPr>
          <w:rFonts w:ascii="Verdana" w:hAnsi="Verdana" w:cs="Verdana"/>
          <w:i/>
          <w:sz w:val="20"/>
          <w:szCs w:val="20"/>
          <w:lang w:val="es-ES"/>
        </w:rPr>
        <w:t>infra</w:t>
      </w:r>
      <w:r w:rsidR="0042036F" w:rsidRPr="0034191D">
        <w:rPr>
          <w:rFonts w:ascii="Verdana" w:hAnsi="Verdana" w:cs="Verdana"/>
          <w:sz w:val="20"/>
          <w:szCs w:val="20"/>
          <w:lang w:val="es-ES"/>
        </w:rPr>
        <w:t xml:space="preserve"> Considerando</w:t>
      </w:r>
      <w:r w:rsidR="00E34EB8" w:rsidRPr="0034191D">
        <w:rPr>
          <w:rFonts w:ascii="Verdana" w:hAnsi="Verdana" w:cs="Verdana"/>
          <w:sz w:val="20"/>
          <w:szCs w:val="20"/>
          <w:lang w:val="es-ES"/>
        </w:rPr>
        <w:t>s</w:t>
      </w:r>
      <w:r w:rsidR="0042036F" w:rsidRPr="0034191D">
        <w:rPr>
          <w:rFonts w:ascii="Verdana" w:hAnsi="Verdana" w:cs="Verdana"/>
          <w:sz w:val="20"/>
          <w:szCs w:val="20"/>
          <w:lang w:val="es-ES"/>
        </w:rPr>
        <w:t xml:space="preserve"> </w:t>
      </w:r>
      <w:r w:rsidR="00E34EB8" w:rsidRPr="0034191D">
        <w:rPr>
          <w:rFonts w:ascii="Verdana" w:hAnsi="Verdana" w:cs="Verdana"/>
          <w:sz w:val="20"/>
          <w:szCs w:val="20"/>
          <w:lang w:val="es-ES"/>
        </w:rPr>
        <w:fldChar w:fldCharType="begin"/>
      </w:r>
      <w:r w:rsidR="00E34EB8" w:rsidRPr="0034191D">
        <w:rPr>
          <w:rFonts w:ascii="Verdana" w:hAnsi="Verdana" w:cs="Verdana"/>
          <w:sz w:val="20"/>
          <w:szCs w:val="20"/>
          <w:lang w:val="es-ES"/>
        </w:rPr>
        <w:instrText xml:space="preserve"> REF _Ref437858242 \r \h </w:instrText>
      </w:r>
      <w:r w:rsidR="00044AF5" w:rsidRPr="0034191D">
        <w:rPr>
          <w:rFonts w:ascii="Verdana" w:hAnsi="Verdana" w:cs="Verdana"/>
          <w:sz w:val="20"/>
          <w:szCs w:val="20"/>
          <w:lang w:val="es-ES"/>
        </w:rPr>
        <w:instrText xml:space="preserve"> \* MERGEFORMAT </w:instrText>
      </w:r>
      <w:r w:rsidR="00E34EB8" w:rsidRPr="0034191D">
        <w:rPr>
          <w:rFonts w:ascii="Verdana" w:hAnsi="Verdana" w:cs="Verdana"/>
          <w:sz w:val="20"/>
          <w:szCs w:val="20"/>
          <w:lang w:val="es-ES"/>
        </w:rPr>
      </w:r>
      <w:r w:rsidR="00E34EB8" w:rsidRPr="0034191D">
        <w:rPr>
          <w:rFonts w:ascii="Verdana" w:hAnsi="Verdana" w:cs="Verdana"/>
          <w:sz w:val="20"/>
          <w:szCs w:val="20"/>
          <w:lang w:val="es-ES"/>
        </w:rPr>
        <w:fldChar w:fldCharType="separate"/>
      </w:r>
      <w:r w:rsidR="007E3C4B">
        <w:rPr>
          <w:rFonts w:ascii="Verdana" w:hAnsi="Verdana" w:cs="Verdana"/>
          <w:sz w:val="20"/>
          <w:szCs w:val="20"/>
          <w:lang w:val="es-ES"/>
        </w:rPr>
        <w:t>127</w:t>
      </w:r>
      <w:r w:rsidR="00E34EB8" w:rsidRPr="0034191D">
        <w:rPr>
          <w:rFonts w:ascii="Verdana" w:hAnsi="Verdana" w:cs="Verdana"/>
          <w:sz w:val="20"/>
          <w:szCs w:val="20"/>
          <w:lang w:val="es-ES"/>
        </w:rPr>
        <w:fldChar w:fldCharType="end"/>
      </w:r>
      <w:r w:rsidR="00E34EB8" w:rsidRPr="0034191D">
        <w:rPr>
          <w:rFonts w:ascii="Verdana" w:hAnsi="Verdana" w:cs="Verdana"/>
          <w:sz w:val="20"/>
          <w:szCs w:val="20"/>
          <w:lang w:val="es-ES"/>
        </w:rPr>
        <w:t xml:space="preserve"> a </w:t>
      </w:r>
      <w:r w:rsidR="00E34EB8" w:rsidRPr="0034191D">
        <w:rPr>
          <w:rFonts w:ascii="Verdana" w:hAnsi="Verdana" w:cs="Verdana"/>
          <w:sz w:val="20"/>
          <w:szCs w:val="20"/>
          <w:lang w:val="es-ES"/>
        </w:rPr>
        <w:fldChar w:fldCharType="begin"/>
      </w:r>
      <w:r w:rsidR="00E34EB8" w:rsidRPr="0034191D">
        <w:rPr>
          <w:rFonts w:ascii="Verdana" w:hAnsi="Verdana" w:cs="Verdana"/>
          <w:sz w:val="20"/>
          <w:szCs w:val="20"/>
          <w:lang w:val="es-ES"/>
        </w:rPr>
        <w:instrText xml:space="preserve"> REF _Ref437939544 \r \h </w:instrText>
      </w:r>
      <w:r w:rsidR="00044AF5" w:rsidRPr="0034191D">
        <w:rPr>
          <w:rFonts w:ascii="Verdana" w:hAnsi="Verdana" w:cs="Verdana"/>
          <w:sz w:val="20"/>
          <w:szCs w:val="20"/>
          <w:lang w:val="es-ES"/>
        </w:rPr>
        <w:instrText xml:space="preserve"> \* MERGEFORMAT </w:instrText>
      </w:r>
      <w:r w:rsidR="00E34EB8" w:rsidRPr="0034191D">
        <w:rPr>
          <w:rFonts w:ascii="Verdana" w:hAnsi="Verdana" w:cs="Verdana"/>
          <w:sz w:val="20"/>
          <w:szCs w:val="20"/>
          <w:lang w:val="es-ES"/>
        </w:rPr>
      </w:r>
      <w:r w:rsidR="00E34EB8" w:rsidRPr="0034191D">
        <w:rPr>
          <w:rFonts w:ascii="Verdana" w:hAnsi="Verdana" w:cs="Verdana"/>
          <w:sz w:val="20"/>
          <w:szCs w:val="20"/>
          <w:lang w:val="es-ES"/>
        </w:rPr>
        <w:fldChar w:fldCharType="separate"/>
      </w:r>
      <w:r w:rsidR="007E3C4B">
        <w:rPr>
          <w:rFonts w:ascii="Verdana" w:hAnsi="Verdana" w:cs="Verdana"/>
          <w:sz w:val="20"/>
          <w:szCs w:val="20"/>
          <w:lang w:val="es-ES"/>
        </w:rPr>
        <w:t>131</w:t>
      </w:r>
      <w:r w:rsidR="00E34EB8" w:rsidRPr="0034191D">
        <w:rPr>
          <w:rFonts w:ascii="Verdana" w:hAnsi="Verdana" w:cs="Verdana"/>
          <w:sz w:val="20"/>
          <w:szCs w:val="20"/>
          <w:lang w:val="es-ES"/>
        </w:rPr>
        <w:fldChar w:fldCharType="end"/>
      </w:r>
      <w:r w:rsidR="0042036F" w:rsidRPr="0034191D">
        <w:rPr>
          <w:rFonts w:ascii="Verdana" w:hAnsi="Verdana" w:cs="Verdana"/>
          <w:sz w:val="20"/>
          <w:szCs w:val="20"/>
          <w:lang w:val="es-ES"/>
        </w:rPr>
        <w:t xml:space="preserve">). </w:t>
      </w:r>
    </w:p>
    <w:p w14:paraId="6835B219" w14:textId="77777777" w:rsidR="0042036F" w:rsidRPr="00745FBF" w:rsidRDefault="0042036F" w:rsidP="0042036F">
      <w:pPr>
        <w:pStyle w:val="ListParagraph"/>
        <w:rPr>
          <w:rFonts w:ascii="Verdana" w:hAnsi="Verdana" w:cs="Verdana"/>
          <w:sz w:val="20"/>
          <w:szCs w:val="20"/>
          <w:lang w:val="es-ES"/>
        </w:rPr>
      </w:pPr>
    </w:p>
    <w:p w14:paraId="3A1A81AC" w14:textId="61871134" w:rsidR="00DB3B4F" w:rsidRPr="005D226A" w:rsidRDefault="0042036F" w:rsidP="00DB3B4F">
      <w:pPr>
        <w:pStyle w:val="ListParagraph"/>
        <w:numPr>
          <w:ilvl w:val="0"/>
          <w:numId w:val="2"/>
        </w:numPr>
        <w:spacing w:after="0" w:line="240" w:lineRule="auto"/>
        <w:ind w:left="0" w:right="1444" w:firstLine="0"/>
        <w:jc w:val="both"/>
        <w:rPr>
          <w:rFonts w:ascii="Verdana" w:hAnsi="Verdana"/>
          <w:b/>
          <w:sz w:val="20"/>
          <w:szCs w:val="20"/>
          <w:lang w:val="es-CR"/>
        </w:rPr>
      </w:pPr>
      <w:r w:rsidRPr="00745FBF">
        <w:rPr>
          <w:rFonts w:ascii="Verdana" w:hAnsi="Verdana" w:cs="Verdana"/>
          <w:sz w:val="20"/>
          <w:szCs w:val="20"/>
          <w:lang w:val="es-ES"/>
        </w:rPr>
        <w:t xml:space="preserve">Por otra parte, </w:t>
      </w:r>
      <w:r w:rsidR="00395925" w:rsidRPr="00745FBF">
        <w:rPr>
          <w:rFonts w:ascii="Verdana" w:hAnsi="Verdana" w:cs="Verdana"/>
          <w:sz w:val="20"/>
          <w:szCs w:val="20"/>
          <w:lang w:val="es-ES"/>
        </w:rPr>
        <w:t>el Tribunal</w:t>
      </w:r>
      <w:r w:rsidRPr="00745FBF">
        <w:rPr>
          <w:rFonts w:ascii="Verdana" w:hAnsi="Verdana" w:cs="Verdana"/>
          <w:sz w:val="20"/>
          <w:szCs w:val="20"/>
          <w:lang w:val="es-ES"/>
        </w:rPr>
        <w:t xml:space="preserve"> observa que </w:t>
      </w:r>
      <w:r w:rsidR="00395925" w:rsidRPr="00745FBF">
        <w:rPr>
          <w:rFonts w:ascii="Verdana" w:hAnsi="Verdana" w:cs="Verdana"/>
          <w:sz w:val="20"/>
          <w:szCs w:val="20"/>
          <w:lang w:val="es-ES"/>
        </w:rPr>
        <w:t xml:space="preserve">en sus informes de abril y octubre de 2015 </w:t>
      </w:r>
      <w:r w:rsidRPr="00745FBF">
        <w:rPr>
          <w:rFonts w:ascii="Verdana" w:hAnsi="Verdana" w:cs="Verdana"/>
          <w:sz w:val="20"/>
          <w:szCs w:val="20"/>
          <w:lang w:val="es-ES"/>
        </w:rPr>
        <w:t xml:space="preserve">el Estado no se refirió </w:t>
      </w:r>
      <w:r w:rsidR="00395925" w:rsidRPr="00745FBF">
        <w:rPr>
          <w:rFonts w:ascii="Verdana" w:hAnsi="Verdana" w:cs="Verdana"/>
          <w:sz w:val="20"/>
          <w:szCs w:val="20"/>
          <w:lang w:val="es-ES"/>
        </w:rPr>
        <w:t xml:space="preserve">nuevamente a los argumentos expresados en su informe de junio de 2013 sobre la imposibilidad de </w:t>
      </w:r>
      <w:r w:rsidR="0034191D">
        <w:rPr>
          <w:rFonts w:ascii="Verdana" w:hAnsi="Verdana" w:cs="Verdana"/>
          <w:sz w:val="20"/>
          <w:szCs w:val="20"/>
          <w:lang w:val="es-ES"/>
        </w:rPr>
        <w:t>aplicar el tipo de desaparición forzada a</w:t>
      </w:r>
      <w:r w:rsidR="00395925" w:rsidRPr="00745FBF">
        <w:rPr>
          <w:rFonts w:ascii="Verdana" w:hAnsi="Verdana" w:cs="Verdana"/>
          <w:sz w:val="20"/>
          <w:szCs w:val="20"/>
          <w:lang w:val="es-ES"/>
        </w:rPr>
        <w:t xml:space="preserve"> los hechos del presente caso y la aplicación de la Ley de Reconciliación Nacional, los cuales fueron valorados por la Corte en su </w:t>
      </w:r>
      <w:r w:rsidRPr="00745FBF">
        <w:rPr>
          <w:rFonts w:ascii="Verdana" w:hAnsi="Verdana" w:cs="Verdana"/>
          <w:sz w:val="20"/>
          <w:szCs w:val="20"/>
          <w:lang w:val="es-ES"/>
        </w:rPr>
        <w:t xml:space="preserve">Resolución de </w:t>
      </w:r>
      <w:r w:rsidR="00395925" w:rsidRPr="0034191D">
        <w:rPr>
          <w:rFonts w:ascii="Verdana" w:hAnsi="Verdana" w:cs="Verdana"/>
          <w:sz w:val="20"/>
          <w:szCs w:val="20"/>
          <w:lang w:val="es-ES"/>
        </w:rPr>
        <w:t>agosto de 2013</w:t>
      </w:r>
      <w:r w:rsidR="001258C4" w:rsidRPr="0034191D">
        <w:rPr>
          <w:rFonts w:ascii="Verdana" w:hAnsi="Verdana" w:cs="Verdana"/>
          <w:sz w:val="20"/>
          <w:szCs w:val="20"/>
          <w:lang w:val="es-ES"/>
        </w:rPr>
        <w:t xml:space="preserve"> (</w:t>
      </w:r>
      <w:r w:rsidR="001258C4" w:rsidRPr="0034191D">
        <w:rPr>
          <w:rFonts w:ascii="Verdana" w:hAnsi="Verdana" w:cs="Verdana"/>
          <w:i/>
          <w:sz w:val="20"/>
          <w:szCs w:val="20"/>
          <w:lang w:val="es-ES"/>
        </w:rPr>
        <w:t xml:space="preserve">supra </w:t>
      </w:r>
      <w:r w:rsidR="001258C4" w:rsidRPr="0034191D">
        <w:rPr>
          <w:rFonts w:ascii="Verdana" w:hAnsi="Verdana" w:cs="Verdana"/>
          <w:sz w:val="20"/>
          <w:szCs w:val="20"/>
          <w:lang w:val="es-ES"/>
        </w:rPr>
        <w:t>Considerando 116)</w:t>
      </w:r>
      <w:r w:rsidR="00395925" w:rsidRPr="0034191D">
        <w:rPr>
          <w:rFonts w:ascii="Verdana" w:hAnsi="Verdana" w:cs="Verdana"/>
          <w:sz w:val="20"/>
          <w:szCs w:val="20"/>
          <w:lang w:val="es-ES"/>
        </w:rPr>
        <w:t>.</w:t>
      </w:r>
      <w:r w:rsidR="00395925" w:rsidRPr="00745FBF">
        <w:rPr>
          <w:rFonts w:ascii="Verdana" w:hAnsi="Verdana" w:cs="Verdana"/>
          <w:sz w:val="20"/>
          <w:szCs w:val="20"/>
          <w:lang w:val="es-ES"/>
        </w:rPr>
        <w:t xml:space="preserve"> </w:t>
      </w:r>
      <w:r w:rsidR="001258C4" w:rsidRPr="00745FBF">
        <w:rPr>
          <w:rFonts w:ascii="Verdana" w:hAnsi="Verdana" w:cs="Verdana"/>
          <w:sz w:val="20"/>
          <w:szCs w:val="20"/>
          <w:lang w:val="es-ES"/>
        </w:rPr>
        <w:t>En dicha Resolución se hizo constar que el Estado informó que “</w:t>
      </w:r>
      <w:proofErr w:type="gramStart"/>
      <w:r w:rsidR="001258C4" w:rsidRPr="00745FBF">
        <w:rPr>
          <w:rFonts w:ascii="Verdana" w:hAnsi="Verdana" w:cs="Verdana"/>
          <w:sz w:val="20"/>
          <w:szCs w:val="20"/>
          <w:lang w:val="es-ES"/>
        </w:rPr>
        <w:t>esta[</w:t>
      </w:r>
      <w:proofErr w:type="gramEnd"/>
      <w:r w:rsidR="001258C4" w:rsidRPr="00745FBF">
        <w:rPr>
          <w:rFonts w:ascii="Verdana" w:hAnsi="Verdana" w:cs="Verdana"/>
          <w:sz w:val="20"/>
          <w:szCs w:val="20"/>
          <w:lang w:val="es-ES"/>
        </w:rPr>
        <w:t>ban] pendientes de resolver procesos y recursos planteados que determinarán si se aplicará o no la Ley de Reconciliación Nacional, por lo que, hasta que los mismos se resuelvan, no se puede continuar con la investigación del presente caso, ya que a la fecha, la responsabilidad penal por la comisión de los delitos de detención ilegal y secuestro se extinguió”</w:t>
      </w:r>
      <w:r w:rsidR="001258C4" w:rsidRPr="00745FBF">
        <w:rPr>
          <w:rStyle w:val="FootnoteReference"/>
          <w:rFonts w:ascii="Verdana" w:hAnsi="Verdana" w:cs="Verdana"/>
          <w:sz w:val="20"/>
          <w:szCs w:val="20"/>
          <w:lang w:val="es-ES"/>
        </w:rPr>
        <w:footnoteReference w:id="126"/>
      </w:r>
      <w:r w:rsidR="001258C4" w:rsidRPr="00745FBF">
        <w:rPr>
          <w:rFonts w:ascii="Verdana" w:hAnsi="Verdana" w:cs="Verdana"/>
          <w:sz w:val="20"/>
          <w:szCs w:val="20"/>
          <w:lang w:val="es-ES"/>
        </w:rPr>
        <w:t>. El Estado no hizo referencia a si dichos procesos y recursos habrían sido resueltos y su incidencia en el curso de la investigación.</w:t>
      </w:r>
      <w:r w:rsidR="00395925" w:rsidRPr="00745FBF">
        <w:rPr>
          <w:rFonts w:ascii="Verdana" w:hAnsi="Verdana" w:cs="Verdana"/>
          <w:sz w:val="20"/>
          <w:szCs w:val="20"/>
          <w:lang w:val="es-ES"/>
        </w:rPr>
        <w:t xml:space="preserve"> </w:t>
      </w:r>
      <w:r w:rsidRPr="005D226A">
        <w:rPr>
          <w:rFonts w:ascii="Verdana" w:hAnsi="Verdana" w:cs="Verdana"/>
          <w:sz w:val="20"/>
          <w:szCs w:val="20"/>
          <w:lang w:val="es-ES"/>
        </w:rPr>
        <w:t xml:space="preserve"> Por ello,</w:t>
      </w:r>
      <w:r w:rsidR="00C3267F" w:rsidRPr="005D226A">
        <w:rPr>
          <w:rFonts w:ascii="Verdana" w:hAnsi="Verdana" w:cs="Verdana"/>
          <w:sz w:val="20"/>
          <w:szCs w:val="20"/>
          <w:lang w:val="es-ES"/>
        </w:rPr>
        <w:t xml:space="preserve"> la Corte considera pertinente recordar el deber del Estado de proceder en dichas investigaciones </w:t>
      </w:r>
      <w:r w:rsidR="00C3267F" w:rsidRPr="005D226A">
        <w:rPr>
          <w:rFonts w:ascii="Verdana" w:hAnsi="Verdana" w:cs="Verdana"/>
          <w:sz w:val="20"/>
          <w:szCs w:val="20"/>
          <w:lang w:val="es-ES"/>
        </w:rPr>
        <w:lastRenderedPageBreak/>
        <w:t xml:space="preserve">aplicando el delito de desaparición forzada y sin permitir la aplicación de eximentes de </w:t>
      </w:r>
      <w:r w:rsidR="00C3267F" w:rsidRPr="0034191D">
        <w:rPr>
          <w:rFonts w:ascii="Verdana" w:hAnsi="Verdana" w:cs="Verdana"/>
          <w:sz w:val="20"/>
          <w:szCs w:val="20"/>
          <w:lang w:val="es-ES"/>
        </w:rPr>
        <w:t xml:space="preserve">responsabilidad, </w:t>
      </w:r>
      <w:r w:rsidR="001258C4" w:rsidRPr="0034191D">
        <w:rPr>
          <w:rFonts w:ascii="Verdana" w:hAnsi="Verdana" w:cs="Verdana"/>
          <w:sz w:val="20"/>
          <w:szCs w:val="20"/>
          <w:lang w:val="es-ES"/>
        </w:rPr>
        <w:t>tal como se</w:t>
      </w:r>
      <w:r w:rsidR="00C3267F" w:rsidRPr="0034191D">
        <w:rPr>
          <w:rFonts w:ascii="Verdana" w:hAnsi="Verdana" w:cs="Verdana"/>
          <w:sz w:val="20"/>
          <w:szCs w:val="20"/>
          <w:lang w:val="es-ES"/>
        </w:rPr>
        <w:t xml:space="preserve"> </w:t>
      </w:r>
      <w:r w:rsidR="001258C4" w:rsidRPr="0034191D">
        <w:rPr>
          <w:rFonts w:ascii="Verdana" w:hAnsi="Verdana" w:cs="Verdana"/>
          <w:sz w:val="20"/>
          <w:szCs w:val="20"/>
          <w:lang w:val="es-ES"/>
        </w:rPr>
        <w:t xml:space="preserve">desarrollará posteriormente en la presente Resolución </w:t>
      </w:r>
      <w:r w:rsidR="00C3267F" w:rsidRPr="0034191D">
        <w:rPr>
          <w:rFonts w:ascii="Verdana" w:hAnsi="Verdana" w:cs="Verdana"/>
          <w:sz w:val="20"/>
          <w:szCs w:val="20"/>
          <w:lang w:val="es-ES"/>
        </w:rPr>
        <w:t>(</w:t>
      </w:r>
      <w:r w:rsidR="000C5082" w:rsidRPr="0034191D">
        <w:rPr>
          <w:rFonts w:ascii="Verdana" w:hAnsi="Verdana" w:cs="Verdana"/>
          <w:i/>
          <w:sz w:val="20"/>
          <w:szCs w:val="20"/>
          <w:lang w:val="es-ES"/>
        </w:rPr>
        <w:t>infra</w:t>
      </w:r>
      <w:r w:rsidR="00C3267F" w:rsidRPr="0034191D">
        <w:rPr>
          <w:rFonts w:ascii="Verdana" w:hAnsi="Verdana" w:cs="Verdana"/>
          <w:sz w:val="20"/>
          <w:szCs w:val="20"/>
          <w:lang w:val="es-ES"/>
        </w:rPr>
        <w:t xml:space="preserve"> Considerando</w:t>
      </w:r>
      <w:r w:rsidR="003835D6" w:rsidRPr="0034191D">
        <w:rPr>
          <w:rFonts w:ascii="Verdana" w:hAnsi="Verdana" w:cs="Verdana"/>
          <w:sz w:val="20"/>
          <w:szCs w:val="20"/>
          <w:lang w:val="es-ES"/>
        </w:rPr>
        <w:t>s</w:t>
      </w:r>
      <w:r w:rsidR="0034191D" w:rsidRPr="0034191D">
        <w:rPr>
          <w:rFonts w:ascii="Verdana" w:hAnsi="Verdana" w:cs="Verdana"/>
          <w:sz w:val="20"/>
          <w:szCs w:val="20"/>
          <w:lang w:val="es-ES"/>
        </w:rPr>
        <w:t xml:space="preserve"> 137 a 149</w:t>
      </w:r>
      <w:r w:rsidR="00C3267F" w:rsidRPr="0034191D">
        <w:rPr>
          <w:rFonts w:ascii="Verdana" w:hAnsi="Verdana" w:cs="Verdana"/>
          <w:sz w:val="20"/>
          <w:szCs w:val="20"/>
          <w:lang w:val="es-ES"/>
        </w:rPr>
        <w:t xml:space="preserve">), </w:t>
      </w:r>
      <w:r w:rsidR="001258C4" w:rsidRPr="0034191D">
        <w:rPr>
          <w:rFonts w:ascii="Verdana" w:hAnsi="Verdana" w:cs="Verdana"/>
          <w:sz w:val="20"/>
          <w:szCs w:val="20"/>
          <w:lang w:val="es-ES"/>
        </w:rPr>
        <w:t xml:space="preserve">así como de conformidad con lo ya establecido por el Tribunal al respecto </w:t>
      </w:r>
      <w:r w:rsidR="00C3267F" w:rsidRPr="0034191D">
        <w:rPr>
          <w:rFonts w:ascii="Verdana" w:hAnsi="Verdana" w:cs="Verdana"/>
          <w:sz w:val="20"/>
          <w:szCs w:val="20"/>
          <w:lang w:val="es-ES"/>
        </w:rPr>
        <w:t>en la última Resolución de la Corte sobre el cumplimiento del presente caso.</w:t>
      </w:r>
      <w:r w:rsidR="00DB3B4F" w:rsidRPr="005D226A">
        <w:rPr>
          <w:rFonts w:ascii="Verdana" w:hAnsi="Verdana" w:cs="Verdana"/>
          <w:sz w:val="20"/>
          <w:szCs w:val="20"/>
          <w:lang w:val="es-ES"/>
        </w:rPr>
        <w:t xml:space="preserve"> </w:t>
      </w:r>
    </w:p>
    <w:p w14:paraId="4AC0A72E" w14:textId="77777777" w:rsidR="00C3267F" w:rsidRPr="004708D8" w:rsidRDefault="00C3267F" w:rsidP="00C3267F">
      <w:pPr>
        <w:pStyle w:val="ListParagraph"/>
        <w:rPr>
          <w:rFonts w:ascii="Verdana" w:hAnsi="Verdana"/>
          <w:sz w:val="20"/>
          <w:szCs w:val="20"/>
          <w:lang w:val="es-CR"/>
        </w:rPr>
      </w:pPr>
    </w:p>
    <w:p w14:paraId="5BDA5C49" w14:textId="449955C7" w:rsidR="00C3267F" w:rsidRPr="001258C4" w:rsidRDefault="00C3267F" w:rsidP="00C3267F">
      <w:pPr>
        <w:pStyle w:val="ListParagraph"/>
        <w:numPr>
          <w:ilvl w:val="0"/>
          <w:numId w:val="2"/>
        </w:numPr>
        <w:spacing w:after="0" w:line="240" w:lineRule="auto"/>
        <w:ind w:left="0" w:right="1444" w:firstLine="0"/>
        <w:jc w:val="both"/>
        <w:rPr>
          <w:rFonts w:ascii="Verdana" w:hAnsi="Verdana"/>
          <w:sz w:val="20"/>
          <w:szCs w:val="20"/>
          <w:lang w:val="es-CR"/>
        </w:rPr>
      </w:pPr>
      <w:bookmarkStart w:id="111" w:name="_Ref437962874"/>
      <w:r w:rsidRPr="004708D8">
        <w:rPr>
          <w:rFonts w:ascii="Verdana" w:hAnsi="Verdana"/>
          <w:sz w:val="20"/>
          <w:szCs w:val="20"/>
          <w:lang w:val="es-CR"/>
        </w:rPr>
        <w:t>Aunado a ello,</w:t>
      </w:r>
      <w:r w:rsidR="001369A7" w:rsidRPr="004708D8">
        <w:rPr>
          <w:rFonts w:ascii="Verdana" w:hAnsi="Verdana"/>
          <w:sz w:val="20"/>
          <w:szCs w:val="20"/>
          <w:lang w:val="es-CR"/>
        </w:rPr>
        <w:t xml:space="preserve"> la Corte constata que</w:t>
      </w:r>
      <w:r w:rsidR="00DE64C5">
        <w:rPr>
          <w:rFonts w:ascii="Verdana" w:hAnsi="Verdana"/>
          <w:sz w:val="20"/>
          <w:szCs w:val="20"/>
          <w:lang w:val="es-CR"/>
        </w:rPr>
        <w:t>,</w:t>
      </w:r>
      <w:r w:rsidR="001369A7" w:rsidRPr="004708D8">
        <w:rPr>
          <w:rFonts w:ascii="Verdana" w:hAnsi="Verdana"/>
          <w:sz w:val="20"/>
          <w:szCs w:val="20"/>
          <w:lang w:val="es-CR"/>
        </w:rPr>
        <w:t xml:space="preserve"> de las diligencias indicadas por el Estado</w:t>
      </w:r>
      <w:r w:rsidR="00DE64C5">
        <w:rPr>
          <w:rFonts w:ascii="Verdana" w:hAnsi="Verdana"/>
          <w:sz w:val="20"/>
          <w:szCs w:val="20"/>
          <w:lang w:val="es-CR"/>
        </w:rPr>
        <w:t>,</w:t>
      </w:r>
      <w:r w:rsidR="001369A7" w:rsidRPr="004708D8">
        <w:rPr>
          <w:rFonts w:ascii="Verdana" w:hAnsi="Verdana"/>
          <w:sz w:val="20"/>
          <w:szCs w:val="20"/>
          <w:lang w:val="es-CR"/>
        </w:rPr>
        <w:t xml:space="preserve"> no se desprende alguna línea de investigación clara dirigida a la determinación de las responsabilidades penales correspondientes.</w:t>
      </w:r>
      <w:r w:rsidRPr="004708D8">
        <w:rPr>
          <w:rFonts w:ascii="Verdana" w:hAnsi="Verdana"/>
          <w:sz w:val="20"/>
          <w:szCs w:val="20"/>
          <w:lang w:val="es-CR"/>
        </w:rPr>
        <w:t xml:space="preserve"> </w:t>
      </w:r>
      <w:r w:rsidR="001369A7" w:rsidRPr="004708D8">
        <w:rPr>
          <w:rFonts w:ascii="Verdana" w:hAnsi="Verdana"/>
          <w:sz w:val="20"/>
          <w:szCs w:val="20"/>
          <w:lang w:val="es-CR"/>
        </w:rPr>
        <w:t>L</w:t>
      </w:r>
      <w:r w:rsidRPr="004708D8">
        <w:rPr>
          <w:rFonts w:ascii="Verdana" w:hAnsi="Verdana"/>
          <w:sz w:val="20"/>
          <w:szCs w:val="20"/>
          <w:lang w:val="es-CR"/>
        </w:rPr>
        <w:t xml:space="preserve">a Corte considera grave que, habiendo transcurrido aproximadamente 34 años desde </w:t>
      </w:r>
      <w:r w:rsidR="00DE64C5">
        <w:rPr>
          <w:rFonts w:ascii="Verdana" w:hAnsi="Verdana"/>
          <w:sz w:val="20"/>
          <w:szCs w:val="20"/>
          <w:lang w:val="es-CR"/>
        </w:rPr>
        <w:t xml:space="preserve">el inicio de </w:t>
      </w:r>
      <w:r w:rsidRPr="004708D8">
        <w:rPr>
          <w:rFonts w:ascii="Verdana" w:hAnsi="Verdana"/>
          <w:sz w:val="20"/>
          <w:szCs w:val="20"/>
          <w:lang w:val="es-CR"/>
        </w:rPr>
        <w:t xml:space="preserve">los hechos </w:t>
      </w:r>
      <w:r w:rsidR="003835D6" w:rsidRPr="004708D8">
        <w:rPr>
          <w:rFonts w:ascii="Verdana" w:hAnsi="Verdana"/>
          <w:sz w:val="20"/>
          <w:szCs w:val="20"/>
          <w:lang w:val="es-CR"/>
        </w:rPr>
        <w:t>y 5 años desde la Sentencia de la Corte</w:t>
      </w:r>
      <w:r w:rsidR="000D2493" w:rsidRPr="004708D8">
        <w:rPr>
          <w:rFonts w:ascii="Verdana" w:hAnsi="Verdana"/>
          <w:sz w:val="20"/>
          <w:szCs w:val="20"/>
          <w:lang w:val="es-CR"/>
        </w:rPr>
        <w:t xml:space="preserve"> Interamericana</w:t>
      </w:r>
      <w:r w:rsidR="00DF7E02">
        <w:rPr>
          <w:rFonts w:ascii="Verdana" w:hAnsi="Verdana"/>
          <w:sz w:val="20"/>
          <w:szCs w:val="20"/>
          <w:lang w:val="es-CR"/>
        </w:rPr>
        <w:t>,</w:t>
      </w:r>
      <w:r w:rsidR="00F95969" w:rsidRPr="004708D8">
        <w:rPr>
          <w:rFonts w:ascii="Verdana" w:hAnsi="Verdana"/>
          <w:sz w:val="20"/>
          <w:szCs w:val="20"/>
          <w:lang w:val="es-CR"/>
        </w:rPr>
        <w:t xml:space="preserve"> </w:t>
      </w:r>
      <w:bookmarkEnd w:id="111"/>
      <w:r w:rsidR="00DF7E02">
        <w:rPr>
          <w:rFonts w:ascii="Verdana" w:hAnsi="Verdana"/>
          <w:sz w:val="20"/>
          <w:szCs w:val="20"/>
          <w:lang w:val="es-CR"/>
        </w:rPr>
        <w:t>el proceso penal</w:t>
      </w:r>
      <w:r w:rsidR="00DF7E02" w:rsidRPr="0032068E">
        <w:rPr>
          <w:rFonts w:ascii="Verdana" w:hAnsi="Verdana"/>
          <w:sz w:val="20"/>
          <w:szCs w:val="20"/>
          <w:lang w:val="es-CR"/>
        </w:rPr>
        <w:t xml:space="preserve"> </w:t>
      </w:r>
      <w:r w:rsidR="00DF7E02">
        <w:rPr>
          <w:rFonts w:ascii="Verdana" w:hAnsi="Verdana"/>
          <w:sz w:val="20"/>
          <w:szCs w:val="20"/>
          <w:lang w:val="es-CR"/>
        </w:rPr>
        <w:t xml:space="preserve">sigue </w:t>
      </w:r>
      <w:r w:rsidR="00DF7E02" w:rsidRPr="0032068E">
        <w:rPr>
          <w:rFonts w:ascii="Verdana" w:hAnsi="Verdana"/>
          <w:sz w:val="20"/>
          <w:szCs w:val="20"/>
          <w:lang w:val="es-CR"/>
        </w:rPr>
        <w:t xml:space="preserve">en etapa </w:t>
      </w:r>
      <w:r w:rsidR="00DF7E02">
        <w:rPr>
          <w:rFonts w:ascii="Verdana" w:hAnsi="Verdana"/>
          <w:sz w:val="20"/>
          <w:szCs w:val="20"/>
          <w:lang w:val="es-CR"/>
        </w:rPr>
        <w:t xml:space="preserve">de </w:t>
      </w:r>
      <w:r w:rsidR="00DF7E02" w:rsidRPr="00FF1E92">
        <w:rPr>
          <w:rFonts w:ascii="Verdana" w:hAnsi="Verdana"/>
          <w:sz w:val="20"/>
          <w:szCs w:val="20"/>
          <w:lang w:val="es-CR"/>
        </w:rPr>
        <w:t xml:space="preserve">investigación y continúa sin conocerse </w:t>
      </w:r>
      <w:r w:rsidR="00DF7E02" w:rsidRPr="004708D8">
        <w:rPr>
          <w:rFonts w:ascii="Verdana" w:hAnsi="Verdana"/>
          <w:sz w:val="20"/>
          <w:szCs w:val="20"/>
          <w:lang w:val="es-CR"/>
        </w:rPr>
        <w:t>el paradero del señor Florencio Chitay</w:t>
      </w:r>
      <w:r w:rsidR="00DF7E02" w:rsidRPr="00FF1E92">
        <w:rPr>
          <w:rFonts w:ascii="Verdana" w:hAnsi="Verdana"/>
          <w:sz w:val="20"/>
          <w:szCs w:val="20"/>
          <w:lang w:val="es-CR"/>
        </w:rPr>
        <w:t xml:space="preserve"> </w:t>
      </w:r>
      <w:r w:rsidR="00E8683A">
        <w:rPr>
          <w:rFonts w:ascii="Verdana" w:hAnsi="Verdana"/>
          <w:sz w:val="20"/>
          <w:szCs w:val="20"/>
          <w:lang w:val="es-CR"/>
        </w:rPr>
        <w:t>y</w:t>
      </w:r>
      <w:r w:rsidR="00DF7E02" w:rsidRPr="00FF1E92">
        <w:rPr>
          <w:rFonts w:ascii="Verdana" w:hAnsi="Verdana"/>
          <w:sz w:val="20"/>
          <w:szCs w:val="20"/>
          <w:lang w:val="es-CR"/>
        </w:rPr>
        <w:t xml:space="preserve"> encontrarse e identificarse sus restos para ser entregados a sus familiares</w:t>
      </w:r>
      <w:r w:rsidR="00DF7E02">
        <w:rPr>
          <w:rFonts w:ascii="Verdana" w:hAnsi="Verdana"/>
          <w:sz w:val="20"/>
          <w:szCs w:val="20"/>
          <w:lang w:val="es-CR"/>
        </w:rPr>
        <w:t>.</w:t>
      </w:r>
    </w:p>
    <w:p w14:paraId="63134EC9" w14:textId="77777777" w:rsidR="00C3267F" w:rsidRPr="001258C4" w:rsidRDefault="00C3267F" w:rsidP="00C3267F">
      <w:pPr>
        <w:pStyle w:val="ListParagraph"/>
        <w:rPr>
          <w:rFonts w:ascii="Verdana" w:hAnsi="Verdana"/>
          <w:sz w:val="20"/>
          <w:szCs w:val="20"/>
          <w:lang w:val="es-CR"/>
        </w:rPr>
      </w:pPr>
    </w:p>
    <w:p w14:paraId="76C24EEE" w14:textId="1F8A4622" w:rsidR="00F15D25" w:rsidRPr="001258C4" w:rsidRDefault="00C3267F" w:rsidP="00D901B8">
      <w:pPr>
        <w:pStyle w:val="ListParagraph"/>
        <w:numPr>
          <w:ilvl w:val="0"/>
          <w:numId w:val="2"/>
        </w:numPr>
        <w:spacing w:after="0" w:line="240" w:lineRule="auto"/>
        <w:ind w:left="0" w:right="1444" w:firstLine="0"/>
        <w:jc w:val="both"/>
        <w:rPr>
          <w:rFonts w:ascii="Verdana" w:hAnsi="Verdana"/>
          <w:sz w:val="20"/>
          <w:szCs w:val="20"/>
          <w:lang w:val="es-CR"/>
        </w:rPr>
      </w:pPr>
      <w:bookmarkStart w:id="112" w:name="_Ref437964499"/>
      <w:r w:rsidRPr="001258C4">
        <w:rPr>
          <w:rFonts w:ascii="Verdana" w:hAnsi="Verdana"/>
          <w:sz w:val="20"/>
          <w:szCs w:val="20"/>
          <w:lang w:val="es-CR"/>
        </w:rPr>
        <w:t xml:space="preserve">Por esa razón, la Corte </w:t>
      </w:r>
      <w:r w:rsidR="00902093" w:rsidRPr="001258C4">
        <w:rPr>
          <w:rFonts w:ascii="Verdana" w:hAnsi="Verdana"/>
          <w:sz w:val="20"/>
          <w:szCs w:val="20"/>
          <w:lang w:val="es-CR"/>
        </w:rPr>
        <w:t>requiere</w:t>
      </w:r>
      <w:r w:rsidR="004708D8" w:rsidRPr="001258C4">
        <w:rPr>
          <w:rFonts w:ascii="Verdana" w:hAnsi="Verdana"/>
          <w:sz w:val="20"/>
          <w:szCs w:val="20"/>
          <w:lang w:val="es-CR"/>
        </w:rPr>
        <w:t xml:space="preserve"> que el Estado presente</w:t>
      </w:r>
      <w:r w:rsidRPr="001258C4">
        <w:rPr>
          <w:rFonts w:ascii="Verdana" w:hAnsi="Verdana"/>
          <w:sz w:val="20"/>
          <w:szCs w:val="20"/>
          <w:lang w:val="es-CR"/>
        </w:rPr>
        <w:t xml:space="preserve"> </w:t>
      </w:r>
      <w:r w:rsidR="004169AE" w:rsidRPr="001258C4">
        <w:rPr>
          <w:rFonts w:ascii="Verdana" w:hAnsi="Verdana"/>
          <w:sz w:val="20"/>
          <w:szCs w:val="20"/>
          <w:lang w:val="es-CR"/>
        </w:rPr>
        <w:t>un cronograma de las diligencias por realizar con el fin de identificar, juzgar y</w:t>
      </w:r>
      <w:r w:rsidR="00DE64C5">
        <w:rPr>
          <w:rFonts w:ascii="Verdana" w:hAnsi="Verdana"/>
          <w:sz w:val="20"/>
          <w:szCs w:val="20"/>
          <w:lang w:val="es-CR"/>
        </w:rPr>
        <w:t>,</w:t>
      </w:r>
      <w:r w:rsidR="004169AE" w:rsidRPr="001258C4">
        <w:rPr>
          <w:rFonts w:ascii="Verdana" w:hAnsi="Verdana"/>
          <w:sz w:val="20"/>
          <w:szCs w:val="20"/>
          <w:lang w:val="es-CR"/>
        </w:rPr>
        <w:t xml:space="preserve"> en su caso, sancionar, a los responsables de las violaciones a derechos humanos identificadas en el caso</w:t>
      </w:r>
      <w:r w:rsidRPr="001258C4">
        <w:rPr>
          <w:rFonts w:ascii="Verdana" w:hAnsi="Verdana"/>
          <w:sz w:val="20"/>
          <w:szCs w:val="20"/>
          <w:lang w:val="es-CR"/>
        </w:rPr>
        <w:t>.</w:t>
      </w:r>
      <w:bookmarkEnd w:id="112"/>
      <w:r w:rsidRPr="001258C4">
        <w:rPr>
          <w:rFonts w:ascii="Verdana" w:hAnsi="Verdana"/>
          <w:sz w:val="20"/>
          <w:szCs w:val="20"/>
          <w:lang w:val="es-CR"/>
        </w:rPr>
        <w:t xml:space="preserve"> </w:t>
      </w:r>
    </w:p>
    <w:p w14:paraId="175AFF78" w14:textId="77777777" w:rsidR="0082056B" w:rsidRPr="0032068E" w:rsidRDefault="0082056B" w:rsidP="0082056B">
      <w:pPr>
        <w:spacing w:after="0" w:line="240" w:lineRule="auto"/>
        <w:ind w:right="1444"/>
        <w:contextualSpacing/>
        <w:jc w:val="both"/>
        <w:rPr>
          <w:rFonts w:ascii="Verdana" w:hAnsi="Verdana" w:cs="Verdana"/>
          <w:sz w:val="20"/>
          <w:szCs w:val="20"/>
          <w:lang w:val="es-ES"/>
        </w:rPr>
      </w:pPr>
    </w:p>
    <w:p w14:paraId="19074D94" w14:textId="7BD8952D" w:rsidR="003E25C7" w:rsidRPr="0032068E" w:rsidRDefault="00AD5701" w:rsidP="00AD5701">
      <w:pPr>
        <w:pStyle w:val="Heading2"/>
      </w:pPr>
      <w:bookmarkStart w:id="113" w:name="_Toc435778538"/>
      <w:bookmarkStart w:id="114" w:name="_Toc439248796"/>
      <w:r w:rsidRPr="00815752">
        <w:t>E)</w:t>
      </w:r>
      <w:r w:rsidRPr="0032068E">
        <w:t xml:space="preserve"> </w:t>
      </w:r>
      <w:r w:rsidR="0062279D" w:rsidRPr="0032068E">
        <w:t>Obstáculos estructurales</w:t>
      </w:r>
      <w:r w:rsidR="00C3267F" w:rsidRPr="0032068E">
        <w:t xml:space="preserve"> y comunes</w:t>
      </w:r>
      <w:r w:rsidR="00DE64C5">
        <w:t xml:space="preserve"> para el cumplimiento de </w:t>
      </w:r>
      <w:r w:rsidR="00A8328F" w:rsidRPr="0032068E">
        <w:t xml:space="preserve">la </w:t>
      </w:r>
      <w:r w:rsidR="0062279D" w:rsidRPr="0032068E">
        <w:t>obligación de investigar dispuesta en la</w:t>
      </w:r>
      <w:r w:rsidR="00A8328F" w:rsidRPr="0032068E">
        <w:t>s</w:t>
      </w:r>
      <w:r w:rsidR="0062279D" w:rsidRPr="0032068E">
        <w:t xml:space="preserve"> Sentencia</w:t>
      </w:r>
      <w:r w:rsidR="002C7A4D" w:rsidRPr="0032068E">
        <w:t>s</w:t>
      </w:r>
      <w:r w:rsidR="0062279D" w:rsidRPr="0032068E">
        <w:t xml:space="preserve"> de los 12 Casos</w:t>
      </w:r>
      <w:bookmarkEnd w:id="113"/>
      <w:bookmarkEnd w:id="114"/>
    </w:p>
    <w:p w14:paraId="5A31D1C2" w14:textId="77777777" w:rsidR="00C471B6" w:rsidRPr="0032068E" w:rsidRDefault="00C471B6" w:rsidP="00C471B6">
      <w:pPr>
        <w:spacing w:after="0" w:line="240" w:lineRule="auto"/>
        <w:ind w:right="1444"/>
        <w:jc w:val="both"/>
        <w:rPr>
          <w:rFonts w:ascii="Verdana" w:hAnsi="Verdana" w:cs="Verdana"/>
          <w:sz w:val="20"/>
          <w:szCs w:val="20"/>
          <w:lang w:val="es-ES"/>
        </w:rPr>
      </w:pPr>
    </w:p>
    <w:p w14:paraId="4448F351" w14:textId="37108E1D" w:rsidR="00C471B6" w:rsidRPr="0032068E" w:rsidRDefault="00C471B6" w:rsidP="00C471B6">
      <w:pPr>
        <w:numPr>
          <w:ilvl w:val="0"/>
          <w:numId w:val="2"/>
        </w:numPr>
        <w:spacing w:after="0" w:line="240" w:lineRule="auto"/>
        <w:ind w:left="0" w:right="1444" w:firstLine="0"/>
        <w:contextualSpacing/>
        <w:jc w:val="both"/>
        <w:rPr>
          <w:rFonts w:ascii="Verdana" w:hAnsi="Verdana" w:cs="Verdana"/>
          <w:sz w:val="20"/>
          <w:szCs w:val="20"/>
          <w:lang w:val="es-ES"/>
        </w:rPr>
      </w:pPr>
      <w:r w:rsidRPr="0032068E">
        <w:rPr>
          <w:rFonts w:ascii="Verdana" w:hAnsi="Verdana"/>
          <w:sz w:val="20"/>
          <w:szCs w:val="20"/>
          <w:lang w:val="es-CR" w:bidi="en-US"/>
        </w:rPr>
        <w:t xml:space="preserve">Para la Corte resulta indispensable </w:t>
      </w:r>
      <w:r w:rsidRPr="0032068E">
        <w:rPr>
          <w:rFonts w:ascii="Verdana" w:hAnsi="Verdana" w:cs="Verdana"/>
          <w:sz w:val="20"/>
          <w:szCs w:val="20"/>
          <w:lang w:val="es-ES"/>
        </w:rPr>
        <w:t xml:space="preserve">identificar los obstáculos estructurales o comunes que se han configurado en relación con el cumplimiento de </w:t>
      </w:r>
      <w:r>
        <w:rPr>
          <w:rFonts w:ascii="Verdana" w:hAnsi="Verdana" w:cs="Verdana"/>
          <w:sz w:val="20"/>
          <w:szCs w:val="20"/>
          <w:lang w:val="es-ES"/>
        </w:rPr>
        <w:t>la</w:t>
      </w:r>
      <w:r w:rsidRPr="0032068E">
        <w:rPr>
          <w:rFonts w:ascii="Verdana" w:hAnsi="Verdana" w:cs="Verdana"/>
          <w:sz w:val="20"/>
          <w:szCs w:val="20"/>
          <w:lang w:val="es-ES"/>
        </w:rPr>
        <w:t xml:space="preserve"> obligación </w:t>
      </w:r>
      <w:r>
        <w:rPr>
          <w:rFonts w:ascii="Verdana" w:hAnsi="Verdana" w:cs="Verdana"/>
          <w:sz w:val="20"/>
          <w:szCs w:val="20"/>
          <w:lang w:val="es-ES"/>
        </w:rPr>
        <w:t xml:space="preserve">de investigar </w:t>
      </w:r>
      <w:r w:rsidRPr="0032068E">
        <w:rPr>
          <w:rFonts w:ascii="Verdana" w:hAnsi="Verdana" w:cs="Verdana"/>
          <w:sz w:val="20"/>
          <w:szCs w:val="20"/>
          <w:lang w:val="es-ES"/>
        </w:rPr>
        <w:t xml:space="preserve">dispuesta en las Sentencias de los </w:t>
      </w:r>
      <w:r w:rsidRPr="0032068E">
        <w:rPr>
          <w:rFonts w:ascii="Verdana" w:hAnsi="Verdana" w:cs="Verdana"/>
          <w:i/>
          <w:sz w:val="20"/>
          <w:szCs w:val="20"/>
          <w:lang w:val="es-ES"/>
        </w:rPr>
        <w:t xml:space="preserve">12 Casos, </w:t>
      </w:r>
      <w:r w:rsidRPr="0032068E">
        <w:rPr>
          <w:rFonts w:ascii="Verdana" w:hAnsi="Verdana" w:cs="Verdana"/>
          <w:sz w:val="20"/>
          <w:szCs w:val="20"/>
          <w:lang w:val="es-ES"/>
        </w:rPr>
        <w:t>de manera que Guatemala adopte medidas y estrategias concretas dirigidas a superarlos a la mayor brevedad. Seguidamente, el Tribunal efectuará tal evaluación, con base en la información proporcionada por las partes, la Comisión y el Informe del Ministerio Público</w:t>
      </w:r>
      <w:r>
        <w:rPr>
          <w:rFonts w:ascii="Verdana" w:hAnsi="Verdana" w:cs="Verdana"/>
          <w:sz w:val="20"/>
          <w:szCs w:val="20"/>
          <w:lang w:val="es-ES"/>
        </w:rPr>
        <w:t xml:space="preserve"> </w:t>
      </w:r>
      <w:r w:rsidRPr="009041CF">
        <w:rPr>
          <w:rFonts w:ascii="Verdana" w:hAnsi="Verdana" w:cs="Verdana"/>
          <w:sz w:val="20"/>
          <w:szCs w:val="20"/>
          <w:lang w:val="es-ES"/>
        </w:rPr>
        <w:t>de mayo de 2014</w:t>
      </w:r>
      <w:r w:rsidR="00537523">
        <w:rPr>
          <w:rFonts w:ascii="Verdana" w:hAnsi="Verdana" w:cs="Verdana"/>
          <w:sz w:val="20"/>
          <w:szCs w:val="20"/>
          <w:lang w:val="es-ES"/>
        </w:rPr>
        <w:t>, así como</w:t>
      </w:r>
      <w:r w:rsidRPr="0032068E">
        <w:rPr>
          <w:rFonts w:ascii="Verdana" w:hAnsi="Verdana" w:cs="Verdana"/>
          <w:sz w:val="20"/>
          <w:szCs w:val="20"/>
          <w:lang w:val="es-ES"/>
        </w:rPr>
        <w:t xml:space="preserve"> teniendo en cuenta lo constatado en los casos </w:t>
      </w:r>
      <w:r w:rsidRPr="00771D9D">
        <w:rPr>
          <w:rFonts w:ascii="Verdana" w:hAnsi="Verdana" w:cs="Verdana"/>
          <w:sz w:val="20"/>
          <w:szCs w:val="20"/>
          <w:lang w:val="es-ES"/>
        </w:rPr>
        <w:t>individuales (</w:t>
      </w:r>
      <w:r w:rsidRPr="00771D9D">
        <w:rPr>
          <w:rFonts w:ascii="Verdana" w:hAnsi="Verdana" w:cs="Verdana"/>
          <w:i/>
          <w:sz w:val="20"/>
          <w:szCs w:val="20"/>
          <w:lang w:val="es-ES"/>
        </w:rPr>
        <w:t>supra</w:t>
      </w:r>
      <w:r w:rsidRPr="00771D9D">
        <w:rPr>
          <w:rFonts w:ascii="Verdana" w:hAnsi="Verdana" w:cs="Verdana"/>
          <w:sz w:val="20"/>
          <w:szCs w:val="20"/>
          <w:lang w:val="es-ES"/>
        </w:rPr>
        <w:t xml:space="preserve"> capítulo IV.D).</w:t>
      </w:r>
    </w:p>
    <w:p w14:paraId="3DAB3D39" w14:textId="77777777" w:rsidR="00C471B6" w:rsidRPr="0032068E" w:rsidRDefault="00C471B6" w:rsidP="00C471B6">
      <w:pPr>
        <w:spacing w:after="0" w:line="240" w:lineRule="auto"/>
        <w:ind w:right="1444"/>
        <w:jc w:val="both"/>
        <w:rPr>
          <w:rFonts w:ascii="Verdana" w:hAnsi="Verdana" w:cs="Verdana"/>
          <w:sz w:val="20"/>
          <w:szCs w:val="20"/>
          <w:lang w:val="es-ES"/>
        </w:rPr>
      </w:pPr>
    </w:p>
    <w:p w14:paraId="6D588287" w14:textId="77777777" w:rsidR="00C471B6" w:rsidRPr="00A527AF" w:rsidRDefault="00C471B6" w:rsidP="00C471B6">
      <w:pPr>
        <w:numPr>
          <w:ilvl w:val="0"/>
          <w:numId w:val="2"/>
        </w:numPr>
        <w:spacing w:after="0" w:line="240" w:lineRule="auto"/>
        <w:ind w:left="0" w:right="1444" w:firstLine="0"/>
        <w:contextualSpacing/>
        <w:jc w:val="both"/>
        <w:rPr>
          <w:rFonts w:ascii="Verdana" w:hAnsi="Verdana"/>
          <w:sz w:val="20"/>
          <w:szCs w:val="20"/>
          <w:lang w:val="es-CR"/>
        </w:rPr>
      </w:pPr>
      <w:r w:rsidRPr="0032068E">
        <w:rPr>
          <w:rFonts w:ascii="Verdana" w:hAnsi="Verdana"/>
          <w:sz w:val="20"/>
          <w:szCs w:val="20"/>
          <w:lang w:val="es-CR"/>
        </w:rPr>
        <w:t xml:space="preserve">La Corte ha señalado en su jurisprudencia reiterada que el deber de investigar es una obligación de medio y no de resultado, que debe ser asumida por el Estado como un deber jurídico </w:t>
      </w:r>
      <w:r w:rsidRPr="0032068E">
        <w:rPr>
          <w:rFonts w:ascii="Verdana" w:hAnsi="Verdana"/>
          <w:sz w:val="20"/>
          <w:szCs w:val="20"/>
          <w:lang w:val="es-ES"/>
        </w:rPr>
        <w:t>propio</w:t>
      </w:r>
      <w:r w:rsidRPr="0032068E">
        <w:rPr>
          <w:rFonts w:ascii="Verdana" w:hAnsi="Verdana"/>
          <w:sz w:val="20"/>
          <w:szCs w:val="20"/>
          <w:lang w:val="es-CR"/>
        </w:rPr>
        <w:t xml:space="preserve"> y no como una simple formalidad condenada de antemano a ser infructuosa, o como una mera gestión de </w:t>
      </w:r>
      <w:r w:rsidRPr="0032068E">
        <w:rPr>
          <w:rFonts w:ascii="Verdana" w:hAnsi="Verdana" w:cs="Verdana"/>
          <w:sz w:val="20"/>
          <w:szCs w:val="20"/>
          <w:lang w:val="es-ES"/>
        </w:rPr>
        <w:t>intereses</w:t>
      </w:r>
      <w:r w:rsidRPr="0032068E">
        <w:rPr>
          <w:rFonts w:ascii="Verdana" w:hAnsi="Verdana"/>
          <w:sz w:val="20"/>
          <w:szCs w:val="20"/>
          <w:lang w:val="es-CR"/>
        </w:rPr>
        <w:t xml:space="preserve"> particulares</w:t>
      </w:r>
      <w:r>
        <w:rPr>
          <w:rStyle w:val="FootnoteReference"/>
          <w:rFonts w:ascii="Verdana" w:hAnsi="Verdana"/>
          <w:sz w:val="20"/>
          <w:szCs w:val="20"/>
          <w:lang w:val="es-CR"/>
        </w:rPr>
        <w:footnoteReference w:id="127"/>
      </w:r>
      <w:r w:rsidRPr="0032068E">
        <w:rPr>
          <w:rFonts w:ascii="Verdana" w:hAnsi="Verdana"/>
          <w:sz w:val="20"/>
          <w:szCs w:val="20"/>
          <w:lang w:val="es-CR"/>
        </w:rPr>
        <w:t>, que dependa de la iniciativa procesal de las víctimas o de sus familiares o de la aportación privada de elementos probatorios</w:t>
      </w:r>
      <w:r>
        <w:rPr>
          <w:rStyle w:val="FootnoteReference"/>
          <w:rFonts w:ascii="Verdana" w:hAnsi="Verdana"/>
          <w:sz w:val="20"/>
          <w:szCs w:val="20"/>
          <w:lang w:val="es-CR"/>
        </w:rPr>
        <w:footnoteReference w:id="128"/>
      </w:r>
      <w:r w:rsidRPr="0032068E">
        <w:rPr>
          <w:rFonts w:ascii="Verdana" w:hAnsi="Verdana"/>
          <w:sz w:val="20"/>
          <w:szCs w:val="20"/>
          <w:lang w:val="es-CR"/>
        </w:rPr>
        <w:t>. La investigación debe ser seria, imparcial y efectiva, y estar orientada a la determinación de la verdad y a la persecución, captura, enjuiciamiento y eventual castigo de los autores de los hechos</w:t>
      </w:r>
      <w:r w:rsidRPr="0032068E">
        <w:rPr>
          <w:rStyle w:val="FootnoteReference"/>
          <w:rFonts w:ascii="Verdana" w:hAnsi="Verdana"/>
          <w:sz w:val="20"/>
          <w:szCs w:val="20"/>
          <w:lang w:val="es-CR"/>
        </w:rPr>
        <w:footnoteReference w:id="129"/>
      </w:r>
      <w:r w:rsidRPr="0032068E">
        <w:rPr>
          <w:rFonts w:ascii="Verdana" w:hAnsi="Verdana"/>
          <w:sz w:val="20"/>
          <w:szCs w:val="20"/>
          <w:lang w:val="es-CR"/>
        </w:rPr>
        <w:t>.</w:t>
      </w:r>
    </w:p>
    <w:p w14:paraId="7794788A" w14:textId="77777777" w:rsidR="00C471B6" w:rsidRPr="0032068E" w:rsidRDefault="00C471B6" w:rsidP="00C471B6">
      <w:pPr>
        <w:pStyle w:val="ListParagraph"/>
        <w:spacing w:after="0" w:line="240" w:lineRule="auto"/>
        <w:ind w:left="0" w:right="1444"/>
        <w:jc w:val="both"/>
        <w:rPr>
          <w:rFonts w:ascii="Verdana" w:hAnsi="Verdana"/>
          <w:sz w:val="20"/>
          <w:szCs w:val="20"/>
          <w:lang w:val="es-CR"/>
        </w:rPr>
      </w:pPr>
    </w:p>
    <w:p w14:paraId="15E13DF2" w14:textId="2BD68332" w:rsidR="00C471B6" w:rsidRPr="00A527AF" w:rsidRDefault="00C471B6" w:rsidP="00C471B6">
      <w:pPr>
        <w:numPr>
          <w:ilvl w:val="0"/>
          <w:numId w:val="2"/>
        </w:numPr>
        <w:spacing w:after="0" w:line="240" w:lineRule="auto"/>
        <w:ind w:left="0" w:right="1444" w:firstLine="0"/>
        <w:contextualSpacing/>
        <w:jc w:val="both"/>
        <w:rPr>
          <w:rFonts w:ascii="Verdana" w:hAnsi="Verdana" w:cs="Verdana"/>
          <w:sz w:val="20"/>
          <w:szCs w:val="20"/>
          <w:lang w:val="es-ES"/>
        </w:rPr>
      </w:pPr>
      <w:r w:rsidRPr="0032068E">
        <w:rPr>
          <w:rFonts w:ascii="Verdana" w:hAnsi="Verdana"/>
          <w:sz w:val="20"/>
          <w:szCs w:val="20"/>
          <w:lang w:val="es-CR"/>
        </w:rPr>
        <w:t xml:space="preserve"> </w:t>
      </w:r>
      <w:r w:rsidRPr="00A527AF">
        <w:rPr>
          <w:rFonts w:ascii="Verdana" w:hAnsi="Verdana"/>
          <w:sz w:val="20"/>
          <w:szCs w:val="20"/>
          <w:lang w:val="es-CR"/>
        </w:rPr>
        <w:t xml:space="preserve">Además, esta Corte ha indicado que el órgano que investiga una alegada violación de derechos humanos debe utilizar todos los medios disponibles para llevar a cabo, dentro de un plazo razonable, todas </w:t>
      </w:r>
      <w:r w:rsidRPr="00A527AF">
        <w:rPr>
          <w:rFonts w:ascii="Verdana" w:hAnsi="Verdana" w:cs="Verdana"/>
          <w:sz w:val="20"/>
          <w:szCs w:val="20"/>
          <w:lang w:val="es-ES"/>
        </w:rPr>
        <w:t>aquellas</w:t>
      </w:r>
      <w:r w:rsidRPr="00A527AF">
        <w:rPr>
          <w:rFonts w:ascii="Verdana" w:hAnsi="Verdana"/>
          <w:sz w:val="20"/>
          <w:szCs w:val="20"/>
          <w:lang w:val="es-CR"/>
        </w:rPr>
        <w:t xml:space="preserve"> actuaciones y averiguaciones que sean necesarias con el fin de intentar obtener el resultado que se persigue</w:t>
      </w:r>
      <w:r w:rsidRPr="00A527AF">
        <w:rPr>
          <w:rStyle w:val="FootnoteReference"/>
          <w:rFonts w:ascii="Verdana" w:hAnsi="Verdana"/>
          <w:sz w:val="20"/>
          <w:szCs w:val="20"/>
          <w:lang w:val="es-CR"/>
        </w:rPr>
        <w:footnoteReference w:id="130"/>
      </w:r>
      <w:r w:rsidRPr="00A527AF">
        <w:rPr>
          <w:rFonts w:ascii="Verdana" w:hAnsi="Verdana"/>
          <w:sz w:val="20"/>
          <w:szCs w:val="20"/>
          <w:lang w:val="es-CR"/>
        </w:rPr>
        <w:t xml:space="preserve">. Esta obligación de investigar con la debida diligencia adquiere particular intensidad e importancia ante la gravedad de los delitos </w:t>
      </w:r>
      <w:r w:rsidRPr="00A527AF">
        <w:rPr>
          <w:rFonts w:ascii="Verdana" w:hAnsi="Verdana"/>
          <w:sz w:val="20"/>
          <w:szCs w:val="20"/>
          <w:lang w:val="es-CR"/>
        </w:rPr>
        <w:lastRenderedPageBreak/>
        <w:t>cometidos y la naturaleza de los derechos lesionados. La Corte recuerda que la falta de diligencia tiene como consecuencia que conforme el tiempo vaya transcurriendo, se afecta indebidamente la posibilidad de obtener y presentar pruebas pertinentes que permitan esclarecer los hechos y determinar las responsabilidades que correspondan, con lo cual el Estado contribuye a la impunidad</w:t>
      </w:r>
      <w:r w:rsidRPr="00A527AF">
        <w:rPr>
          <w:rStyle w:val="FootnoteReference"/>
          <w:rFonts w:ascii="Verdana" w:hAnsi="Verdana"/>
          <w:sz w:val="20"/>
          <w:szCs w:val="20"/>
          <w:lang w:val="es-CR"/>
        </w:rPr>
        <w:footnoteReference w:id="131"/>
      </w:r>
      <w:r w:rsidRPr="00A527AF">
        <w:rPr>
          <w:rFonts w:ascii="Verdana" w:hAnsi="Verdana"/>
          <w:sz w:val="20"/>
          <w:szCs w:val="20"/>
          <w:lang w:val="es-CR"/>
        </w:rPr>
        <w:t xml:space="preserve"> (</w:t>
      </w:r>
      <w:r w:rsidRPr="00A527AF">
        <w:rPr>
          <w:rFonts w:ascii="Verdana" w:hAnsi="Verdana"/>
          <w:i/>
          <w:sz w:val="20"/>
          <w:szCs w:val="20"/>
          <w:lang w:val="es-CR"/>
        </w:rPr>
        <w:t>infra</w:t>
      </w:r>
      <w:r w:rsidRPr="00A527AF">
        <w:rPr>
          <w:rFonts w:ascii="Verdana" w:hAnsi="Verdana"/>
          <w:sz w:val="20"/>
          <w:szCs w:val="20"/>
          <w:lang w:val="es-CR"/>
        </w:rPr>
        <w:t xml:space="preserve"> Considerandos </w:t>
      </w:r>
      <w:r w:rsidRPr="00A527AF">
        <w:rPr>
          <w:rFonts w:ascii="Verdana" w:hAnsi="Verdana"/>
          <w:sz w:val="20"/>
          <w:szCs w:val="20"/>
          <w:lang w:val="es-CR"/>
        </w:rPr>
        <w:fldChar w:fldCharType="begin"/>
      </w:r>
      <w:r w:rsidRPr="00A527AF">
        <w:rPr>
          <w:rFonts w:ascii="Verdana" w:hAnsi="Verdana"/>
          <w:sz w:val="20"/>
          <w:szCs w:val="20"/>
          <w:lang w:val="es-CR"/>
        </w:rPr>
        <w:instrText xml:space="preserve"> REF _Ref437859853 \r \h </w:instrText>
      </w:r>
      <w:r w:rsidR="004B4974" w:rsidRPr="00A527AF">
        <w:rPr>
          <w:rFonts w:ascii="Verdana" w:hAnsi="Verdana"/>
          <w:sz w:val="20"/>
          <w:szCs w:val="20"/>
          <w:lang w:val="es-CR"/>
        </w:rPr>
        <w:instrText xml:space="preserve"> \* MERGEFORMAT </w:instrText>
      </w:r>
      <w:r w:rsidRPr="00A527AF">
        <w:rPr>
          <w:rFonts w:ascii="Verdana" w:hAnsi="Verdana"/>
          <w:sz w:val="20"/>
          <w:szCs w:val="20"/>
          <w:lang w:val="es-CR"/>
        </w:rPr>
      </w:r>
      <w:r w:rsidRPr="00A527AF">
        <w:rPr>
          <w:rFonts w:ascii="Verdana" w:hAnsi="Verdana"/>
          <w:sz w:val="20"/>
          <w:szCs w:val="20"/>
          <w:lang w:val="es-CR"/>
        </w:rPr>
        <w:fldChar w:fldCharType="separate"/>
      </w:r>
      <w:r w:rsidR="007E3C4B">
        <w:rPr>
          <w:rFonts w:ascii="Verdana" w:hAnsi="Verdana"/>
          <w:sz w:val="20"/>
          <w:szCs w:val="20"/>
          <w:lang w:val="es-CR"/>
        </w:rPr>
        <w:t>171</w:t>
      </w:r>
      <w:r w:rsidRPr="00A527AF">
        <w:rPr>
          <w:rFonts w:ascii="Verdana" w:hAnsi="Verdana"/>
          <w:sz w:val="20"/>
          <w:szCs w:val="20"/>
          <w:lang w:val="es-CR"/>
        </w:rPr>
        <w:fldChar w:fldCharType="end"/>
      </w:r>
      <w:r w:rsidRPr="00A527AF">
        <w:rPr>
          <w:rFonts w:ascii="Verdana" w:hAnsi="Verdana"/>
          <w:sz w:val="20"/>
          <w:szCs w:val="20"/>
          <w:lang w:val="es-CR"/>
        </w:rPr>
        <w:t xml:space="preserve"> a </w:t>
      </w:r>
      <w:r w:rsidRPr="00A527AF">
        <w:rPr>
          <w:rFonts w:ascii="Verdana" w:hAnsi="Verdana"/>
          <w:sz w:val="20"/>
          <w:szCs w:val="20"/>
          <w:lang w:val="es-CR"/>
        </w:rPr>
        <w:fldChar w:fldCharType="begin"/>
      </w:r>
      <w:r w:rsidRPr="00A527AF">
        <w:rPr>
          <w:rFonts w:ascii="Verdana" w:hAnsi="Verdana"/>
          <w:sz w:val="20"/>
          <w:szCs w:val="20"/>
          <w:lang w:val="es-CR"/>
        </w:rPr>
        <w:instrText xml:space="preserve"> REF _Ref437955684 \r \h </w:instrText>
      </w:r>
      <w:r w:rsidR="004B4974" w:rsidRPr="00A527AF">
        <w:rPr>
          <w:rFonts w:ascii="Verdana" w:hAnsi="Verdana"/>
          <w:sz w:val="20"/>
          <w:szCs w:val="20"/>
          <w:lang w:val="es-CR"/>
        </w:rPr>
        <w:instrText xml:space="preserve"> \* MERGEFORMAT </w:instrText>
      </w:r>
      <w:r w:rsidRPr="00A527AF">
        <w:rPr>
          <w:rFonts w:ascii="Verdana" w:hAnsi="Verdana"/>
          <w:sz w:val="20"/>
          <w:szCs w:val="20"/>
          <w:lang w:val="es-CR"/>
        </w:rPr>
      </w:r>
      <w:r w:rsidRPr="00A527AF">
        <w:rPr>
          <w:rFonts w:ascii="Verdana" w:hAnsi="Verdana"/>
          <w:sz w:val="20"/>
          <w:szCs w:val="20"/>
          <w:lang w:val="es-CR"/>
        </w:rPr>
        <w:fldChar w:fldCharType="separate"/>
      </w:r>
      <w:r w:rsidR="007E3C4B">
        <w:rPr>
          <w:rFonts w:ascii="Verdana" w:hAnsi="Verdana"/>
          <w:sz w:val="20"/>
          <w:szCs w:val="20"/>
          <w:lang w:val="es-CR"/>
        </w:rPr>
        <w:t>173</w:t>
      </w:r>
      <w:r w:rsidRPr="00A527AF">
        <w:rPr>
          <w:rFonts w:ascii="Verdana" w:hAnsi="Verdana"/>
          <w:sz w:val="20"/>
          <w:szCs w:val="20"/>
          <w:lang w:val="es-CR"/>
        </w:rPr>
        <w:fldChar w:fldCharType="end"/>
      </w:r>
      <w:r w:rsidRPr="00A527AF">
        <w:rPr>
          <w:rFonts w:ascii="Verdana" w:hAnsi="Verdana"/>
          <w:sz w:val="20"/>
          <w:szCs w:val="20"/>
          <w:lang w:val="es-CR"/>
        </w:rPr>
        <w:t>).</w:t>
      </w:r>
    </w:p>
    <w:p w14:paraId="7D123178" w14:textId="77777777" w:rsidR="00C471B6" w:rsidRPr="0032068E" w:rsidRDefault="00C471B6" w:rsidP="00C471B6">
      <w:pPr>
        <w:spacing w:after="0" w:line="240" w:lineRule="auto"/>
        <w:ind w:right="1444"/>
        <w:contextualSpacing/>
        <w:jc w:val="both"/>
        <w:rPr>
          <w:rFonts w:ascii="Verdana" w:hAnsi="Verdana" w:cs="Verdana"/>
          <w:sz w:val="20"/>
          <w:szCs w:val="20"/>
          <w:lang w:val="es-ES"/>
        </w:rPr>
      </w:pPr>
    </w:p>
    <w:p w14:paraId="3E00D084" w14:textId="77777777" w:rsidR="00C471B6" w:rsidRPr="0032068E" w:rsidRDefault="00C471B6" w:rsidP="00C471B6">
      <w:pPr>
        <w:numPr>
          <w:ilvl w:val="0"/>
          <w:numId w:val="2"/>
        </w:numPr>
        <w:spacing w:after="0" w:line="240" w:lineRule="auto"/>
        <w:ind w:left="0" w:right="1444" w:firstLine="0"/>
        <w:contextualSpacing/>
        <w:jc w:val="both"/>
        <w:rPr>
          <w:rFonts w:ascii="Verdana" w:hAnsi="Verdana" w:cs="Verdana"/>
          <w:sz w:val="20"/>
          <w:szCs w:val="20"/>
          <w:lang w:val="es-ES"/>
        </w:rPr>
      </w:pPr>
      <w:r w:rsidRPr="0032068E">
        <w:rPr>
          <w:rFonts w:ascii="Verdana" w:hAnsi="Verdana" w:cs="Verdana"/>
          <w:sz w:val="20"/>
          <w:szCs w:val="20"/>
          <w:lang w:val="es-ES"/>
        </w:rPr>
        <w:t xml:space="preserve">Es preciso recordar que esta Corte ya ha señalado </w:t>
      </w:r>
      <w:r>
        <w:rPr>
          <w:rFonts w:ascii="Verdana" w:hAnsi="Verdana" w:cs="Verdana"/>
          <w:sz w:val="20"/>
          <w:szCs w:val="20"/>
          <w:lang w:val="es-ES"/>
        </w:rPr>
        <w:t>en</w:t>
      </w:r>
      <w:r w:rsidRPr="0032068E">
        <w:rPr>
          <w:rFonts w:ascii="Verdana" w:hAnsi="Verdana" w:cs="Verdana"/>
          <w:sz w:val="20"/>
          <w:szCs w:val="20"/>
          <w:lang w:val="es-ES"/>
        </w:rPr>
        <w:t xml:space="preserve"> su jurisprudencia en casos contra Guatemala que </w:t>
      </w:r>
      <w:r>
        <w:rPr>
          <w:rFonts w:ascii="Verdana" w:hAnsi="Verdana" w:cs="Verdana"/>
          <w:sz w:val="20"/>
          <w:szCs w:val="20"/>
          <w:lang w:val="es-ES"/>
        </w:rPr>
        <w:t>“</w:t>
      </w:r>
      <w:r w:rsidRPr="0032068E">
        <w:rPr>
          <w:rFonts w:ascii="Verdana" w:hAnsi="Verdana" w:cs="Verdana"/>
          <w:sz w:val="20"/>
          <w:szCs w:val="20"/>
          <w:lang w:val="es-ES"/>
        </w:rPr>
        <w:t>[ese Estado] tiene un problema grave con respecto a la impunidad que impera en el país, específicamente con relación a las violaciones sistemáticas de los derechos humanos ocurridas durante el conflicto armado”</w:t>
      </w:r>
      <w:r>
        <w:rPr>
          <w:rStyle w:val="FootnoteReference"/>
          <w:rFonts w:ascii="Verdana" w:hAnsi="Verdana" w:cs="Verdana"/>
          <w:sz w:val="20"/>
          <w:szCs w:val="20"/>
          <w:lang w:val="es-ES"/>
        </w:rPr>
        <w:footnoteReference w:id="132"/>
      </w:r>
      <w:r w:rsidRPr="0032068E">
        <w:rPr>
          <w:rFonts w:ascii="Verdana" w:hAnsi="Verdana" w:cs="Verdana"/>
          <w:sz w:val="20"/>
          <w:szCs w:val="20"/>
          <w:lang w:val="es-ES"/>
        </w:rPr>
        <w:t>.</w:t>
      </w:r>
    </w:p>
    <w:p w14:paraId="404C1E76" w14:textId="77777777" w:rsidR="00C471B6" w:rsidRPr="0032068E" w:rsidRDefault="00C471B6" w:rsidP="00C471B6">
      <w:pPr>
        <w:spacing w:after="0" w:line="240" w:lineRule="auto"/>
        <w:ind w:right="1444"/>
        <w:contextualSpacing/>
        <w:jc w:val="both"/>
        <w:rPr>
          <w:rFonts w:ascii="Verdana" w:hAnsi="Verdana" w:cs="Verdana"/>
          <w:sz w:val="20"/>
          <w:szCs w:val="20"/>
          <w:lang w:val="es-ES"/>
        </w:rPr>
      </w:pPr>
    </w:p>
    <w:p w14:paraId="43396BC9" w14:textId="3769AAE1" w:rsidR="00C471B6" w:rsidRPr="0032068E" w:rsidRDefault="00C471B6" w:rsidP="00C471B6">
      <w:pPr>
        <w:numPr>
          <w:ilvl w:val="0"/>
          <w:numId w:val="2"/>
        </w:numPr>
        <w:spacing w:after="0" w:line="240" w:lineRule="auto"/>
        <w:ind w:left="0" w:right="1444" w:firstLine="0"/>
        <w:contextualSpacing/>
        <w:jc w:val="both"/>
        <w:rPr>
          <w:rFonts w:ascii="Verdana" w:hAnsi="Verdana" w:cs="Verdana"/>
          <w:sz w:val="20"/>
          <w:szCs w:val="20"/>
          <w:lang w:val="es-ES"/>
        </w:rPr>
      </w:pPr>
      <w:r w:rsidRPr="0032068E">
        <w:rPr>
          <w:rFonts w:ascii="Verdana" w:hAnsi="Verdana"/>
          <w:sz w:val="20"/>
          <w:szCs w:val="20"/>
          <w:lang w:val="es-CR"/>
        </w:rPr>
        <w:t>En el apartado anterior, la Corte evaluó el grado de cumplimiento de la obligación de investigar, identificar, juzgar y, en su caso, sancionar a los responsables de las graves violaciones a los derechos humanos de los referidos 12 casos. Con</w:t>
      </w:r>
      <w:r w:rsidR="00D541E7">
        <w:rPr>
          <w:rFonts w:ascii="Verdana" w:hAnsi="Verdana"/>
          <w:sz w:val="20"/>
          <w:szCs w:val="20"/>
          <w:lang w:val="es-CR"/>
        </w:rPr>
        <w:t xml:space="preserve"> excepción del caso Mack Chang</w:t>
      </w:r>
      <w:r>
        <w:rPr>
          <w:rFonts w:ascii="Verdana" w:hAnsi="Verdana"/>
          <w:sz w:val="20"/>
          <w:szCs w:val="20"/>
          <w:lang w:val="es-CR"/>
        </w:rPr>
        <w:t>, l</w:t>
      </w:r>
      <w:r w:rsidRPr="0032068E">
        <w:rPr>
          <w:rFonts w:ascii="Verdana" w:hAnsi="Verdana"/>
          <w:sz w:val="20"/>
          <w:szCs w:val="20"/>
          <w:lang w:val="es-CR"/>
        </w:rPr>
        <w:t xml:space="preserve">os procesos penales de </w:t>
      </w:r>
      <w:r>
        <w:rPr>
          <w:rFonts w:ascii="Verdana" w:hAnsi="Verdana"/>
          <w:sz w:val="20"/>
          <w:szCs w:val="20"/>
          <w:lang w:val="es-CR"/>
        </w:rPr>
        <w:t>los</w:t>
      </w:r>
      <w:r w:rsidRPr="0032068E">
        <w:rPr>
          <w:rFonts w:ascii="Verdana" w:hAnsi="Verdana"/>
          <w:sz w:val="20"/>
          <w:szCs w:val="20"/>
          <w:lang w:val="es-CR"/>
        </w:rPr>
        <w:t xml:space="preserve"> casos continúan en etapa de investigación penal. Únicamente en </w:t>
      </w:r>
      <w:r>
        <w:rPr>
          <w:rFonts w:ascii="Verdana" w:hAnsi="Verdana"/>
          <w:sz w:val="20"/>
          <w:szCs w:val="20"/>
          <w:lang w:val="es-CR"/>
        </w:rPr>
        <w:t>5</w:t>
      </w:r>
      <w:r w:rsidR="00250FCD">
        <w:rPr>
          <w:rStyle w:val="FootnoteReference"/>
          <w:rFonts w:ascii="Verdana" w:hAnsi="Verdana"/>
          <w:sz w:val="20"/>
          <w:szCs w:val="20"/>
          <w:lang w:val="es-CR"/>
        </w:rPr>
        <w:footnoteReference w:id="133"/>
      </w:r>
      <w:r w:rsidRPr="0032068E">
        <w:rPr>
          <w:rFonts w:ascii="Verdana" w:hAnsi="Verdana"/>
          <w:sz w:val="20"/>
          <w:szCs w:val="20"/>
          <w:lang w:val="es-CR"/>
        </w:rPr>
        <w:t xml:space="preserve"> de esos 12 casos se han adoptado decisiones judiciales que se pronuncien </w:t>
      </w:r>
      <w:r w:rsidRPr="00EA245B">
        <w:rPr>
          <w:rFonts w:ascii="Verdana" w:hAnsi="Verdana"/>
          <w:sz w:val="20"/>
          <w:szCs w:val="20"/>
          <w:lang w:val="es-CR"/>
        </w:rPr>
        <w:t>sobre la determinación de responsabilidades penales (</w:t>
      </w:r>
      <w:r w:rsidRPr="00EA245B">
        <w:rPr>
          <w:rFonts w:ascii="Verdana" w:hAnsi="Verdana"/>
          <w:i/>
          <w:sz w:val="20"/>
          <w:szCs w:val="20"/>
          <w:lang w:val="es-CR"/>
        </w:rPr>
        <w:t xml:space="preserve">supra </w:t>
      </w:r>
      <w:r w:rsidRPr="00EA245B">
        <w:rPr>
          <w:rFonts w:ascii="Verdana" w:hAnsi="Verdana"/>
          <w:sz w:val="20"/>
          <w:szCs w:val="20"/>
          <w:lang w:val="es-CR"/>
        </w:rPr>
        <w:t xml:space="preserve">Considerandos </w:t>
      </w:r>
      <w:r w:rsidR="00EA245B" w:rsidRPr="00EA245B">
        <w:rPr>
          <w:rFonts w:ascii="Verdana" w:hAnsi="Verdana"/>
          <w:sz w:val="20"/>
          <w:szCs w:val="20"/>
          <w:lang w:val="es-CR"/>
        </w:rPr>
        <w:t>46, 73</w:t>
      </w:r>
      <w:r w:rsidRPr="00EA245B">
        <w:rPr>
          <w:rFonts w:ascii="Verdana" w:hAnsi="Verdana"/>
          <w:sz w:val="20"/>
          <w:szCs w:val="20"/>
          <w:lang w:val="es-CR"/>
        </w:rPr>
        <w:t xml:space="preserve">, </w:t>
      </w:r>
      <w:r w:rsidRPr="00EA245B">
        <w:rPr>
          <w:rFonts w:ascii="Verdana" w:hAnsi="Verdana"/>
          <w:sz w:val="20"/>
          <w:szCs w:val="20"/>
          <w:lang w:val="es-CR"/>
        </w:rPr>
        <w:fldChar w:fldCharType="begin"/>
      </w:r>
      <w:r w:rsidRPr="00EA245B">
        <w:rPr>
          <w:rFonts w:ascii="Verdana" w:hAnsi="Verdana"/>
          <w:sz w:val="20"/>
          <w:szCs w:val="20"/>
          <w:lang w:val="es-CR"/>
        </w:rPr>
        <w:instrText xml:space="preserve"> REF _Ref437867960 \r \h  \* MERGEFORMAT </w:instrText>
      </w:r>
      <w:r w:rsidRPr="00EA245B">
        <w:rPr>
          <w:rFonts w:ascii="Verdana" w:hAnsi="Verdana"/>
          <w:sz w:val="20"/>
          <w:szCs w:val="20"/>
          <w:lang w:val="es-CR"/>
        </w:rPr>
      </w:r>
      <w:r w:rsidRPr="00EA245B">
        <w:rPr>
          <w:rFonts w:ascii="Verdana" w:hAnsi="Verdana"/>
          <w:sz w:val="20"/>
          <w:szCs w:val="20"/>
          <w:lang w:val="es-CR"/>
        </w:rPr>
        <w:fldChar w:fldCharType="separate"/>
      </w:r>
      <w:r w:rsidR="007E3C4B">
        <w:rPr>
          <w:rFonts w:ascii="Verdana" w:hAnsi="Verdana"/>
          <w:sz w:val="20"/>
          <w:szCs w:val="20"/>
          <w:lang w:val="es-CR"/>
        </w:rPr>
        <w:t>91</w:t>
      </w:r>
      <w:r w:rsidRPr="00EA245B">
        <w:rPr>
          <w:rFonts w:ascii="Verdana" w:hAnsi="Verdana"/>
          <w:sz w:val="20"/>
          <w:szCs w:val="20"/>
          <w:lang w:val="es-CR"/>
        </w:rPr>
        <w:fldChar w:fldCharType="end"/>
      </w:r>
      <w:r w:rsidR="00EA245B" w:rsidRPr="00EA245B">
        <w:rPr>
          <w:rFonts w:ascii="Verdana" w:hAnsi="Verdana"/>
          <w:sz w:val="20"/>
          <w:szCs w:val="20"/>
          <w:lang w:val="es-CR"/>
        </w:rPr>
        <w:t>, 96</w:t>
      </w:r>
      <w:r w:rsidRPr="00EA245B">
        <w:rPr>
          <w:rFonts w:ascii="Verdana" w:hAnsi="Verdana"/>
          <w:sz w:val="20"/>
          <w:szCs w:val="20"/>
          <w:lang w:val="es-CR"/>
        </w:rPr>
        <w:t xml:space="preserve"> y </w:t>
      </w:r>
      <w:r w:rsidRPr="00EA245B">
        <w:rPr>
          <w:rFonts w:ascii="Verdana" w:hAnsi="Verdana"/>
          <w:sz w:val="20"/>
          <w:szCs w:val="20"/>
          <w:lang w:val="es-CR"/>
        </w:rPr>
        <w:fldChar w:fldCharType="begin"/>
      </w:r>
      <w:r w:rsidRPr="00EA245B">
        <w:rPr>
          <w:rFonts w:ascii="Verdana" w:hAnsi="Verdana"/>
          <w:sz w:val="20"/>
          <w:szCs w:val="20"/>
          <w:lang w:val="es-CR"/>
        </w:rPr>
        <w:instrText xml:space="preserve"> REF _Ref437955927 \r \h  \* MERGEFORMAT </w:instrText>
      </w:r>
      <w:r w:rsidRPr="00EA245B">
        <w:rPr>
          <w:rFonts w:ascii="Verdana" w:hAnsi="Verdana"/>
          <w:sz w:val="20"/>
          <w:szCs w:val="20"/>
          <w:lang w:val="es-CR"/>
        </w:rPr>
      </w:r>
      <w:r w:rsidRPr="00EA245B">
        <w:rPr>
          <w:rFonts w:ascii="Verdana" w:hAnsi="Verdana"/>
          <w:sz w:val="20"/>
          <w:szCs w:val="20"/>
          <w:lang w:val="es-CR"/>
        </w:rPr>
        <w:fldChar w:fldCharType="separate"/>
      </w:r>
      <w:r w:rsidR="007E3C4B">
        <w:rPr>
          <w:rFonts w:ascii="Verdana" w:hAnsi="Verdana"/>
          <w:sz w:val="20"/>
          <w:szCs w:val="20"/>
          <w:lang w:val="es-CR"/>
        </w:rPr>
        <w:t>108</w:t>
      </w:r>
      <w:r w:rsidRPr="00EA245B">
        <w:rPr>
          <w:rFonts w:ascii="Verdana" w:hAnsi="Verdana"/>
          <w:sz w:val="20"/>
          <w:szCs w:val="20"/>
          <w:lang w:val="es-CR"/>
        </w:rPr>
        <w:fldChar w:fldCharType="end"/>
      </w:r>
      <w:r w:rsidRPr="00EA245B">
        <w:rPr>
          <w:rFonts w:ascii="Verdana" w:hAnsi="Verdana"/>
          <w:sz w:val="20"/>
          <w:szCs w:val="20"/>
          <w:lang w:val="es-CR"/>
        </w:rPr>
        <w:t>).</w:t>
      </w:r>
      <w:r>
        <w:rPr>
          <w:rFonts w:ascii="Verdana" w:hAnsi="Verdana"/>
          <w:sz w:val="20"/>
          <w:szCs w:val="20"/>
          <w:lang w:val="es-CR"/>
        </w:rPr>
        <w:t xml:space="preserve"> Por ello, se constata que particularmente en </w:t>
      </w:r>
      <w:r w:rsidR="00805308">
        <w:rPr>
          <w:rFonts w:ascii="Verdana" w:hAnsi="Verdana"/>
          <w:sz w:val="20"/>
          <w:szCs w:val="20"/>
          <w:lang w:val="es-CR"/>
        </w:rPr>
        <w:t>siete</w:t>
      </w:r>
      <w:r>
        <w:rPr>
          <w:rFonts w:ascii="Verdana" w:hAnsi="Verdana"/>
          <w:sz w:val="20"/>
          <w:szCs w:val="20"/>
          <w:lang w:val="es-CR"/>
        </w:rPr>
        <w:t xml:space="preserve"> de los casos aquí evaluados </w:t>
      </w:r>
      <w:r w:rsidRPr="0032068E">
        <w:rPr>
          <w:rFonts w:ascii="Verdana" w:hAnsi="Verdana"/>
          <w:sz w:val="20"/>
          <w:szCs w:val="20"/>
          <w:lang w:val="es-CR"/>
        </w:rPr>
        <w:t>prevalece la impunidad por la falta de efectividad de las investigaciones y procesos penales y la demora injustificada en las mismas</w:t>
      </w:r>
      <w:r w:rsidR="00EA245B">
        <w:rPr>
          <w:rFonts w:ascii="Verdana" w:hAnsi="Verdana"/>
          <w:sz w:val="20"/>
          <w:szCs w:val="20"/>
          <w:lang w:val="es-CR"/>
        </w:rPr>
        <w:t>, y que en los referidos cinco casos está pendiente la investigación y juzgamiento sobre otros posibles responsables o la captura de condenados</w:t>
      </w:r>
      <w:r w:rsidRPr="0032068E">
        <w:rPr>
          <w:rFonts w:ascii="Verdana" w:hAnsi="Verdana"/>
          <w:sz w:val="20"/>
          <w:szCs w:val="20"/>
          <w:lang w:val="es-CR"/>
        </w:rPr>
        <w:t>. Para que el Estado ejecute de manera eficaz la obligación de investigar, es fundamental que tome en cuenta l</w:t>
      </w:r>
      <w:r w:rsidRPr="0032068E">
        <w:rPr>
          <w:rFonts w:ascii="Verdana" w:hAnsi="Verdana"/>
          <w:sz w:val="20"/>
          <w:szCs w:val="20"/>
          <w:lang w:val="es-CR" w:eastAsia="es-MX"/>
        </w:rPr>
        <w:t xml:space="preserve">os criterios indicados por la Corte </w:t>
      </w:r>
      <w:r w:rsidRPr="0032068E">
        <w:rPr>
          <w:rFonts w:ascii="Verdana" w:hAnsi="Verdana"/>
          <w:sz w:val="20"/>
          <w:szCs w:val="20"/>
          <w:lang w:val="es-CR"/>
        </w:rPr>
        <w:t xml:space="preserve">y remueva todos los obstáculos normativos, </w:t>
      </w:r>
      <w:r w:rsidRPr="00A40562">
        <w:rPr>
          <w:rFonts w:ascii="Verdana" w:hAnsi="Verdana"/>
          <w:sz w:val="20"/>
          <w:szCs w:val="20"/>
          <w:lang w:val="es-CR"/>
        </w:rPr>
        <w:t>institucionales</w:t>
      </w:r>
      <w:r w:rsidRPr="0032068E">
        <w:rPr>
          <w:rFonts w:ascii="Verdana" w:hAnsi="Verdana"/>
          <w:sz w:val="20"/>
          <w:szCs w:val="20"/>
          <w:lang w:val="es-CR"/>
        </w:rPr>
        <w:t xml:space="preserve"> y fácticos </w:t>
      </w:r>
      <w:r w:rsidRPr="0032068E">
        <w:rPr>
          <w:rFonts w:ascii="Verdana" w:hAnsi="Verdana"/>
          <w:sz w:val="20"/>
          <w:szCs w:val="20"/>
          <w:lang w:val="es-CR" w:bidi="en-US"/>
        </w:rPr>
        <w:t>que mantiene</w:t>
      </w:r>
      <w:r w:rsidRPr="0032068E">
        <w:rPr>
          <w:rFonts w:ascii="Verdana" w:hAnsi="Verdana"/>
          <w:sz w:val="20"/>
          <w:szCs w:val="20"/>
          <w:lang w:val="es-CR"/>
        </w:rPr>
        <w:t>n la impunidad en estos</w:t>
      </w:r>
      <w:r w:rsidRPr="0032068E">
        <w:rPr>
          <w:rFonts w:ascii="Verdana" w:hAnsi="Verdana"/>
          <w:sz w:val="20"/>
          <w:szCs w:val="20"/>
          <w:lang w:val="es-CR" w:bidi="en-US"/>
        </w:rPr>
        <w:t xml:space="preserve"> casos. </w:t>
      </w:r>
    </w:p>
    <w:p w14:paraId="7D36AF3C" w14:textId="77777777" w:rsidR="00A8328F" w:rsidRPr="0032068E" w:rsidRDefault="00A8328F" w:rsidP="00A8328F">
      <w:pPr>
        <w:spacing w:after="0" w:line="240" w:lineRule="auto"/>
        <w:ind w:right="1444"/>
        <w:contextualSpacing/>
        <w:jc w:val="both"/>
        <w:rPr>
          <w:rFonts w:ascii="Verdana" w:hAnsi="Verdana" w:cs="Verdana"/>
          <w:sz w:val="20"/>
          <w:szCs w:val="20"/>
          <w:lang w:val="es-ES"/>
        </w:rPr>
      </w:pPr>
    </w:p>
    <w:p w14:paraId="35ED89A8" w14:textId="77777777" w:rsidR="00D02740" w:rsidRPr="0032068E" w:rsidRDefault="00D02740" w:rsidP="00AD5701">
      <w:pPr>
        <w:pStyle w:val="Heading3"/>
        <w:numPr>
          <w:ilvl w:val="0"/>
          <w:numId w:val="47"/>
        </w:numPr>
      </w:pPr>
      <w:bookmarkStart w:id="115" w:name="_Toc435778539"/>
      <w:bookmarkStart w:id="116" w:name="_Toc439248797"/>
      <w:r w:rsidRPr="0032068E">
        <w:t>Limitaciones en el acceso a la información relevante para la investigación</w:t>
      </w:r>
      <w:bookmarkEnd w:id="115"/>
      <w:bookmarkEnd w:id="116"/>
    </w:p>
    <w:p w14:paraId="7B9C619B" w14:textId="77777777" w:rsidR="00C471B6" w:rsidRPr="0032068E" w:rsidRDefault="00C471B6" w:rsidP="00C471B6">
      <w:pPr>
        <w:pStyle w:val="ListParagraph"/>
        <w:rPr>
          <w:rFonts w:ascii="Verdana" w:hAnsi="Verdana"/>
          <w:sz w:val="20"/>
          <w:szCs w:val="20"/>
          <w:lang w:val="es-ES"/>
        </w:rPr>
      </w:pPr>
    </w:p>
    <w:p w14:paraId="39596DC5" w14:textId="49F0198D" w:rsidR="00C471B6" w:rsidRPr="0032068E" w:rsidRDefault="00C471B6" w:rsidP="00C471B6">
      <w:pPr>
        <w:pStyle w:val="ListParagraph"/>
        <w:numPr>
          <w:ilvl w:val="0"/>
          <w:numId w:val="2"/>
        </w:numPr>
        <w:spacing w:after="0" w:line="240" w:lineRule="auto"/>
        <w:ind w:left="0" w:right="1444" w:firstLine="0"/>
        <w:jc w:val="both"/>
        <w:rPr>
          <w:rFonts w:ascii="Verdana" w:hAnsi="Verdana"/>
          <w:sz w:val="20"/>
          <w:szCs w:val="20"/>
          <w:lang w:val="es-CR"/>
        </w:rPr>
      </w:pPr>
      <w:bookmarkStart w:id="117" w:name="_Ref437964206"/>
      <w:bookmarkStart w:id="118" w:name="_Ref437858242"/>
      <w:r>
        <w:rPr>
          <w:rFonts w:ascii="Verdana" w:hAnsi="Verdana"/>
          <w:sz w:val="20"/>
          <w:szCs w:val="20"/>
          <w:lang w:val="es-CR"/>
        </w:rPr>
        <w:t>El</w:t>
      </w:r>
      <w:r w:rsidRPr="0032068E">
        <w:rPr>
          <w:rFonts w:ascii="Verdana" w:hAnsi="Verdana"/>
          <w:sz w:val="20"/>
          <w:szCs w:val="20"/>
          <w:lang w:val="es-CR"/>
        </w:rPr>
        <w:t xml:space="preserve"> Informe del Ministerio Público</w:t>
      </w:r>
      <w:r>
        <w:rPr>
          <w:rFonts w:ascii="Verdana" w:hAnsi="Verdana"/>
          <w:sz w:val="20"/>
          <w:szCs w:val="20"/>
          <w:lang w:val="es-CR"/>
        </w:rPr>
        <w:t xml:space="preserve"> </w:t>
      </w:r>
      <w:r w:rsidRPr="009041CF">
        <w:rPr>
          <w:rFonts w:ascii="Verdana" w:hAnsi="Verdana" w:cs="Verdana"/>
          <w:sz w:val="20"/>
          <w:szCs w:val="20"/>
          <w:lang w:val="es-ES"/>
        </w:rPr>
        <w:t>de mayo de 2014</w:t>
      </w:r>
      <w:r w:rsidRPr="0032068E">
        <w:rPr>
          <w:rFonts w:ascii="Verdana" w:hAnsi="Verdana"/>
          <w:sz w:val="20"/>
          <w:szCs w:val="20"/>
          <w:lang w:val="es-CR"/>
        </w:rPr>
        <w:t xml:space="preserve"> señala como obstáculo a la investigación el “</w:t>
      </w:r>
      <w:r>
        <w:rPr>
          <w:rFonts w:ascii="Verdana" w:hAnsi="Verdana"/>
          <w:sz w:val="20"/>
          <w:szCs w:val="20"/>
          <w:lang w:val="es-CR"/>
        </w:rPr>
        <w:t>[</w:t>
      </w:r>
      <w:r w:rsidRPr="0032068E">
        <w:rPr>
          <w:rFonts w:ascii="Verdana" w:hAnsi="Verdana"/>
          <w:sz w:val="20"/>
          <w:szCs w:val="20"/>
          <w:lang w:val="es-CR"/>
        </w:rPr>
        <w:t>l</w:t>
      </w:r>
      <w:r>
        <w:rPr>
          <w:rFonts w:ascii="Verdana" w:hAnsi="Verdana"/>
          <w:sz w:val="20"/>
          <w:szCs w:val="20"/>
          <w:lang w:val="es-CR"/>
        </w:rPr>
        <w:t>]</w:t>
      </w:r>
      <w:r w:rsidRPr="0032068E">
        <w:rPr>
          <w:rFonts w:ascii="Verdana" w:hAnsi="Verdana"/>
          <w:sz w:val="20"/>
          <w:szCs w:val="20"/>
          <w:lang w:val="es-CR"/>
        </w:rPr>
        <w:t>imitado acceso a la información sobre posibles autores”, ya que “</w:t>
      </w:r>
      <w:r>
        <w:rPr>
          <w:rFonts w:ascii="Verdana" w:hAnsi="Verdana"/>
          <w:sz w:val="20"/>
          <w:szCs w:val="20"/>
          <w:lang w:val="es-CR"/>
        </w:rPr>
        <w:t>[</w:t>
      </w:r>
      <w:r w:rsidRPr="0032068E">
        <w:rPr>
          <w:rFonts w:ascii="Verdana" w:hAnsi="Verdana"/>
          <w:sz w:val="20"/>
          <w:szCs w:val="20"/>
          <w:lang w:val="es-CR"/>
        </w:rPr>
        <w:t>s</w:t>
      </w:r>
      <w:r>
        <w:rPr>
          <w:rFonts w:ascii="Verdana" w:hAnsi="Verdana"/>
          <w:sz w:val="20"/>
          <w:szCs w:val="20"/>
          <w:lang w:val="es-CR"/>
        </w:rPr>
        <w:t>]</w:t>
      </w:r>
      <w:r w:rsidRPr="0032068E">
        <w:rPr>
          <w:rFonts w:ascii="Verdana" w:hAnsi="Verdana"/>
          <w:sz w:val="20"/>
          <w:szCs w:val="20"/>
          <w:lang w:val="es-CR"/>
        </w:rPr>
        <w:t xml:space="preserve">on muy contados los casos en los que se obtiene la información requerida por el Ministerio Público al Ministerio de Defensa”. </w:t>
      </w:r>
      <w:r>
        <w:rPr>
          <w:rFonts w:ascii="Verdana" w:hAnsi="Verdana"/>
          <w:sz w:val="20"/>
          <w:szCs w:val="20"/>
          <w:lang w:val="es-CR"/>
        </w:rPr>
        <w:t xml:space="preserve">Tanto los representantes de las víctimas como la Comisión destacan dicho obstáculo en sus distintos escritos. </w:t>
      </w:r>
      <w:r w:rsidRPr="0032068E">
        <w:rPr>
          <w:rFonts w:ascii="Verdana" w:hAnsi="Verdana"/>
          <w:sz w:val="20"/>
          <w:szCs w:val="20"/>
          <w:lang w:val="es-CR"/>
        </w:rPr>
        <w:t xml:space="preserve">El </w:t>
      </w:r>
      <w:r>
        <w:rPr>
          <w:rFonts w:ascii="Verdana" w:hAnsi="Verdana"/>
          <w:sz w:val="20"/>
          <w:szCs w:val="20"/>
          <w:lang w:val="es-CR"/>
        </w:rPr>
        <w:t xml:space="preserve">referido </w:t>
      </w:r>
      <w:r w:rsidRPr="0032068E">
        <w:rPr>
          <w:rFonts w:ascii="Verdana" w:hAnsi="Verdana"/>
          <w:sz w:val="20"/>
          <w:szCs w:val="20"/>
          <w:lang w:val="es-CR"/>
        </w:rPr>
        <w:t>informe del Ministerio Público indica las distintas oportunidades en que ello ha sucedido en cada caso y explica que en muchas ocasiones, cuando se requiere</w:t>
      </w:r>
      <w:r>
        <w:rPr>
          <w:rFonts w:ascii="Verdana" w:hAnsi="Verdana"/>
          <w:sz w:val="20"/>
          <w:szCs w:val="20"/>
          <w:lang w:val="es-CR"/>
        </w:rPr>
        <w:t>n</w:t>
      </w:r>
      <w:r w:rsidRPr="0032068E">
        <w:rPr>
          <w:rFonts w:ascii="Verdana" w:hAnsi="Verdana"/>
          <w:sz w:val="20"/>
          <w:szCs w:val="20"/>
          <w:lang w:val="es-CR"/>
        </w:rPr>
        <w:t xml:space="preserve"> documentos relevantes al Ministerio de Defensa para la investigación, “la respuesta de los funcionarios de ese Ministerio exige que la misma le sea solicitada por un </w:t>
      </w:r>
      <w:proofErr w:type="gramStart"/>
      <w:r w:rsidRPr="0032068E">
        <w:rPr>
          <w:rFonts w:ascii="Verdana" w:hAnsi="Verdana"/>
          <w:sz w:val="20"/>
          <w:szCs w:val="20"/>
          <w:lang w:val="es-CR"/>
        </w:rPr>
        <w:t>Juez</w:t>
      </w:r>
      <w:r>
        <w:rPr>
          <w:rFonts w:ascii="Verdana" w:hAnsi="Verdana"/>
          <w:sz w:val="20"/>
          <w:szCs w:val="20"/>
          <w:lang w:val="es-CR"/>
        </w:rPr>
        <w:t>[</w:t>
      </w:r>
      <w:proofErr w:type="gramEnd"/>
      <w:r>
        <w:rPr>
          <w:rFonts w:ascii="Verdana" w:hAnsi="Verdana"/>
          <w:sz w:val="20"/>
          <w:szCs w:val="20"/>
          <w:lang w:val="es-CR"/>
        </w:rPr>
        <w:t>;]</w:t>
      </w:r>
      <w:r w:rsidRPr="0032068E">
        <w:rPr>
          <w:rFonts w:ascii="Verdana" w:hAnsi="Verdana"/>
          <w:sz w:val="20"/>
          <w:szCs w:val="20"/>
          <w:lang w:val="es-CR"/>
        </w:rPr>
        <w:t xml:space="preserve"> en otras oportunidades su respuesta ha sido que no cuenta con la </w:t>
      </w:r>
      <w:r w:rsidRPr="0032068E">
        <w:rPr>
          <w:rFonts w:ascii="Verdana" w:hAnsi="Verdana"/>
          <w:sz w:val="20"/>
          <w:szCs w:val="20"/>
          <w:lang w:val="es-CR"/>
        </w:rPr>
        <w:lastRenderedPageBreak/>
        <w:t xml:space="preserve">información, </w:t>
      </w:r>
      <w:r>
        <w:rPr>
          <w:rFonts w:ascii="Verdana" w:hAnsi="Verdana"/>
          <w:sz w:val="20"/>
          <w:szCs w:val="20"/>
          <w:lang w:val="es-CR"/>
        </w:rPr>
        <w:t>[pese]</w:t>
      </w:r>
      <w:r w:rsidRPr="0032068E">
        <w:rPr>
          <w:rFonts w:ascii="Verdana" w:hAnsi="Verdana"/>
          <w:sz w:val="20"/>
          <w:szCs w:val="20"/>
          <w:lang w:val="es-CR"/>
        </w:rPr>
        <w:t xml:space="preserve"> a que se trata de documentos que obviamente deben ser conservados”. Además, destacó que “cuando la Fiscalía ha promovido investigaciones antropológicas forenses y, como parte de éstas, la exhumación de restos óseos en zonas o destacamentos </w:t>
      </w:r>
      <w:proofErr w:type="gramStart"/>
      <w:r w:rsidRPr="0032068E">
        <w:rPr>
          <w:rFonts w:ascii="Verdana" w:hAnsi="Verdana"/>
          <w:sz w:val="20"/>
          <w:szCs w:val="20"/>
          <w:lang w:val="es-CR"/>
        </w:rPr>
        <w:t>militares[</w:t>
      </w:r>
      <w:proofErr w:type="gramEnd"/>
      <w:r w:rsidRPr="0032068E">
        <w:rPr>
          <w:rFonts w:ascii="Verdana" w:hAnsi="Verdana"/>
          <w:sz w:val="20"/>
          <w:szCs w:val="20"/>
          <w:lang w:val="es-CR"/>
        </w:rPr>
        <w:t>,] los funcionarios militares han negado el ingreso de fiscales y expertos por razones formales o aduciendo la necesidad de orden judicial”. El Ministerio Público hizo notar que tales situaciones ocurren a pesar de que el artículo 157 (Deber de colaborar) del Código Procesal Penal establece que “[t]odas las autoridades y entidades públicas prestarán su colaboración al Ministerio Público, a los tribunales y a la policía, y diligenciarán sin demora los requerimientos que reciban de ellos”.</w:t>
      </w:r>
      <w:bookmarkEnd w:id="117"/>
      <w:r w:rsidRPr="0032068E">
        <w:rPr>
          <w:rFonts w:ascii="Verdana" w:hAnsi="Verdana"/>
          <w:sz w:val="20"/>
          <w:szCs w:val="20"/>
          <w:lang w:val="es-CR"/>
        </w:rPr>
        <w:t xml:space="preserve"> </w:t>
      </w:r>
      <w:bookmarkEnd w:id="118"/>
    </w:p>
    <w:p w14:paraId="36D4FF26" w14:textId="77777777" w:rsidR="00C471B6" w:rsidRPr="0032068E" w:rsidRDefault="00C471B6" w:rsidP="00C471B6">
      <w:pPr>
        <w:pStyle w:val="ListParagraph"/>
        <w:spacing w:after="0" w:line="240" w:lineRule="auto"/>
        <w:ind w:left="0" w:right="1444"/>
        <w:jc w:val="both"/>
        <w:rPr>
          <w:rFonts w:ascii="Verdana" w:hAnsi="Verdana"/>
          <w:sz w:val="20"/>
          <w:szCs w:val="20"/>
          <w:lang w:val="es-CR"/>
        </w:rPr>
      </w:pPr>
    </w:p>
    <w:p w14:paraId="244D33D1" w14:textId="3BA52DA0" w:rsidR="00C471B6" w:rsidRPr="0032068E" w:rsidRDefault="00C471B6" w:rsidP="00C471B6">
      <w:pPr>
        <w:pStyle w:val="ListParagraph"/>
        <w:numPr>
          <w:ilvl w:val="0"/>
          <w:numId w:val="2"/>
        </w:numPr>
        <w:spacing w:after="0" w:line="240" w:lineRule="auto"/>
        <w:ind w:left="0" w:right="1444" w:firstLine="0"/>
        <w:jc w:val="both"/>
        <w:rPr>
          <w:rFonts w:ascii="Verdana" w:hAnsi="Verdana"/>
          <w:sz w:val="20"/>
          <w:szCs w:val="20"/>
          <w:lang w:val="es-CR"/>
        </w:rPr>
      </w:pPr>
      <w:bookmarkStart w:id="119" w:name="_Ref437868066"/>
      <w:r w:rsidRPr="0032068E">
        <w:rPr>
          <w:rFonts w:ascii="Verdana" w:hAnsi="Verdana"/>
          <w:sz w:val="20"/>
          <w:szCs w:val="20"/>
          <w:lang w:val="es-CR"/>
        </w:rPr>
        <w:t xml:space="preserve">Al respecto, </w:t>
      </w:r>
      <w:r>
        <w:rPr>
          <w:rFonts w:ascii="Verdana" w:hAnsi="Verdana"/>
          <w:sz w:val="20"/>
          <w:szCs w:val="20"/>
          <w:lang w:val="es-CR"/>
        </w:rPr>
        <w:t xml:space="preserve">años atrás, en informes presentados en el </w:t>
      </w:r>
      <w:r w:rsidRPr="0032068E">
        <w:rPr>
          <w:rFonts w:ascii="Verdana" w:hAnsi="Verdana"/>
          <w:sz w:val="20"/>
          <w:szCs w:val="20"/>
          <w:lang w:val="es-CR"/>
        </w:rPr>
        <w:t>2011</w:t>
      </w:r>
      <w:r>
        <w:rPr>
          <w:rFonts w:ascii="Verdana" w:hAnsi="Verdana"/>
          <w:sz w:val="20"/>
          <w:szCs w:val="20"/>
          <w:lang w:val="es-CR"/>
        </w:rPr>
        <w:t xml:space="preserve"> y el 2014</w:t>
      </w:r>
      <w:r w:rsidRPr="0032068E">
        <w:rPr>
          <w:rFonts w:ascii="Verdana" w:hAnsi="Verdana"/>
          <w:sz w:val="20"/>
          <w:szCs w:val="20"/>
          <w:lang w:val="es-CR"/>
        </w:rPr>
        <w:t xml:space="preserve">, el Estado reconoció que: en el caso </w:t>
      </w:r>
      <w:r w:rsidRPr="0032068E">
        <w:rPr>
          <w:rFonts w:ascii="Verdana" w:hAnsi="Verdana"/>
          <w:i/>
          <w:sz w:val="20"/>
          <w:szCs w:val="20"/>
          <w:lang w:val="es-CR"/>
        </w:rPr>
        <w:t>Bámaca Velásquez</w:t>
      </w:r>
      <w:r w:rsidR="00703310">
        <w:rPr>
          <w:rFonts w:ascii="Verdana" w:hAnsi="Verdana"/>
          <w:sz w:val="20"/>
          <w:szCs w:val="20"/>
          <w:lang w:val="es-CR"/>
        </w:rPr>
        <w:t xml:space="preserve"> el Ministerio de Defensa </w:t>
      </w:r>
      <w:r w:rsidRPr="0032068E">
        <w:rPr>
          <w:rFonts w:ascii="Verdana" w:hAnsi="Verdana"/>
          <w:sz w:val="20"/>
          <w:szCs w:val="20"/>
          <w:lang w:val="es-CR"/>
        </w:rPr>
        <w:t xml:space="preserve">negó otorgar información </w:t>
      </w:r>
      <w:r>
        <w:rPr>
          <w:rFonts w:ascii="Verdana" w:hAnsi="Verdana"/>
          <w:sz w:val="20"/>
          <w:szCs w:val="20"/>
          <w:lang w:val="es-CR"/>
        </w:rPr>
        <w:t>“aduciendo que no se tiene registro o no se cuenta con tales datos”</w:t>
      </w:r>
      <w:r w:rsidRPr="0032068E">
        <w:rPr>
          <w:rFonts w:ascii="Verdana" w:hAnsi="Verdana"/>
          <w:sz w:val="20"/>
          <w:szCs w:val="20"/>
          <w:lang w:val="es-CR"/>
        </w:rPr>
        <w:t xml:space="preserve">; en el caso </w:t>
      </w:r>
      <w:r w:rsidRPr="0032068E">
        <w:rPr>
          <w:rFonts w:ascii="Verdana" w:hAnsi="Verdana"/>
          <w:i/>
          <w:sz w:val="20"/>
          <w:szCs w:val="20"/>
          <w:lang w:val="es-CR"/>
        </w:rPr>
        <w:t>Maritza Urrutia</w:t>
      </w:r>
      <w:r w:rsidRPr="0032068E">
        <w:rPr>
          <w:rFonts w:ascii="Verdana" w:hAnsi="Verdana"/>
          <w:sz w:val="20"/>
          <w:szCs w:val="20"/>
          <w:lang w:val="es-CR"/>
        </w:rPr>
        <w:t xml:space="preserve"> se da igualmente la negativa, esta vez del Instituto de Previsión Militar, “de proporcionar información sobre los datos que </w:t>
      </w:r>
      <w:r>
        <w:rPr>
          <w:rFonts w:ascii="Verdana" w:hAnsi="Verdana"/>
          <w:sz w:val="20"/>
          <w:szCs w:val="20"/>
          <w:lang w:val="es-CR"/>
        </w:rPr>
        <w:t>[</w:t>
      </w:r>
      <w:r w:rsidRPr="0032068E">
        <w:rPr>
          <w:rFonts w:ascii="Verdana" w:hAnsi="Verdana"/>
          <w:sz w:val="20"/>
          <w:szCs w:val="20"/>
          <w:lang w:val="es-CR"/>
        </w:rPr>
        <w:t>obran</w:t>
      </w:r>
      <w:r>
        <w:rPr>
          <w:rFonts w:ascii="Verdana" w:hAnsi="Verdana"/>
          <w:sz w:val="20"/>
          <w:szCs w:val="20"/>
          <w:lang w:val="es-CR"/>
        </w:rPr>
        <w:t>]</w:t>
      </w:r>
      <w:r w:rsidRPr="0032068E">
        <w:rPr>
          <w:rFonts w:ascii="Verdana" w:hAnsi="Verdana"/>
          <w:sz w:val="20"/>
          <w:szCs w:val="20"/>
          <w:lang w:val="es-CR"/>
        </w:rPr>
        <w:t xml:space="preserve"> en sus archivos”</w:t>
      </w:r>
      <w:r>
        <w:rPr>
          <w:rFonts w:ascii="Verdana" w:hAnsi="Verdana"/>
          <w:sz w:val="20"/>
          <w:szCs w:val="20"/>
          <w:lang w:val="es-CR"/>
        </w:rPr>
        <w:t xml:space="preserve"> y adicionan que “únicamente se podrá otorgar [la información] cuando exista una orden por parte de juez competente”</w:t>
      </w:r>
      <w:r w:rsidRPr="0032068E">
        <w:rPr>
          <w:rFonts w:ascii="Verdana" w:hAnsi="Verdana"/>
          <w:sz w:val="20"/>
          <w:szCs w:val="20"/>
          <w:lang w:val="es-CR"/>
        </w:rPr>
        <w:t xml:space="preserve">; en el caso </w:t>
      </w:r>
      <w:r w:rsidRPr="0032068E">
        <w:rPr>
          <w:rFonts w:ascii="Verdana" w:hAnsi="Verdana"/>
          <w:i/>
          <w:sz w:val="20"/>
          <w:szCs w:val="20"/>
          <w:lang w:val="es-CR"/>
        </w:rPr>
        <w:t>Masacre Plan de Sánchez</w:t>
      </w:r>
      <w:r>
        <w:rPr>
          <w:rFonts w:ascii="Verdana" w:hAnsi="Verdana"/>
          <w:i/>
          <w:sz w:val="20"/>
          <w:szCs w:val="20"/>
          <w:lang w:val="es-CR"/>
        </w:rPr>
        <w:t>,</w:t>
      </w:r>
      <w:r w:rsidRPr="0032068E">
        <w:rPr>
          <w:rFonts w:ascii="Verdana" w:hAnsi="Verdana"/>
          <w:sz w:val="20"/>
          <w:szCs w:val="20"/>
          <w:lang w:val="es-CR"/>
        </w:rPr>
        <w:t xml:space="preserve"> el Instituto de Previsión Militar </w:t>
      </w:r>
      <w:r>
        <w:rPr>
          <w:rFonts w:ascii="Verdana" w:hAnsi="Verdana"/>
          <w:sz w:val="20"/>
          <w:szCs w:val="20"/>
          <w:lang w:val="es-CR"/>
        </w:rPr>
        <w:t>“</w:t>
      </w:r>
      <w:r w:rsidRPr="0032068E">
        <w:rPr>
          <w:rFonts w:ascii="Verdana" w:hAnsi="Verdana"/>
          <w:sz w:val="20"/>
          <w:szCs w:val="20"/>
          <w:lang w:val="es-CR"/>
        </w:rPr>
        <w:t>requiere de autorización judicial para proporcionar información sobre personas</w:t>
      </w:r>
      <w:r>
        <w:rPr>
          <w:rFonts w:ascii="Verdana" w:hAnsi="Verdana"/>
          <w:sz w:val="20"/>
          <w:szCs w:val="20"/>
          <w:lang w:val="es-CR"/>
        </w:rPr>
        <w:t>”</w:t>
      </w:r>
      <w:r w:rsidRPr="0032068E">
        <w:rPr>
          <w:rFonts w:ascii="Verdana" w:hAnsi="Verdana"/>
          <w:sz w:val="20"/>
          <w:szCs w:val="20"/>
          <w:lang w:val="es-CR"/>
        </w:rPr>
        <w:t>, y</w:t>
      </w:r>
      <w:r>
        <w:rPr>
          <w:rFonts w:ascii="Verdana" w:hAnsi="Verdana"/>
          <w:sz w:val="20"/>
          <w:szCs w:val="20"/>
          <w:lang w:val="es-CR"/>
        </w:rPr>
        <w:t>, por otro lado,</w:t>
      </w:r>
      <w:r w:rsidRPr="0032068E">
        <w:rPr>
          <w:rFonts w:ascii="Verdana" w:hAnsi="Verdana"/>
          <w:sz w:val="20"/>
          <w:szCs w:val="20"/>
          <w:lang w:val="es-CR"/>
        </w:rPr>
        <w:t xml:space="preserve"> el Destacamento Militar de Rabinal determinó que no existe información al respecto; en el caso </w:t>
      </w:r>
      <w:r w:rsidRPr="0032068E">
        <w:rPr>
          <w:rFonts w:ascii="Verdana" w:hAnsi="Verdana"/>
          <w:i/>
          <w:sz w:val="20"/>
          <w:szCs w:val="20"/>
          <w:lang w:val="es-CR"/>
        </w:rPr>
        <w:t>Molina Theissen</w:t>
      </w:r>
      <w:r w:rsidRPr="0032068E">
        <w:rPr>
          <w:rFonts w:ascii="Verdana" w:hAnsi="Verdana"/>
          <w:sz w:val="20"/>
          <w:szCs w:val="20"/>
          <w:lang w:val="es-CR"/>
        </w:rPr>
        <w:t xml:space="preserve"> “la información remitida por el destacamento militar es incompleta debido a que omite indicar datos esenciales para la determinación de la cadena de mando de la Brigada Militar de Quetzaltenango, así como de oficiales que formaban parte del</w:t>
      </w:r>
      <w:r>
        <w:rPr>
          <w:rFonts w:ascii="Verdana" w:hAnsi="Verdana"/>
          <w:sz w:val="20"/>
          <w:szCs w:val="20"/>
          <w:lang w:val="es-CR"/>
        </w:rPr>
        <w:t xml:space="preserve"> Estado Mayor de dicha brigada”</w:t>
      </w:r>
      <w:r w:rsidRPr="0032068E">
        <w:rPr>
          <w:rFonts w:ascii="Verdana" w:hAnsi="Verdana"/>
          <w:sz w:val="20"/>
          <w:szCs w:val="20"/>
          <w:lang w:val="es-CR"/>
        </w:rPr>
        <w:t>.</w:t>
      </w:r>
      <w:r>
        <w:rPr>
          <w:rFonts w:ascii="Verdana" w:hAnsi="Verdana"/>
          <w:sz w:val="20"/>
          <w:szCs w:val="20"/>
          <w:lang w:val="es-CR"/>
        </w:rPr>
        <w:t xml:space="preserve"> En</w:t>
      </w:r>
      <w:r w:rsidRPr="0032068E">
        <w:rPr>
          <w:rFonts w:ascii="Verdana" w:hAnsi="Verdana"/>
          <w:sz w:val="20"/>
          <w:szCs w:val="20"/>
          <w:lang w:val="es-CR"/>
        </w:rPr>
        <w:t xml:space="preserve"> la audiencia celebrada </w:t>
      </w:r>
      <w:r w:rsidR="00EA245B">
        <w:rPr>
          <w:rFonts w:ascii="Verdana" w:hAnsi="Verdana"/>
          <w:sz w:val="20"/>
          <w:szCs w:val="20"/>
          <w:lang w:val="es-CR"/>
        </w:rPr>
        <w:t xml:space="preserve">ante esta Corte </w:t>
      </w:r>
      <w:r w:rsidRPr="0032068E">
        <w:rPr>
          <w:rFonts w:ascii="Verdana" w:hAnsi="Verdana"/>
          <w:sz w:val="20"/>
          <w:szCs w:val="20"/>
          <w:lang w:val="es-CR"/>
        </w:rPr>
        <w:t xml:space="preserve">en el 2014, </w:t>
      </w:r>
      <w:r>
        <w:rPr>
          <w:rFonts w:ascii="Verdana" w:hAnsi="Verdana"/>
          <w:sz w:val="20"/>
          <w:szCs w:val="20"/>
          <w:lang w:val="es-CR"/>
        </w:rPr>
        <w:t xml:space="preserve">Guatemala </w:t>
      </w:r>
      <w:r w:rsidRPr="0032068E">
        <w:rPr>
          <w:rFonts w:ascii="Verdana" w:hAnsi="Verdana" w:cs="Verdana"/>
          <w:sz w:val="20"/>
          <w:szCs w:val="20"/>
          <w:lang w:val="es-ES"/>
        </w:rPr>
        <w:t>rechazó “las afirmaciones formuladas por el Ministerio Público</w:t>
      </w:r>
      <w:r>
        <w:rPr>
          <w:rFonts w:ascii="Verdana" w:hAnsi="Verdana" w:cs="Verdana"/>
          <w:sz w:val="20"/>
          <w:szCs w:val="20"/>
          <w:lang w:val="es-ES"/>
        </w:rPr>
        <w:t>,</w:t>
      </w:r>
      <w:r w:rsidRPr="0032068E">
        <w:rPr>
          <w:rFonts w:ascii="Verdana" w:hAnsi="Verdana" w:cs="Verdana"/>
          <w:sz w:val="20"/>
          <w:szCs w:val="20"/>
          <w:lang w:val="es-ES"/>
        </w:rPr>
        <w:t xml:space="preserve"> […] sobre que sus autoridades militares o civiles niegan información en las investigaciones judiciales” argumentando que lo sucedido es que “no existen archivos o registros o que fueron destruidos”. </w:t>
      </w:r>
      <w:r>
        <w:rPr>
          <w:rFonts w:ascii="Verdana" w:hAnsi="Verdana" w:cs="Verdana"/>
          <w:sz w:val="20"/>
          <w:szCs w:val="20"/>
          <w:lang w:val="es-ES"/>
        </w:rPr>
        <w:t>En los informes del 2015</w:t>
      </w:r>
      <w:r w:rsidRPr="0032068E">
        <w:rPr>
          <w:rFonts w:ascii="Verdana" w:hAnsi="Verdana" w:cs="Verdana"/>
          <w:sz w:val="20"/>
          <w:szCs w:val="20"/>
          <w:lang w:val="es-ES"/>
        </w:rPr>
        <w:t>,</w:t>
      </w:r>
      <w:bookmarkEnd w:id="119"/>
      <w:r w:rsidRPr="0032068E">
        <w:rPr>
          <w:rFonts w:ascii="Verdana" w:hAnsi="Verdana"/>
          <w:sz w:val="20"/>
          <w:szCs w:val="20"/>
          <w:lang w:val="es-CR"/>
        </w:rPr>
        <w:t xml:space="preserve"> </w:t>
      </w:r>
      <w:r w:rsidR="00703310">
        <w:rPr>
          <w:rFonts w:ascii="Verdana" w:hAnsi="Verdana"/>
          <w:sz w:val="20"/>
          <w:szCs w:val="20"/>
          <w:lang w:val="es-CR"/>
        </w:rPr>
        <w:t xml:space="preserve">aun cuando </w:t>
      </w:r>
      <w:r>
        <w:rPr>
          <w:rFonts w:ascii="Verdana" w:hAnsi="Verdana"/>
          <w:sz w:val="20"/>
          <w:szCs w:val="20"/>
          <w:lang w:val="es-CR"/>
        </w:rPr>
        <w:t xml:space="preserve">el Estado </w:t>
      </w:r>
      <w:r w:rsidR="00703310">
        <w:rPr>
          <w:rFonts w:ascii="Verdana" w:hAnsi="Verdana"/>
          <w:sz w:val="20"/>
          <w:szCs w:val="20"/>
          <w:lang w:val="es-CR"/>
        </w:rPr>
        <w:t xml:space="preserve">no </w:t>
      </w:r>
      <w:r>
        <w:rPr>
          <w:rFonts w:ascii="Verdana" w:hAnsi="Verdana"/>
          <w:sz w:val="20"/>
          <w:szCs w:val="20"/>
          <w:lang w:val="es-CR"/>
        </w:rPr>
        <w:t>se refirió a es</w:t>
      </w:r>
      <w:r w:rsidR="00703310">
        <w:rPr>
          <w:rFonts w:ascii="Verdana" w:hAnsi="Verdana"/>
          <w:sz w:val="20"/>
          <w:szCs w:val="20"/>
          <w:lang w:val="es-CR"/>
        </w:rPr>
        <w:t>t</w:t>
      </w:r>
      <w:r>
        <w:rPr>
          <w:rFonts w:ascii="Verdana" w:hAnsi="Verdana"/>
          <w:sz w:val="20"/>
          <w:szCs w:val="20"/>
          <w:lang w:val="es-CR"/>
        </w:rPr>
        <w:t xml:space="preserve">e </w:t>
      </w:r>
      <w:r w:rsidR="00703310">
        <w:rPr>
          <w:rFonts w:ascii="Verdana" w:hAnsi="Verdana"/>
          <w:sz w:val="20"/>
          <w:szCs w:val="20"/>
          <w:lang w:val="es-CR"/>
        </w:rPr>
        <w:t xml:space="preserve">punto como un </w:t>
      </w:r>
      <w:r>
        <w:rPr>
          <w:rFonts w:ascii="Verdana" w:hAnsi="Verdana"/>
          <w:sz w:val="20"/>
          <w:szCs w:val="20"/>
          <w:lang w:val="es-CR"/>
        </w:rPr>
        <w:t>alegado obstáculo estructural</w:t>
      </w:r>
      <w:r w:rsidR="00703310">
        <w:rPr>
          <w:rFonts w:ascii="Verdana" w:hAnsi="Verdana"/>
          <w:sz w:val="20"/>
          <w:szCs w:val="20"/>
          <w:lang w:val="es-CR"/>
        </w:rPr>
        <w:t>, realizó</w:t>
      </w:r>
      <w:r>
        <w:rPr>
          <w:rFonts w:ascii="Verdana" w:hAnsi="Verdana"/>
          <w:sz w:val="20"/>
          <w:szCs w:val="20"/>
          <w:lang w:val="es-CR"/>
        </w:rPr>
        <w:t xml:space="preserve"> referencias puntuales respecto a información que no fue entregada por la Policía Nacional y el Ministerio de Defensa en las investigaciones de los casos </w:t>
      </w:r>
      <w:r>
        <w:rPr>
          <w:rFonts w:ascii="Verdana" w:hAnsi="Verdana"/>
          <w:i/>
          <w:sz w:val="20"/>
          <w:szCs w:val="20"/>
          <w:lang w:val="es-CR"/>
        </w:rPr>
        <w:t>Villagrán Morales</w:t>
      </w:r>
      <w:r w:rsidRPr="003F0CEA">
        <w:rPr>
          <w:rFonts w:ascii="Verdana" w:hAnsi="Verdana"/>
          <w:sz w:val="20"/>
          <w:szCs w:val="20"/>
          <w:lang w:val="es-CR"/>
        </w:rPr>
        <w:t>,</w:t>
      </w:r>
      <w:r>
        <w:rPr>
          <w:rFonts w:ascii="Verdana" w:hAnsi="Verdana"/>
          <w:i/>
          <w:sz w:val="20"/>
          <w:szCs w:val="20"/>
          <w:lang w:val="es-CR"/>
        </w:rPr>
        <w:t xml:space="preserve"> Maritza Urrutia</w:t>
      </w:r>
      <w:r>
        <w:rPr>
          <w:rFonts w:ascii="Verdana" w:hAnsi="Verdana"/>
          <w:sz w:val="20"/>
          <w:szCs w:val="20"/>
          <w:lang w:val="es-CR"/>
        </w:rPr>
        <w:t xml:space="preserve"> y </w:t>
      </w:r>
      <w:r>
        <w:rPr>
          <w:rFonts w:ascii="Verdana" w:hAnsi="Verdana"/>
          <w:i/>
          <w:sz w:val="20"/>
          <w:szCs w:val="20"/>
          <w:lang w:val="es-CR"/>
        </w:rPr>
        <w:t>Chitay Nech</w:t>
      </w:r>
      <w:r w:rsidRPr="00EA245B">
        <w:rPr>
          <w:rStyle w:val="FootnoteReference"/>
          <w:rFonts w:ascii="Verdana" w:hAnsi="Verdana"/>
          <w:sz w:val="20"/>
          <w:szCs w:val="20"/>
          <w:lang w:val="es-CR"/>
        </w:rPr>
        <w:footnoteReference w:id="134"/>
      </w:r>
      <w:r>
        <w:rPr>
          <w:rFonts w:ascii="Verdana" w:hAnsi="Verdana"/>
          <w:sz w:val="20"/>
          <w:szCs w:val="20"/>
          <w:lang w:val="es-CR"/>
        </w:rPr>
        <w:t>.</w:t>
      </w:r>
    </w:p>
    <w:p w14:paraId="40C998B1" w14:textId="77777777" w:rsidR="00C471B6" w:rsidRPr="0032068E" w:rsidRDefault="00C471B6" w:rsidP="00C471B6">
      <w:pPr>
        <w:pStyle w:val="ListParagraph"/>
        <w:spacing w:after="0" w:line="240" w:lineRule="auto"/>
        <w:ind w:left="0" w:right="1444"/>
        <w:jc w:val="both"/>
        <w:rPr>
          <w:rFonts w:ascii="Verdana" w:hAnsi="Verdana"/>
          <w:sz w:val="20"/>
          <w:szCs w:val="20"/>
          <w:lang w:val="es-CR"/>
        </w:rPr>
      </w:pPr>
    </w:p>
    <w:p w14:paraId="10F387E2" w14:textId="64C9188B" w:rsidR="00C471B6" w:rsidRPr="0032068E" w:rsidRDefault="00C471B6" w:rsidP="00C471B6">
      <w:pPr>
        <w:pStyle w:val="ListParagraph"/>
        <w:numPr>
          <w:ilvl w:val="0"/>
          <w:numId w:val="2"/>
        </w:numPr>
        <w:spacing w:after="0" w:line="240" w:lineRule="auto"/>
        <w:ind w:left="0" w:right="1444" w:firstLine="0"/>
        <w:jc w:val="both"/>
        <w:rPr>
          <w:rFonts w:ascii="Verdana" w:hAnsi="Verdana"/>
          <w:sz w:val="20"/>
          <w:szCs w:val="20"/>
          <w:lang w:val="es-CR"/>
        </w:rPr>
      </w:pPr>
      <w:bookmarkStart w:id="120" w:name="_Ref437870974"/>
      <w:r w:rsidRPr="0032068E">
        <w:rPr>
          <w:rFonts w:ascii="Verdana" w:hAnsi="Verdana"/>
          <w:sz w:val="20"/>
          <w:szCs w:val="20"/>
          <w:lang w:val="es-CR"/>
        </w:rPr>
        <w:t xml:space="preserve">En múltiples sentencias de casos contra Guatemala, este Tribunal consideró que uno de los factores determinantes en la </w:t>
      </w:r>
      <w:r w:rsidRPr="0032068E">
        <w:rPr>
          <w:rFonts w:ascii="Verdana" w:hAnsi="Verdana"/>
          <w:sz w:val="20"/>
          <w:szCs w:val="20"/>
          <w:lang w:val="es-MX"/>
        </w:rPr>
        <w:t>falta de debida diligencia en las investigaciones penales fue precisamente la falta de colaboración del Ministerio de Defensa que obstruyó el avance de las investigaciones</w:t>
      </w:r>
      <w:r w:rsidRPr="0032068E">
        <w:rPr>
          <w:rStyle w:val="FootnoteReference"/>
          <w:rFonts w:ascii="Verdana" w:hAnsi="Verdana"/>
          <w:sz w:val="20"/>
          <w:szCs w:val="20"/>
          <w:lang w:val="es-MX"/>
        </w:rPr>
        <w:footnoteReference w:id="135"/>
      </w:r>
      <w:r w:rsidRPr="0032068E">
        <w:rPr>
          <w:b/>
          <w:lang w:val="es-MX"/>
        </w:rPr>
        <w:t xml:space="preserve">. </w:t>
      </w:r>
      <w:r w:rsidRPr="0032068E">
        <w:rPr>
          <w:rFonts w:ascii="Verdana" w:hAnsi="Verdana"/>
          <w:sz w:val="20"/>
          <w:szCs w:val="20"/>
          <w:lang w:val="es-CR"/>
        </w:rPr>
        <w:t xml:space="preserve">Al respecto, la Corte ya determinó que el Estado </w:t>
      </w:r>
      <w:r>
        <w:rPr>
          <w:rFonts w:ascii="Verdana" w:hAnsi="Verdana"/>
          <w:sz w:val="20"/>
          <w:szCs w:val="20"/>
          <w:lang w:val="es-CR"/>
        </w:rPr>
        <w:t xml:space="preserve">“no se pued[e] amparar en mecanismos como el secreto de Estado o la confidencialidad de la información, o </w:t>
      </w:r>
      <w:r>
        <w:rPr>
          <w:rFonts w:ascii="Verdana" w:hAnsi="Verdana"/>
          <w:sz w:val="20"/>
          <w:szCs w:val="20"/>
          <w:lang w:val="es-CR"/>
        </w:rPr>
        <w:lastRenderedPageBreak/>
        <w:t xml:space="preserve">en razones de interés público o seguridad nacional, para dejar de aportar la información requerida por las autoridades judiciales o administrativas encargadas de la investigación o proceso </w:t>
      </w:r>
      <w:r w:rsidRPr="00BD7D6A">
        <w:rPr>
          <w:rFonts w:ascii="Verdana" w:hAnsi="Verdana"/>
          <w:sz w:val="20"/>
          <w:szCs w:val="20"/>
          <w:lang w:val="es-CR"/>
        </w:rPr>
        <w:t>pendiente”</w:t>
      </w:r>
      <w:r w:rsidRPr="00BD7D6A">
        <w:rPr>
          <w:rStyle w:val="FootnoteReference"/>
          <w:rFonts w:ascii="Verdana" w:hAnsi="Verdana"/>
          <w:sz w:val="20"/>
          <w:szCs w:val="20"/>
          <w:lang w:val="es-CR"/>
        </w:rPr>
        <w:footnoteReference w:id="136"/>
      </w:r>
      <w:r w:rsidRPr="00BD7D6A">
        <w:rPr>
          <w:rFonts w:ascii="Verdana" w:hAnsi="Verdana"/>
          <w:sz w:val="20"/>
          <w:szCs w:val="20"/>
          <w:lang w:val="es-CR"/>
        </w:rPr>
        <w:t xml:space="preserve"> (</w:t>
      </w:r>
      <w:r w:rsidRPr="00BD7D6A">
        <w:rPr>
          <w:rFonts w:ascii="Verdana" w:hAnsi="Verdana"/>
          <w:i/>
          <w:sz w:val="20"/>
          <w:szCs w:val="20"/>
          <w:lang w:val="es-CR"/>
        </w:rPr>
        <w:t xml:space="preserve">supra </w:t>
      </w:r>
      <w:r w:rsidRPr="00BD7D6A">
        <w:rPr>
          <w:rFonts w:ascii="Verdana" w:hAnsi="Verdana"/>
          <w:sz w:val="20"/>
          <w:szCs w:val="20"/>
          <w:lang w:val="es-CR"/>
        </w:rPr>
        <w:t xml:space="preserve">Considerando </w:t>
      </w:r>
      <w:r w:rsidRPr="00BD7D6A">
        <w:rPr>
          <w:rFonts w:ascii="Verdana" w:hAnsi="Verdana"/>
          <w:sz w:val="20"/>
          <w:szCs w:val="20"/>
          <w:lang w:val="es-CR"/>
        </w:rPr>
        <w:fldChar w:fldCharType="begin"/>
      </w:r>
      <w:r w:rsidRPr="00BD7D6A">
        <w:rPr>
          <w:rFonts w:ascii="Verdana" w:hAnsi="Verdana"/>
          <w:sz w:val="20"/>
          <w:szCs w:val="20"/>
          <w:lang w:val="es-CR"/>
        </w:rPr>
        <w:instrText xml:space="preserve"> REF _Ref437846304 \r \h  \* MERGEFORMAT </w:instrText>
      </w:r>
      <w:r w:rsidRPr="00BD7D6A">
        <w:rPr>
          <w:rFonts w:ascii="Verdana" w:hAnsi="Verdana"/>
          <w:sz w:val="20"/>
          <w:szCs w:val="20"/>
          <w:lang w:val="es-CR"/>
        </w:rPr>
      </w:r>
      <w:r w:rsidRPr="00BD7D6A">
        <w:rPr>
          <w:rFonts w:ascii="Verdana" w:hAnsi="Verdana"/>
          <w:sz w:val="20"/>
          <w:szCs w:val="20"/>
          <w:lang w:val="es-CR"/>
        </w:rPr>
        <w:fldChar w:fldCharType="separate"/>
      </w:r>
      <w:r w:rsidR="007E3C4B">
        <w:rPr>
          <w:rFonts w:ascii="Verdana" w:hAnsi="Verdana"/>
          <w:sz w:val="20"/>
          <w:szCs w:val="20"/>
          <w:lang w:val="es-CR"/>
        </w:rPr>
        <w:t>40</w:t>
      </w:r>
      <w:r w:rsidRPr="00BD7D6A">
        <w:rPr>
          <w:rFonts w:ascii="Verdana" w:hAnsi="Verdana"/>
          <w:sz w:val="20"/>
          <w:szCs w:val="20"/>
          <w:lang w:val="es-CR"/>
        </w:rPr>
        <w:fldChar w:fldCharType="end"/>
      </w:r>
      <w:r w:rsidRPr="00BD7D6A">
        <w:rPr>
          <w:rFonts w:ascii="Verdana" w:hAnsi="Verdana"/>
          <w:sz w:val="20"/>
          <w:szCs w:val="20"/>
          <w:lang w:val="es-CR"/>
        </w:rPr>
        <w:t>).</w:t>
      </w:r>
      <w:r w:rsidRPr="0032068E">
        <w:rPr>
          <w:rFonts w:ascii="Verdana" w:hAnsi="Verdana"/>
          <w:sz w:val="20"/>
          <w:szCs w:val="20"/>
          <w:lang w:val="es-CR"/>
        </w:rPr>
        <w:t xml:space="preserve"> Por ejemplo, en el caso </w:t>
      </w:r>
      <w:r w:rsidRPr="0032068E">
        <w:rPr>
          <w:rFonts w:ascii="Verdana" w:hAnsi="Verdana"/>
          <w:i/>
          <w:sz w:val="20"/>
          <w:szCs w:val="20"/>
          <w:lang w:val="es-CR"/>
        </w:rPr>
        <w:t xml:space="preserve">Masacres de Río Negro, </w:t>
      </w:r>
      <w:r w:rsidR="00BD7D6A" w:rsidRPr="00BD7D6A">
        <w:rPr>
          <w:rFonts w:ascii="Verdana" w:hAnsi="Verdana"/>
          <w:sz w:val="20"/>
          <w:szCs w:val="20"/>
          <w:lang w:val="es-CR"/>
        </w:rPr>
        <w:t xml:space="preserve">al pronunciarse sobre la </w:t>
      </w:r>
      <w:r w:rsidRPr="00BD7D6A">
        <w:rPr>
          <w:rFonts w:ascii="Verdana" w:hAnsi="Verdana"/>
          <w:sz w:val="20"/>
          <w:szCs w:val="20"/>
          <w:lang w:val="es-CR"/>
        </w:rPr>
        <w:t>violación a</w:t>
      </w:r>
      <w:r w:rsidRPr="0032068E">
        <w:rPr>
          <w:rFonts w:ascii="Verdana" w:hAnsi="Verdana"/>
          <w:sz w:val="20"/>
          <w:szCs w:val="20"/>
          <w:lang w:val="es-CR"/>
        </w:rPr>
        <w:t xml:space="preserve"> las garantías judiciales</w:t>
      </w:r>
      <w:r w:rsidR="00BD7D6A">
        <w:rPr>
          <w:rFonts w:ascii="Verdana" w:hAnsi="Verdana"/>
          <w:sz w:val="20"/>
          <w:szCs w:val="20"/>
          <w:lang w:val="es-CR"/>
        </w:rPr>
        <w:t>,</w:t>
      </w:r>
      <w:r w:rsidRPr="0032068E">
        <w:rPr>
          <w:rFonts w:ascii="Verdana" w:hAnsi="Verdana"/>
          <w:sz w:val="20"/>
          <w:szCs w:val="20"/>
          <w:lang w:val="es-CR"/>
        </w:rPr>
        <w:t xml:space="preserve"> </w:t>
      </w:r>
      <w:r w:rsidR="00BD7D6A">
        <w:rPr>
          <w:rFonts w:ascii="Verdana" w:hAnsi="Verdana"/>
          <w:sz w:val="20"/>
          <w:szCs w:val="20"/>
          <w:lang w:val="es-CR"/>
        </w:rPr>
        <w:t xml:space="preserve">la Corte consideró que </w:t>
      </w:r>
      <w:r w:rsidRPr="0032068E">
        <w:rPr>
          <w:rFonts w:ascii="Verdana" w:hAnsi="Verdana"/>
          <w:sz w:val="20"/>
          <w:szCs w:val="20"/>
          <w:lang w:val="es-CR"/>
        </w:rPr>
        <w:t xml:space="preserve">“las autoridades militares no </w:t>
      </w:r>
      <w:proofErr w:type="gramStart"/>
      <w:r w:rsidRPr="0032068E">
        <w:rPr>
          <w:rFonts w:ascii="Verdana" w:hAnsi="Verdana"/>
          <w:sz w:val="20"/>
          <w:szCs w:val="20"/>
          <w:lang w:val="es-CR"/>
        </w:rPr>
        <w:t>ha[</w:t>
      </w:r>
      <w:proofErr w:type="gramEnd"/>
      <w:r w:rsidRPr="0032068E">
        <w:rPr>
          <w:rFonts w:ascii="Verdana" w:hAnsi="Verdana"/>
          <w:sz w:val="20"/>
          <w:szCs w:val="20"/>
          <w:lang w:val="es-CR"/>
        </w:rPr>
        <w:t>bían] aportado de forma debida y oportuna información pertinente tendiente a esclarecer los hechos”</w:t>
      </w:r>
      <w:r>
        <w:rPr>
          <w:rStyle w:val="FootnoteReference"/>
          <w:rFonts w:ascii="Verdana" w:hAnsi="Verdana"/>
          <w:sz w:val="20"/>
          <w:szCs w:val="20"/>
          <w:lang w:val="es-CR"/>
        </w:rPr>
        <w:footnoteReference w:id="137"/>
      </w:r>
      <w:r w:rsidRPr="0032068E">
        <w:rPr>
          <w:rFonts w:ascii="Verdana" w:hAnsi="Verdana"/>
          <w:sz w:val="20"/>
          <w:szCs w:val="20"/>
          <w:lang w:val="es-CR"/>
        </w:rPr>
        <w:t>. La Corte ha enfatizado que “toda autoridad estatal deb[e] cooperar, apoyar o coadyuvar, en el ámbito de su competencia, a la debida investigación de los hechos”</w:t>
      </w:r>
      <w:r w:rsidRPr="0032068E">
        <w:rPr>
          <w:rStyle w:val="FootnoteReference"/>
          <w:rFonts w:ascii="Verdana" w:hAnsi="Verdana"/>
          <w:sz w:val="20"/>
          <w:szCs w:val="20"/>
          <w:lang w:val="es-CR"/>
        </w:rPr>
        <w:footnoteReference w:id="138"/>
      </w:r>
      <w:r w:rsidRPr="0032068E">
        <w:rPr>
          <w:rFonts w:ascii="Verdana" w:hAnsi="Verdana"/>
          <w:sz w:val="20"/>
          <w:szCs w:val="20"/>
          <w:lang w:val="es-CR"/>
        </w:rPr>
        <w:t xml:space="preserve">, esto con el fin de “alcanzar los objetivos de </w:t>
      </w:r>
      <w:r>
        <w:rPr>
          <w:rFonts w:ascii="Verdana" w:hAnsi="Verdana"/>
          <w:sz w:val="20"/>
          <w:szCs w:val="20"/>
          <w:lang w:val="es-CR"/>
        </w:rPr>
        <w:t>[</w:t>
      </w:r>
      <w:r w:rsidRPr="0032068E">
        <w:rPr>
          <w:rFonts w:ascii="Verdana" w:hAnsi="Verdana"/>
          <w:sz w:val="20"/>
          <w:szCs w:val="20"/>
          <w:lang w:val="es-CR"/>
        </w:rPr>
        <w:t>la</w:t>
      </w:r>
      <w:r>
        <w:rPr>
          <w:rFonts w:ascii="Verdana" w:hAnsi="Verdana"/>
          <w:sz w:val="20"/>
          <w:szCs w:val="20"/>
          <w:lang w:val="es-CR"/>
        </w:rPr>
        <w:t>]</w:t>
      </w:r>
      <w:r w:rsidRPr="0032068E">
        <w:rPr>
          <w:rFonts w:ascii="Verdana" w:hAnsi="Verdana"/>
          <w:sz w:val="20"/>
          <w:szCs w:val="20"/>
          <w:lang w:val="es-CR"/>
        </w:rPr>
        <w:t xml:space="preserve"> investigación y abstenerse de realizar actos que impliquen obstrucciones para la marcha del proceso investigativo</w:t>
      </w:r>
      <w:r w:rsidRPr="0032068E">
        <w:rPr>
          <w:rStyle w:val="FootnoteReference"/>
          <w:rFonts w:ascii="Verdana" w:hAnsi="Verdana"/>
          <w:sz w:val="20"/>
          <w:szCs w:val="20"/>
          <w:lang w:val="es-CR"/>
        </w:rPr>
        <w:footnoteReference w:id="139"/>
      </w:r>
      <w:r w:rsidRPr="0032068E">
        <w:rPr>
          <w:rFonts w:ascii="Verdana" w:hAnsi="Verdana"/>
          <w:sz w:val="20"/>
          <w:szCs w:val="20"/>
          <w:lang w:val="es-CR"/>
        </w:rPr>
        <w:t>. Asimismo, ha indicado reiteradamente que “la obligación de investigar, juzgar y sancionar, en su caso, a los responsables es una obligación que corresponde al Estado como un todo”</w:t>
      </w:r>
      <w:r w:rsidRPr="0032068E">
        <w:rPr>
          <w:rStyle w:val="FootnoteReference"/>
          <w:rFonts w:ascii="Verdana" w:hAnsi="Verdana"/>
          <w:sz w:val="20"/>
          <w:szCs w:val="20"/>
          <w:lang w:val="es-CR"/>
        </w:rPr>
        <w:t xml:space="preserve"> </w:t>
      </w:r>
      <w:r w:rsidRPr="0032068E">
        <w:rPr>
          <w:rStyle w:val="FootnoteReference"/>
          <w:rFonts w:ascii="Verdana" w:hAnsi="Verdana"/>
          <w:sz w:val="20"/>
          <w:szCs w:val="20"/>
          <w:lang w:val="es-CR"/>
        </w:rPr>
        <w:footnoteReference w:id="140"/>
      </w:r>
      <w:r w:rsidRPr="0032068E">
        <w:rPr>
          <w:rFonts w:ascii="Verdana" w:hAnsi="Verdana"/>
          <w:sz w:val="20"/>
          <w:szCs w:val="20"/>
          <w:lang w:val="es-CR"/>
        </w:rPr>
        <w:t>.</w:t>
      </w:r>
      <w:bookmarkEnd w:id="120"/>
      <w:r w:rsidRPr="0032068E">
        <w:rPr>
          <w:rFonts w:ascii="Verdana" w:hAnsi="Verdana"/>
          <w:sz w:val="20"/>
          <w:szCs w:val="20"/>
          <w:lang w:val="es-CR"/>
        </w:rPr>
        <w:t xml:space="preserve"> </w:t>
      </w:r>
    </w:p>
    <w:p w14:paraId="69B0AAD0" w14:textId="77777777" w:rsidR="00C471B6" w:rsidRPr="0032068E" w:rsidRDefault="00C471B6" w:rsidP="00C471B6">
      <w:pPr>
        <w:pStyle w:val="ListParagraph"/>
        <w:spacing w:after="0" w:line="240" w:lineRule="auto"/>
        <w:ind w:left="0" w:right="1444"/>
        <w:jc w:val="both"/>
        <w:rPr>
          <w:rFonts w:ascii="Verdana" w:hAnsi="Verdana"/>
          <w:sz w:val="20"/>
          <w:szCs w:val="20"/>
          <w:lang w:val="es-CR"/>
        </w:rPr>
      </w:pPr>
    </w:p>
    <w:p w14:paraId="3995D2DE" w14:textId="37686CF7" w:rsidR="00C471B6" w:rsidRPr="0032068E" w:rsidRDefault="00C471B6" w:rsidP="00C471B6">
      <w:pPr>
        <w:pStyle w:val="ListParagraph"/>
        <w:numPr>
          <w:ilvl w:val="0"/>
          <w:numId w:val="2"/>
        </w:numPr>
        <w:spacing w:after="0" w:line="240" w:lineRule="auto"/>
        <w:ind w:left="0" w:right="1444" w:firstLine="0"/>
        <w:jc w:val="both"/>
        <w:rPr>
          <w:rFonts w:ascii="Verdana" w:hAnsi="Verdana"/>
          <w:sz w:val="20"/>
          <w:szCs w:val="20"/>
          <w:lang w:val="es-CR"/>
        </w:rPr>
      </w:pPr>
      <w:r w:rsidRPr="0032068E">
        <w:rPr>
          <w:rFonts w:ascii="Verdana" w:hAnsi="Verdana"/>
          <w:sz w:val="20"/>
          <w:szCs w:val="20"/>
          <w:lang w:val="es-CR"/>
        </w:rPr>
        <w:t xml:space="preserve">Al respecto, en el análisis de los casos </w:t>
      </w:r>
      <w:r w:rsidRPr="00BD7D6A">
        <w:rPr>
          <w:rFonts w:ascii="Verdana" w:hAnsi="Verdana"/>
          <w:sz w:val="20"/>
          <w:szCs w:val="20"/>
          <w:lang w:val="es-CR"/>
        </w:rPr>
        <w:t>individuales (</w:t>
      </w:r>
      <w:r w:rsidRPr="00BD7D6A">
        <w:rPr>
          <w:rFonts w:ascii="Verdana" w:hAnsi="Verdana"/>
          <w:i/>
          <w:sz w:val="20"/>
          <w:szCs w:val="20"/>
          <w:lang w:val="es-CR"/>
        </w:rPr>
        <w:t>supra</w:t>
      </w:r>
      <w:r w:rsidRPr="00BD7D6A">
        <w:rPr>
          <w:rFonts w:ascii="Verdana" w:hAnsi="Verdana"/>
          <w:sz w:val="20"/>
          <w:szCs w:val="20"/>
          <w:lang w:val="es-CR"/>
        </w:rPr>
        <w:t xml:space="preserve"> Capítulo IV.D), se han</w:t>
      </w:r>
      <w:r w:rsidRPr="0032068E">
        <w:rPr>
          <w:rFonts w:ascii="Verdana" w:hAnsi="Verdana"/>
          <w:sz w:val="20"/>
          <w:szCs w:val="20"/>
          <w:lang w:val="es-CR"/>
        </w:rPr>
        <w:t xml:space="preserve"> constatado las reiteradas negativas del Ministerio de Defensa y el Instituto de Previsión Militar de suministrar información relevante para las investigaciones ante las solicitudes del Ministerio Público en 8</w:t>
      </w:r>
      <w:r w:rsidR="00867EFD">
        <w:rPr>
          <w:rStyle w:val="FootnoteReference"/>
          <w:rFonts w:ascii="Verdana" w:hAnsi="Verdana"/>
          <w:sz w:val="20"/>
          <w:szCs w:val="20"/>
          <w:lang w:val="es-CR"/>
        </w:rPr>
        <w:footnoteReference w:id="141"/>
      </w:r>
      <w:r w:rsidRPr="0032068E">
        <w:rPr>
          <w:rFonts w:ascii="Verdana" w:hAnsi="Verdana"/>
          <w:sz w:val="20"/>
          <w:szCs w:val="20"/>
          <w:lang w:val="es-CR"/>
        </w:rPr>
        <w:t xml:space="preserve"> de los 12 casos. Ello constituye un obstáculo a la debida diligencia de las investigaciones, lo cual incide negativamente en el cumplimiento de la obligación de investigar dispuesta en las Sentencias. </w:t>
      </w:r>
    </w:p>
    <w:p w14:paraId="43C7584E" w14:textId="77777777" w:rsidR="00C471B6" w:rsidRPr="0032068E" w:rsidRDefault="00C471B6" w:rsidP="00C471B6">
      <w:pPr>
        <w:pStyle w:val="ListParagraph"/>
        <w:rPr>
          <w:rFonts w:ascii="Verdana" w:hAnsi="Verdana"/>
          <w:sz w:val="20"/>
          <w:szCs w:val="20"/>
          <w:lang w:val="es-CR"/>
        </w:rPr>
      </w:pPr>
    </w:p>
    <w:p w14:paraId="51937104" w14:textId="77777777" w:rsidR="00C471B6" w:rsidRPr="0032068E" w:rsidRDefault="00C471B6" w:rsidP="00C471B6">
      <w:pPr>
        <w:pStyle w:val="ListParagraph"/>
        <w:numPr>
          <w:ilvl w:val="0"/>
          <w:numId w:val="2"/>
        </w:numPr>
        <w:spacing w:after="0" w:line="240" w:lineRule="auto"/>
        <w:ind w:left="0" w:right="1444" w:firstLine="0"/>
        <w:jc w:val="both"/>
        <w:rPr>
          <w:rFonts w:ascii="Verdana" w:hAnsi="Verdana"/>
          <w:sz w:val="20"/>
          <w:szCs w:val="20"/>
          <w:lang w:val="es-CR"/>
        </w:rPr>
      </w:pPr>
      <w:bookmarkStart w:id="121" w:name="_Ref437939544"/>
      <w:r w:rsidRPr="0032068E">
        <w:rPr>
          <w:rFonts w:ascii="Verdana" w:hAnsi="Verdana"/>
          <w:sz w:val="20"/>
          <w:szCs w:val="20"/>
          <w:lang w:val="es-CR"/>
        </w:rPr>
        <w:t>La Corte reitera que las autoridades estatales están obligadas a colaborar en la recaudación de la prueba para alcanzar los objetivos de una investigación y abstenerse de realizar actos que impliquen obstrucciones para la marcha del proceso investigativo</w:t>
      </w:r>
      <w:r w:rsidRPr="0032068E">
        <w:rPr>
          <w:rFonts w:ascii="Verdana" w:hAnsi="Verdana"/>
          <w:sz w:val="20"/>
          <w:szCs w:val="20"/>
          <w:vertAlign w:val="superscript"/>
        </w:rPr>
        <w:footnoteReference w:id="142"/>
      </w:r>
      <w:r w:rsidRPr="0032068E">
        <w:rPr>
          <w:rFonts w:ascii="Verdana" w:hAnsi="Verdana"/>
          <w:sz w:val="20"/>
          <w:szCs w:val="20"/>
          <w:lang w:val="es-CR"/>
        </w:rPr>
        <w:t xml:space="preserve">. Aunado a ello, </w:t>
      </w:r>
      <w:r w:rsidRPr="007750D0">
        <w:rPr>
          <w:rFonts w:ascii="Verdana" w:eastAsia="Batang" w:hAnsi="Verdana"/>
          <w:sz w:val="20"/>
          <w:szCs w:val="20"/>
          <w:lang w:val="es-CR"/>
        </w:rPr>
        <w:t>los órganos a cargo de las investigaciones deben estar dotados, formal y sustancialmente, de las facultades y garantías adecuadas y necesarias para acceder a la documentación e información pertinente para investigar los hechos denunciados y obtener indicios o evidencias de la ubicación de las víctimas</w:t>
      </w:r>
      <w:r w:rsidRPr="0032068E">
        <w:rPr>
          <w:rFonts w:ascii="Verdana" w:eastAsia="Batang" w:hAnsi="Verdana"/>
          <w:sz w:val="20"/>
          <w:szCs w:val="20"/>
          <w:vertAlign w:val="superscript"/>
          <w:lang w:val="es-CR"/>
        </w:rPr>
        <w:footnoteReference w:id="143"/>
      </w:r>
      <w:r w:rsidRPr="0032068E">
        <w:rPr>
          <w:rFonts w:ascii="Verdana" w:eastAsia="Batang" w:hAnsi="Verdana"/>
          <w:sz w:val="20"/>
          <w:szCs w:val="20"/>
          <w:lang w:val="es-CR"/>
        </w:rPr>
        <w:t>.</w:t>
      </w:r>
      <w:bookmarkEnd w:id="121"/>
    </w:p>
    <w:p w14:paraId="6A71A0C0" w14:textId="77777777" w:rsidR="00D02740" w:rsidRPr="0032068E" w:rsidRDefault="00D02740" w:rsidP="00154F96">
      <w:pPr>
        <w:pStyle w:val="ListParagraph"/>
        <w:spacing w:after="0" w:line="240" w:lineRule="auto"/>
        <w:ind w:left="0" w:right="1444"/>
        <w:jc w:val="both"/>
        <w:rPr>
          <w:rFonts w:ascii="Verdana" w:hAnsi="Verdana"/>
          <w:sz w:val="20"/>
          <w:szCs w:val="20"/>
          <w:lang w:val="es-CR"/>
        </w:rPr>
      </w:pPr>
    </w:p>
    <w:p w14:paraId="2430E79A" w14:textId="4BE775B1" w:rsidR="00E74047" w:rsidRPr="0032068E" w:rsidRDefault="00E74047" w:rsidP="00AD5701">
      <w:pPr>
        <w:pStyle w:val="Heading3"/>
      </w:pPr>
      <w:bookmarkStart w:id="122" w:name="_Toc435778540"/>
      <w:bookmarkStart w:id="123" w:name="_Toc439248798"/>
      <w:bookmarkStart w:id="124" w:name="_Hlk426568903"/>
      <w:r w:rsidRPr="0032068E">
        <w:t xml:space="preserve">Uso </w:t>
      </w:r>
      <w:r w:rsidR="00F342FD" w:rsidRPr="0032068E">
        <w:t>dilatorio</w:t>
      </w:r>
      <w:r w:rsidR="0064079C" w:rsidRPr="0032068E">
        <w:t xml:space="preserve"> de recursos judiciales</w:t>
      </w:r>
      <w:bookmarkEnd w:id="122"/>
      <w:r w:rsidR="00AB1198">
        <w:t xml:space="preserve"> y el rol del juez en la dirección del proceso</w:t>
      </w:r>
      <w:bookmarkEnd w:id="123"/>
    </w:p>
    <w:bookmarkEnd w:id="124"/>
    <w:p w14:paraId="0331D079" w14:textId="77777777" w:rsidR="00E74047" w:rsidRPr="0032068E" w:rsidRDefault="00E74047" w:rsidP="00E74047">
      <w:pPr>
        <w:spacing w:after="0" w:line="240" w:lineRule="auto"/>
        <w:ind w:right="1444"/>
        <w:jc w:val="both"/>
        <w:rPr>
          <w:rFonts w:ascii="Verdana" w:hAnsi="Verdana" w:cs="Verdana"/>
          <w:i/>
          <w:sz w:val="20"/>
          <w:szCs w:val="20"/>
          <w:lang w:val="es-ES"/>
        </w:rPr>
      </w:pPr>
    </w:p>
    <w:p w14:paraId="2458498F" w14:textId="77777777" w:rsidR="00C471B6" w:rsidRPr="0032068E" w:rsidRDefault="00C471B6" w:rsidP="00C471B6">
      <w:pPr>
        <w:spacing w:after="0" w:line="240" w:lineRule="auto"/>
        <w:ind w:right="1444"/>
        <w:jc w:val="both"/>
        <w:rPr>
          <w:rFonts w:ascii="Verdana" w:hAnsi="Verdana" w:cs="Verdana"/>
          <w:i/>
          <w:sz w:val="20"/>
          <w:szCs w:val="20"/>
          <w:lang w:val="es-ES"/>
        </w:rPr>
      </w:pPr>
    </w:p>
    <w:p w14:paraId="6A0ABA81" w14:textId="28C85536" w:rsidR="00C471B6" w:rsidRPr="0032068E" w:rsidRDefault="00C471B6" w:rsidP="00C471B6">
      <w:pPr>
        <w:pStyle w:val="ListParagraph"/>
        <w:numPr>
          <w:ilvl w:val="0"/>
          <w:numId w:val="2"/>
        </w:numPr>
        <w:tabs>
          <w:tab w:val="left" w:pos="720"/>
        </w:tabs>
        <w:spacing w:after="0" w:line="240" w:lineRule="auto"/>
        <w:ind w:left="0" w:right="1444" w:firstLine="0"/>
        <w:jc w:val="both"/>
        <w:rPr>
          <w:rFonts w:ascii="Verdana" w:hAnsi="Verdana"/>
          <w:i/>
          <w:sz w:val="20"/>
          <w:szCs w:val="20"/>
          <w:lang w:val="es-CR"/>
        </w:rPr>
      </w:pPr>
      <w:bookmarkStart w:id="125" w:name="_Ref437858589"/>
      <w:r w:rsidRPr="0032068E">
        <w:rPr>
          <w:rFonts w:ascii="Verdana" w:hAnsi="Verdana"/>
          <w:sz w:val="20"/>
          <w:szCs w:val="20"/>
          <w:lang w:val="es-CR"/>
        </w:rPr>
        <w:t xml:space="preserve">En el Informe del Ministerio Público de </w:t>
      </w:r>
      <w:r>
        <w:rPr>
          <w:rFonts w:ascii="Verdana" w:hAnsi="Verdana"/>
          <w:sz w:val="20"/>
          <w:szCs w:val="20"/>
          <w:lang w:val="es-CR"/>
        </w:rPr>
        <w:t>mayo</w:t>
      </w:r>
      <w:r w:rsidRPr="0032068E">
        <w:rPr>
          <w:rFonts w:ascii="Verdana" w:hAnsi="Verdana"/>
          <w:sz w:val="20"/>
          <w:szCs w:val="20"/>
          <w:lang w:val="es-CR"/>
        </w:rPr>
        <w:t xml:space="preserve"> de 2014 se expuso como obstáculo al deber de investigar del Estado el “[u]so abusivo y desproporcionado de recursos dilatorios” por parte de </w:t>
      </w:r>
      <w:r>
        <w:rPr>
          <w:rFonts w:ascii="Verdana" w:hAnsi="Verdana"/>
          <w:sz w:val="20"/>
          <w:szCs w:val="20"/>
          <w:lang w:val="es-CR"/>
        </w:rPr>
        <w:t>la defensa</w:t>
      </w:r>
      <w:r w:rsidRPr="0032068E">
        <w:rPr>
          <w:rFonts w:ascii="Verdana" w:hAnsi="Verdana"/>
          <w:sz w:val="20"/>
          <w:szCs w:val="20"/>
          <w:lang w:val="es-CR"/>
        </w:rPr>
        <w:t xml:space="preserve"> de los imputados</w:t>
      </w:r>
      <w:r>
        <w:rPr>
          <w:rFonts w:ascii="Verdana" w:hAnsi="Verdana"/>
          <w:sz w:val="20"/>
          <w:szCs w:val="20"/>
          <w:lang w:val="es-CR"/>
        </w:rPr>
        <w:t xml:space="preserve"> de los casos aquí analizados</w:t>
      </w:r>
      <w:r w:rsidRPr="0032068E">
        <w:rPr>
          <w:rFonts w:ascii="Verdana" w:hAnsi="Verdana"/>
          <w:sz w:val="20"/>
          <w:szCs w:val="20"/>
          <w:lang w:val="es-CR"/>
        </w:rPr>
        <w:t>. Al respecto, explica que “en la tramitación de casos por violaciones a derechos humanos cometidas durante el conflicto armado interno, ha sido una constante que el uso de los recursos que dispone la ley se haga de manera desproporcionada y abusiva por parte de los defensores con el fin de retrasar los procesos”</w:t>
      </w:r>
      <w:r w:rsidR="00622268" w:rsidRPr="00622268">
        <w:rPr>
          <w:rFonts w:ascii="Verdana" w:hAnsi="Verdana" w:cs="Verdana"/>
          <w:sz w:val="20"/>
          <w:szCs w:val="20"/>
          <w:lang w:val="es-ES"/>
        </w:rPr>
        <w:t>, señalando como ejemplo el uso de la acción constitucional de amparo.</w:t>
      </w:r>
      <w:r w:rsidR="00622268">
        <w:rPr>
          <w:rFonts w:ascii="Verdana" w:hAnsi="Verdana" w:cs="Verdana"/>
          <w:sz w:val="20"/>
          <w:szCs w:val="20"/>
          <w:lang w:val="es-ES"/>
        </w:rPr>
        <w:t xml:space="preserve"> </w:t>
      </w:r>
      <w:r w:rsidR="000015B3">
        <w:rPr>
          <w:rFonts w:ascii="Verdana" w:hAnsi="Verdana"/>
          <w:sz w:val="20"/>
          <w:szCs w:val="20"/>
          <w:lang w:val="es-CR"/>
        </w:rPr>
        <w:t xml:space="preserve">Además, dicho </w:t>
      </w:r>
      <w:r w:rsidRPr="0032068E">
        <w:rPr>
          <w:rFonts w:ascii="Verdana" w:hAnsi="Verdana"/>
          <w:sz w:val="20"/>
          <w:szCs w:val="20"/>
          <w:lang w:val="es-CR"/>
        </w:rPr>
        <w:t>Informe del Ministerio Público</w:t>
      </w:r>
      <w:r>
        <w:rPr>
          <w:rFonts w:ascii="Verdana" w:hAnsi="Verdana"/>
          <w:sz w:val="20"/>
          <w:szCs w:val="20"/>
          <w:lang w:val="es-CR"/>
        </w:rPr>
        <w:t xml:space="preserve"> </w:t>
      </w:r>
      <w:r w:rsidRPr="0032068E">
        <w:rPr>
          <w:rFonts w:ascii="Verdana" w:hAnsi="Verdana"/>
          <w:sz w:val="20"/>
          <w:szCs w:val="20"/>
          <w:lang w:val="es-CR"/>
        </w:rPr>
        <w:t xml:space="preserve">plantea que este uso de recursos dilata el </w:t>
      </w:r>
      <w:r w:rsidRPr="0032068E">
        <w:rPr>
          <w:rFonts w:ascii="Verdana" w:hAnsi="Verdana"/>
          <w:sz w:val="20"/>
          <w:szCs w:val="20"/>
          <w:lang w:val="es-CR"/>
        </w:rPr>
        <w:lastRenderedPageBreak/>
        <w:t xml:space="preserve">proceso, y que ello </w:t>
      </w:r>
      <w:r>
        <w:rPr>
          <w:rFonts w:ascii="Verdana" w:hAnsi="Verdana"/>
          <w:sz w:val="20"/>
          <w:szCs w:val="20"/>
          <w:lang w:val="es-CR"/>
        </w:rPr>
        <w:t>“</w:t>
      </w:r>
      <w:r w:rsidRPr="0032068E">
        <w:rPr>
          <w:rFonts w:ascii="Verdana" w:hAnsi="Verdana"/>
          <w:sz w:val="20"/>
          <w:szCs w:val="20"/>
          <w:lang w:val="es-CR"/>
        </w:rPr>
        <w:t xml:space="preserve">se agrava con el hecho que los jueces invariablemente dan trámite a dichos recursos sin tomar en cuenta la evidente intención </w:t>
      </w:r>
      <w:r>
        <w:rPr>
          <w:rFonts w:ascii="Verdana" w:hAnsi="Verdana"/>
          <w:sz w:val="20"/>
          <w:szCs w:val="20"/>
          <w:lang w:val="es-CR"/>
        </w:rPr>
        <w:t xml:space="preserve">[de estos de] </w:t>
      </w:r>
      <w:r w:rsidRPr="0032068E">
        <w:rPr>
          <w:rFonts w:ascii="Verdana" w:hAnsi="Verdana"/>
          <w:sz w:val="20"/>
          <w:szCs w:val="20"/>
          <w:lang w:val="es-CR"/>
        </w:rPr>
        <w:t>crear efectos dilatorios o entorpecedores sobre los procedimientos judiciales y sin razonar previamente si los mismos son idóneos, efectivos y procedentes, con lo cual se ha vulnerado el derecho de las víctimas a que sus pretensiones sean resueltas en un plazo razonable”.</w:t>
      </w:r>
      <w:bookmarkEnd w:id="125"/>
    </w:p>
    <w:p w14:paraId="38A1D29C" w14:textId="77777777" w:rsidR="00C471B6" w:rsidRPr="0032068E" w:rsidRDefault="00C471B6" w:rsidP="00C471B6">
      <w:pPr>
        <w:pStyle w:val="ListParagraph"/>
        <w:tabs>
          <w:tab w:val="left" w:pos="720"/>
        </w:tabs>
        <w:spacing w:after="0" w:line="240" w:lineRule="auto"/>
        <w:ind w:left="0" w:right="1444"/>
        <w:jc w:val="both"/>
        <w:rPr>
          <w:rFonts w:ascii="Verdana" w:hAnsi="Verdana"/>
          <w:i/>
          <w:sz w:val="20"/>
          <w:szCs w:val="20"/>
          <w:lang w:val="es-CR"/>
        </w:rPr>
      </w:pPr>
    </w:p>
    <w:p w14:paraId="33198C28" w14:textId="41D0D515" w:rsidR="00C471B6" w:rsidRPr="00BE6879" w:rsidRDefault="00C471B6" w:rsidP="00C471B6">
      <w:pPr>
        <w:pStyle w:val="ListParagraph"/>
        <w:numPr>
          <w:ilvl w:val="0"/>
          <w:numId w:val="2"/>
        </w:numPr>
        <w:tabs>
          <w:tab w:val="left" w:pos="720"/>
        </w:tabs>
        <w:spacing w:after="0" w:line="240" w:lineRule="auto"/>
        <w:ind w:left="0" w:right="1444" w:firstLine="0"/>
        <w:jc w:val="both"/>
        <w:rPr>
          <w:rFonts w:ascii="Verdana" w:hAnsi="Verdana"/>
          <w:sz w:val="20"/>
          <w:szCs w:val="20"/>
          <w:lang w:val="es-CR"/>
        </w:rPr>
      </w:pPr>
      <w:bookmarkStart w:id="126" w:name="_Ref437868100"/>
      <w:r w:rsidRPr="00BE6879">
        <w:rPr>
          <w:rFonts w:ascii="Verdana" w:hAnsi="Verdana"/>
          <w:sz w:val="20"/>
          <w:szCs w:val="20"/>
          <w:lang w:val="es-CR"/>
        </w:rPr>
        <w:t>Al respecto, los representantes</w:t>
      </w:r>
      <w:r w:rsidRPr="00BE6879">
        <w:rPr>
          <w:rFonts w:ascii="Verdana" w:hAnsi="Verdana"/>
          <w:i/>
          <w:sz w:val="20"/>
          <w:szCs w:val="20"/>
          <w:lang w:val="es-CR"/>
        </w:rPr>
        <w:t xml:space="preserve"> </w:t>
      </w:r>
      <w:r w:rsidRPr="00BE6879">
        <w:rPr>
          <w:rFonts w:ascii="Verdana" w:hAnsi="Verdana"/>
          <w:sz w:val="20"/>
          <w:szCs w:val="20"/>
          <w:lang w:val="es-CR"/>
        </w:rPr>
        <w:t xml:space="preserve">de las víctimas recalcaron la gravedad que implica el hecho de que “los jueces y magistrados que conocen de estas acciones [judiciales] l[e]s dan a trámite sin valorar la pertinencia ni la evidente intención dilatoria de los demandantes, en claro perjuicio de los derechos de las víctimas”. Además, resaltaron como “emblemáticos” de esta situación los casos </w:t>
      </w:r>
      <w:r w:rsidR="000015B3" w:rsidRPr="00BE6879">
        <w:rPr>
          <w:rFonts w:ascii="Verdana" w:hAnsi="Verdana"/>
          <w:i/>
          <w:sz w:val="20"/>
          <w:szCs w:val="20"/>
          <w:lang w:val="es-CR"/>
        </w:rPr>
        <w:t>Bámaca Velásquez</w:t>
      </w:r>
      <w:r w:rsidRPr="00BE6879">
        <w:rPr>
          <w:rFonts w:ascii="Verdana" w:hAnsi="Verdana"/>
          <w:i/>
          <w:sz w:val="20"/>
          <w:szCs w:val="20"/>
          <w:lang w:val="es-CR"/>
        </w:rPr>
        <w:t xml:space="preserve"> </w:t>
      </w:r>
      <w:r w:rsidRPr="00BE6879">
        <w:rPr>
          <w:rFonts w:ascii="Verdana" w:hAnsi="Verdana"/>
          <w:sz w:val="20"/>
          <w:szCs w:val="20"/>
          <w:lang w:val="es-CR"/>
        </w:rPr>
        <w:t xml:space="preserve">y </w:t>
      </w:r>
      <w:r w:rsidRPr="00BE6879">
        <w:rPr>
          <w:rFonts w:ascii="Verdana" w:hAnsi="Verdana"/>
          <w:i/>
          <w:sz w:val="20"/>
          <w:szCs w:val="20"/>
          <w:lang w:val="es-CR"/>
        </w:rPr>
        <w:t>Masacre de las Dos Erres</w:t>
      </w:r>
      <w:r w:rsidR="000015B3" w:rsidRPr="00BE6879">
        <w:rPr>
          <w:rFonts w:ascii="Verdana" w:hAnsi="Verdana"/>
          <w:i/>
          <w:sz w:val="20"/>
          <w:szCs w:val="20"/>
          <w:lang w:val="es-CR"/>
        </w:rPr>
        <w:t>.</w:t>
      </w:r>
      <w:r w:rsidRPr="00BE6879">
        <w:rPr>
          <w:rFonts w:ascii="Verdana" w:hAnsi="Verdana"/>
          <w:sz w:val="20"/>
          <w:szCs w:val="20"/>
          <w:lang w:val="es-CR"/>
        </w:rPr>
        <w:t xml:space="preserve"> El Estado, por su parte, señaló en la audiencia de supervisión de mayo de 2014 que </w:t>
      </w:r>
      <w:r w:rsidRPr="00BE6879">
        <w:rPr>
          <w:rFonts w:ascii="Verdana" w:hAnsi="Verdana" w:cs="Verdana"/>
          <w:sz w:val="20"/>
          <w:szCs w:val="20"/>
          <w:lang w:val="es-ES"/>
        </w:rPr>
        <w:t xml:space="preserve">“es inaceptable calificar la interposición de recursos legales como abusivos y dilatorios” y que mientras que no existan reformas legales al respecto “la utilización de recursos […] es legal y legítima y sólo los jueces pueden resolver su pertinencia y su procedencia”. </w:t>
      </w:r>
      <w:r w:rsidR="00BE6879" w:rsidRPr="00BE6879">
        <w:rPr>
          <w:rFonts w:ascii="Verdana" w:hAnsi="Verdana" w:cs="Verdana"/>
          <w:sz w:val="20"/>
          <w:szCs w:val="20"/>
          <w:lang w:val="es-ES"/>
        </w:rPr>
        <w:t>En los informes del 2015,</w:t>
      </w:r>
      <w:r w:rsidR="00BE6879" w:rsidRPr="00BE6879">
        <w:rPr>
          <w:rFonts w:ascii="Verdana" w:hAnsi="Verdana"/>
          <w:sz w:val="20"/>
          <w:szCs w:val="20"/>
          <w:lang w:val="es-CR"/>
        </w:rPr>
        <w:t xml:space="preserve"> aun cuando el Estado no se refirió a este punto como un alegado obstáculo estructural, realizó referencias puntuales respecto a recursos interpuestos que estarían pendientes de decisión judicial</w:t>
      </w:r>
      <w:r w:rsidRPr="00BE6879">
        <w:rPr>
          <w:rStyle w:val="FootnoteReference"/>
          <w:rFonts w:ascii="Verdana" w:hAnsi="Verdana" w:cs="Verdana"/>
          <w:sz w:val="20"/>
          <w:szCs w:val="20"/>
          <w:lang w:val="es-ES"/>
        </w:rPr>
        <w:footnoteReference w:id="144"/>
      </w:r>
      <w:r w:rsidRPr="00BE6879">
        <w:rPr>
          <w:rFonts w:ascii="Verdana" w:hAnsi="Verdana" w:cs="Verdana"/>
          <w:sz w:val="20"/>
          <w:szCs w:val="20"/>
          <w:lang w:val="es-ES"/>
        </w:rPr>
        <w:t>.</w:t>
      </w:r>
      <w:bookmarkEnd w:id="126"/>
      <w:r w:rsidRPr="00BE6879">
        <w:rPr>
          <w:rFonts w:ascii="Verdana" w:hAnsi="Verdana" w:cs="Verdana"/>
          <w:sz w:val="20"/>
          <w:szCs w:val="20"/>
          <w:lang w:val="es-ES"/>
        </w:rPr>
        <w:t xml:space="preserve"> </w:t>
      </w:r>
    </w:p>
    <w:p w14:paraId="76229A11" w14:textId="77777777" w:rsidR="00C471B6" w:rsidRPr="0032068E" w:rsidRDefault="00C471B6" w:rsidP="00C471B6">
      <w:pPr>
        <w:pStyle w:val="ListParagraph"/>
        <w:rPr>
          <w:rFonts w:ascii="Verdana" w:hAnsi="Verdana" w:cs="Verdana"/>
          <w:sz w:val="20"/>
          <w:szCs w:val="20"/>
          <w:lang w:val="es-ES"/>
        </w:rPr>
      </w:pPr>
    </w:p>
    <w:p w14:paraId="287D7F94" w14:textId="328DE6BE" w:rsidR="00C471B6" w:rsidRPr="0032068E" w:rsidRDefault="00C471B6" w:rsidP="00C471B6">
      <w:pPr>
        <w:pStyle w:val="ListParagraph"/>
        <w:numPr>
          <w:ilvl w:val="0"/>
          <w:numId w:val="2"/>
        </w:numPr>
        <w:spacing w:after="0" w:line="240" w:lineRule="auto"/>
        <w:ind w:left="0" w:right="1444" w:firstLine="0"/>
        <w:jc w:val="both"/>
        <w:rPr>
          <w:rFonts w:ascii="Verdana" w:hAnsi="Verdana" w:cs="Verdana"/>
          <w:sz w:val="20"/>
          <w:szCs w:val="20"/>
          <w:lang w:val="es-ES"/>
        </w:rPr>
      </w:pPr>
      <w:bookmarkStart w:id="127" w:name="_Ref437871176"/>
      <w:r w:rsidRPr="0032068E">
        <w:rPr>
          <w:rFonts w:ascii="Verdana" w:hAnsi="Verdana"/>
          <w:sz w:val="20"/>
          <w:szCs w:val="20"/>
          <w:lang w:val="es-CR"/>
        </w:rPr>
        <w:t xml:space="preserve">El uso </w:t>
      </w:r>
      <w:r>
        <w:rPr>
          <w:rFonts w:ascii="Verdana" w:hAnsi="Verdana"/>
          <w:sz w:val="20"/>
          <w:szCs w:val="20"/>
          <w:lang w:val="es-CR"/>
        </w:rPr>
        <w:t>dilatorio</w:t>
      </w:r>
      <w:r w:rsidRPr="0032068E">
        <w:rPr>
          <w:rFonts w:ascii="Verdana" w:hAnsi="Verdana"/>
          <w:sz w:val="20"/>
          <w:szCs w:val="20"/>
          <w:lang w:val="es-CR"/>
        </w:rPr>
        <w:t xml:space="preserve"> de recursos judiciales fue analizado por la Corte en la Sentencia del caso </w:t>
      </w:r>
      <w:r w:rsidRPr="0032068E">
        <w:rPr>
          <w:rFonts w:ascii="Verdana" w:hAnsi="Verdana"/>
          <w:i/>
          <w:sz w:val="20"/>
          <w:szCs w:val="20"/>
          <w:lang w:val="es-CR"/>
        </w:rPr>
        <w:t>Masacre de las Dos Erres,</w:t>
      </w:r>
      <w:r w:rsidRPr="0032068E">
        <w:rPr>
          <w:rFonts w:ascii="Verdana" w:hAnsi="Verdana"/>
          <w:sz w:val="20"/>
          <w:szCs w:val="20"/>
          <w:lang w:val="es-CR"/>
        </w:rPr>
        <w:t xml:space="preserve"> donde consideró que </w:t>
      </w:r>
      <w:r>
        <w:rPr>
          <w:rFonts w:ascii="Verdana" w:hAnsi="Verdana"/>
          <w:sz w:val="20"/>
          <w:szCs w:val="20"/>
          <w:lang w:val="es-CR"/>
        </w:rPr>
        <w:t>“</w:t>
      </w:r>
      <w:r w:rsidRPr="00925330">
        <w:rPr>
          <w:rFonts w:ascii="Verdana" w:hAnsi="Verdana"/>
          <w:sz w:val="20"/>
          <w:szCs w:val="20"/>
          <w:lang w:val="es-CR"/>
        </w:rPr>
        <w:t>para hacer efectivo el acceso a la justicia de las víctimas, los jueces como rectores del proceso tienen que dirigir y encausar el procedimiento judicial con el fin de no sacrificar la justicia y el debido proceso legal en pro del formalismo y de la impunidad, así como tramitar los recursos judiciales de modo […] que se restrinja el uso desproporcionado de acciones que pueden tener efectos dilatorios o entorpecedores</w:t>
      </w:r>
      <w:r>
        <w:rPr>
          <w:rFonts w:ascii="Verdana" w:hAnsi="Verdana"/>
          <w:sz w:val="20"/>
          <w:szCs w:val="20"/>
          <w:lang w:val="es-CR"/>
        </w:rPr>
        <w:t>”</w:t>
      </w:r>
      <w:r w:rsidRPr="0032068E">
        <w:rPr>
          <w:rStyle w:val="FootnoteReference"/>
          <w:rFonts w:ascii="Verdana" w:hAnsi="Verdana"/>
          <w:sz w:val="20"/>
          <w:szCs w:val="20"/>
          <w:lang w:val="es-CR"/>
        </w:rPr>
        <w:footnoteReference w:id="145"/>
      </w:r>
      <w:r w:rsidRPr="0032068E">
        <w:rPr>
          <w:rFonts w:ascii="Verdana" w:hAnsi="Verdana"/>
          <w:sz w:val="20"/>
          <w:szCs w:val="20"/>
          <w:lang w:val="es-CR"/>
        </w:rPr>
        <w:t xml:space="preserve">. En efecto, </w:t>
      </w:r>
      <w:r>
        <w:rPr>
          <w:rFonts w:ascii="Verdana" w:hAnsi="Verdana"/>
          <w:sz w:val="20"/>
          <w:szCs w:val="20"/>
          <w:lang w:val="es-CR"/>
        </w:rPr>
        <w:t xml:space="preserve">el Tribunal entonces </w:t>
      </w:r>
      <w:r w:rsidR="002A6A1A">
        <w:rPr>
          <w:rFonts w:ascii="Verdana" w:hAnsi="Verdana"/>
          <w:sz w:val="20"/>
          <w:szCs w:val="20"/>
          <w:lang w:val="es-CR"/>
        </w:rPr>
        <w:t>determinó</w:t>
      </w:r>
      <w:r w:rsidRPr="0032068E">
        <w:rPr>
          <w:rFonts w:ascii="Verdana" w:hAnsi="Verdana"/>
          <w:sz w:val="20"/>
          <w:szCs w:val="20"/>
          <w:lang w:val="es-CR"/>
        </w:rPr>
        <w:t xml:space="preserve"> que existió un incumplimiento a las garantías judiciales a la luz de las obligaciones generales del Estado </w:t>
      </w:r>
      <w:r>
        <w:rPr>
          <w:rFonts w:ascii="Verdana" w:hAnsi="Verdana"/>
          <w:sz w:val="20"/>
          <w:szCs w:val="20"/>
          <w:lang w:val="es-CR"/>
        </w:rPr>
        <w:t>en tanto “el uso indiscriminado y permisivo de recursos judiciales como lo es el recurso de amparo, […] ha sido utilizado como pilar de la impunidad”, lo cual “aunado al retardo injustificado y</w:t>
      </w:r>
      <w:r w:rsidR="009B3DA8">
        <w:rPr>
          <w:rFonts w:ascii="Verdana" w:hAnsi="Verdana"/>
          <w:sz w:val="20"/>
          <w:szCs w:val="20"/>
          <w:lang w:val="es-CR"/>
        </w:rPr>
        <w:t xml:space="preserve"> deliberado por parte de las autor</w:t>
      </w:r>
      <w:r>
        <w:rPr>
          <w:rFonts w:ascii="Verdana" w:hAnsi="Verdana"/>
          <w:sz w:val="20"/>
          <w:szCs w:val="20"/>
          <w:lang w:val="es-CR"/>
        </w:rPr>
        <w:t>idades judiciales, así como la falta de una investigación completa y exhaustiva […] han impedido la investigación, juzgamiento y eventual sanción de todos los presuntos responsables”</w:t>
      </w:r>
      <w:r w:rsidRPr="0032068E">
        <w:rPr>
          <w:rStyle w:val="FootnoteReference"/>
          <w:rFonts w:ascii="Verdana" w:hAnsi="Verdana"/>
          <w:sz w:val="20"/>
          <w:szCs w:val="20"/>
          <w:lang w:val="es-CR"/>
        </w:rPr>
        <w:footnoteReference w:id="146"/>
      </w:r>
      <w:r>
        <w:rPr>
          <w:rFonts w:ascii="Verdana" w:hAnsi="Verdana"/>
          <w:sz w:val="20"/>
          <w:szCs w:val="20"/>
          <w:lang w:val="es-CR"/>
        </w:rPr>
        <w:t xml:space="preserve">. También consideró que </w:t>
      </w:r>
      <w:r w:rsidRPr="0032068E">
        <w:rPr>
          <w:rFonts w:ascii="Verdana" w:hAnsi="Verdana"/>
          <w:sz w:val="20"/>
          <w:szCs w:val="20"/>
          <w:lang w:val="es-CR"/>
        </w:rPr>
        <w:t>“las autoridades […] han permitido y tolerado el abuso de recursos judiciales, como el recurso de amparo”, y que “no ha adoptado las previsiones para hacer del amparo un recurso simple, rápido, adecuado y efectivo para tutelar los derechos humanos e impedir que se convierta en un medio para dilatar y entorpecer el proceso judicial como factor para la impunidad”</w:t>
      </w:r>
      <w:r w:rsidRPr="0032068E">
        <w:rPr>
          <w:rStyle w:val="FootnoteReference"/>
          <w:rFonts w:ascii="Verdana" w:hAnsi="Verdana"/>
          <w:sz w:val="20"/>
          <w:szCs w:val="20"/>
          <w:lang w:val="es-CR"/>
        </w:rPr>
        <w:footnoteReference w:id="147"/>
      </w:r>
      <w:r w:rsidRPr="0032068E">
        <w:rPr>
          <w:rFonts w:ascii="Verdana" w:hAnsi="Verdana"/>
          <w:sz w:val="20"/>
          <w:szCs w:val="20"/>
          <w:lang w:val="es-CR"/>
        </w:rPr>
        <w:t>.</w:t>
      </w:r>
      <w:bookmarkEnd w:id="127"/>
      <w:r w:rsidRPr="0032068E">
        <w:rPr>
          <w:rFonts w:ascii="Verdana" w:hAnsi="Verdana"/>
          <w:sz w:val="20"/>
          <w:szCs w:val="20"/>
          <w:lang w:val="es-CR"/>
        </w:rPr>
        <w:t xml:space="preserve"> </w:t>
      </w:r>
      <w:r>
        <w:rPr>
          <w:rFonts w:ascii="Verdana" w:hAnsi="Verdana"/>
          <w:sz w:val="20"/>
          <w:szCs w:val="20"/>
          <w:lang w:val="es-CR"/>
        </w:rPr>
        <w:t xml:space="preserve">Por esa razón, la Corte ordenó “adoptar las medidas necesarias para que el uso del recurso de amparo sea efectivo, conforme a los principios de concentración, celeridad, contradictorio y motivación de los fallos, </w:t>
      </w:r>
      <w:r>
        <w:rPr>
          <w:rFonts w:ascii="Verdana" w:hAnsi="Verdana"/>
          <w:sz w:val="20"/>
          <w:szCs w:val="20"/>
          <w:lang w:val="es-CR"/>
        </w:rPr>
        <w:lastRenderedPageBreak/>
        <w:t xml:space="preserve">derecho de defensa, y que no sea utilizado como un mecanismo dilatorio del </w:t>
      </w:r>
      <w:r w:rsidRPr="009B3DA8">
        <w:rPr>
          <w:rFonts w:ascii="Verdana" w:hAnsi="Verdana"/>
          <w:sz w:val="20"/>
          <w:szCs w:val="20"/>
          <w:lang w:val="es-CR"/>
        </w:rPr>
        <w:t>proceso”</w:t>
      </w:r>
      <w:r w:rsidRPr="009B3DA8">
        <w:rPr>
          <w:rStyle w:val="FootnoteReference"/>
          <w:rFonts w:ascii="Verdana" w:hAnsi="Verdana"/>
          <w:sz w:val="20"/>
          <w:szCs w:val="20"/>
          <w:lang w:val="es-CR"/>
        </w:rPr>
        <w:footnoteReference w:id="148"/>
      </w:r>
      <w:r w:rsidRPr="009B3DA8">
        <w:rPr>
          <w:rFonts w:ascii="Verdana" w:hAnsi="Verdana"/>
          <w:sz w:val="20"/>
          <w:szCs w:val="20"/>
          <w:lang w:val="es-CR"/>
        </w:rPr>
        <w:t xml:space="preserve"> (</w:t>
      </w:r>
      <w:r w:rsidRPr="009B3DA8">
        <w:rPr>
          <w:rFonts w:ascii="Verdana" w:hAnsi="Verdana"/>
          <w:i/>
          <w:sz w:val="20"/>
          <w:szCs w:val="20"/>
          <w:lang w:val="es-CR"/>
        </w:rPr>
        <w:t>supra</w:t>
      </w:r>
      <w:r w:rsidRPr="009B3DA8">
        <w:rPr>
          <w:rFonts w:ascii="Verdana" w:hAnsi="Verdana"/>
          <w:sz w:val="20"/>
          <w:szCs w:val="20"/>
          <w:lang w:val="es-CR"/>
        </w:rPr>
        <w:t xml:space="preserve"> Considerando </w:t>
      </w:r>
      <w:r w:rsidRPr="009B3DA8">
        <w:rPr>
          <w:rFonts w:ascii="Verdana" w:hAnsi="Verdana"/>
          <w:sz w:val="20"/>
          <w:szCs w:val="20"/>
          <w:lang w:val="es-CR"/>
        </w:rPr>
        <w:fldChar w:fldCharType="begin"/>
      </w:r>
      <w:r w:rsidRPr="009B3DA8">
        <w:rPr>
          <w:rFonts w:ascii="Verdana" w:hAnsi="Verdana"/>
          <w:sz w:val="20"/>
          <w:szCs w:val="20"/>
          <w:lang w:val="es-CR"/>
        </w:rPr>
        <w:instrText xml:space="preserve"> REF _Ref437846304 \r \h  \* MERGEFORMAT </w:instrText>
      </w:r>
      <w:r w:rsidRPr="009B3DA8">
        <w:rPr>
          <w:rFonts w:ascii="Verdana" w:hAnsi="Verdana"/>
          <w:sz w:val="20"/>
          <w:szCs w:val="20"/>
          <w:lang w:val="es-CR"/>
        </w:rPr>
      </w:r>
      <w:r w:rsidRPr="009B3DA8">
        <w:rPr>
          <w:rFonts w:ascii="Verdana" w:hAnsi="Verdana"/>
          <w:sz w:val="20"/>
          <w:szCs w:val="20"/>
          <w:lang w:val="es-CR"/>
        </w:rPr>
        <w:fldChar w:fldCharType="separate"/>
      </w:r>
      <w:r w:rsidR="007E3C4B">
        <w:rPr>
          <w:rFonts w:ascii="Verdana" w:hAnsi="Verdana"/>
          <w:sz w:val="20"/>
          <w:szCs w:val="20"/>
          <w:lang w:val="es-CR"/>
        </w:rPr>
        <w:t>40</w:t>
      </w:r>
      <w:r w:rsidRPr="009B3DA8">
        <w:rPr>
          <w:rFonts w:ascii="Verdana" w:hAnsi="Verdana"/>
          <w:sz w:val="20"/>
          <w:szCs w:val="20"/>
          <w:lang w:val="es-CR"/>
        </w:rPr>
        <w:fldChar w:fldCharType="end"/>
      </w:r>
      <w:r w:rsidRPr="009B3DA8">
        <w:rPr>
          <w:rFonts w:ascii="Verdana" w:hAnsi="Verdana"/>
          <w:sz w:val="20"/>
          <w:szCs w:val="20"/>
          <w:lang w:val="es-CR"/>
        </w:rPr>
        <w:t>).</w:t>
      </w:r>
    </w:p>
    <w:p w14:paraId="71941EEA" w14:textId="77777777" w:rsidR="00C471B6" w:rsidRPr="0032068E" w:rsidRDefault="00C471B6" w:rsidP="00C471B6">
      <w:pPr>
        <w:pStyle w:val="ListParagraph"/>
        <w:rPr>
          <w:rFonts w:ascii="Verdana" w:hAnsi="Verdana" w:cs="Verdana"/>
          <w:sz w:val="20"/>
          <w:szCs w:val="20"/>
          <w:lang w:val="es-ES"/>
        </w:rPr>
      </w:pPr>
    </w:p>
    <w:p w14:paraId="5A72E227" w14:textId="3F0901BC" w:rsidR="00C471B6" w:rsidRPr="0032068E" w:rsidRDefault="00C471B6" w:rsidP="00C471B6">
      <w:pPr>
        <w:pStyle w:val="ListParagraph"/>
        <w:numPr>
          <w:ilvl w:val="0"/>
          <w:numId w:val="2"/>
        </w:numPr>
        <w:spacing w:after="0" w:line="240" w:lineRule="auto"/>
        <w:ind w:left="0" w:right="1444" w:firstLine="0"/>
        <w:jc w:val="both"/>
        <w:rPr>
          <w:rFonts w:ascii="Verdana" w:hAnsi="Verdana" w:cs="Verdana"/>
          <w:sz w:val="20"/>
          <w:szCs w:val="20"/>
          <w:lang w:val="es-ES"/>
        </w:rPr>
      </w:pPr>
      <w:r w:rsidRPr="0032068E">
        <w:rPr>
          <w:rFonts w:ascii="Verdana" w:hAnsi="Verdana" w:cs="Verdana"/>
          <w:sz w:val="20"/>
          <w:szCs w:val="20"/>
          <w:lang w:val="es-ES"/>
        </w:rPr>
        <w:t xml:space="preserve">No obstante, según se puede observar de la información proporcionada, </w:t>
      </w:r>
      <w:r>
        <w:rPr>
          <w:rFonts w:ascii="Verdana" w:hAnsi="Verdana" w:cs="Verdana"/>
          <w:sz w:val="20"/>
          <w:szCs w:val="20"/>
          <w:lang w:val="es-ES"/>
        </w:rPr>
        <w:t>las dilaciones derivadas d</w:t>
      </w:r>
      <w:r w:rsidRPr="0032068E">
        <w:rPr>
          <w:rFonts w:ascii="Verdana" w:hAnsi="Verdana" w:cs="Verdana"/>
          <w:sz w:val="20"/>
          <w:szCs w:val="20"/>
          <w:lang w:val="es-ES"/>
        </w:rPr>
        <w:t xml:space="preserve">el uso de los recursos judiciales por parte de los imputados se ha perpetuado hasta la fecha, facilitando la continuación de la impunidad por los hechos que corresponden a las Sentencias señaladas previamente. </w:t>
      </w:r>
      <w:r w:rsidR="009B3DA8">
        <w:rPr>
          <w:rFonts w:ascii="Verdana" w:hAnsi="Verdana" w:cs="Verdana"/>
          <w:sz w:val="20"/>
          <w:szCs w:val="20"/>
          <w:lang w:val="es-ES"/>
        </w:rPr>
        <w:t xml:space="preserve">Ello ha tenido impacto </w:t>
      </w:r>
      <w:r w:rsidRPr="0032068E">
        <w:rPr>
          <w:rFonts w:ascii="Verdana" w:hAnsi="Verdana"/>
          <w:sz w:val="20"/>
          <w:szCs w:val="20"/>
          <w:lang w:val="es-CR"/>
        </w:rPr>
        <w:t xml:space="preserve">especialmente </w:t>
      </w:r>
      <w:r>
        <w:rPr>
          <w:rFonts w:ascii="Verdana" w:hAnsi="Verdana"/>
          <w:sz w:val="20"/>
          <w:szCs w:val="20"/>
          <w:lang w:val="es-CR"/>
        </w:rPr>
        <w:t xml:space="preserve">en </w:t>
      </w:r>
      <w:r w:rsidRPr="0032068E">
        <w:rPr>
          <w:rFonts w:ascii="Verdana" w:hAnsi="Verdana"/>
          <w:sz w:val="20"/>
          <w:szCs w:val="20"/>
          <w:lang w:val="es-CR"/>
        </w:rPr>
        <w:t xml:space="preserve">las investigaciones penales en los casos </w:t>
      </w:r>
      <w:r w:rsidRPr="0032068E">
        <w:rPr>
          <w:rFonts w:ascii="Verdana" w:hAnsi="Verdana"/>
          <w:i/>
          <w:sz w:val="20"/>
          <w:szCs w:val="20"/>
          <w:lang w:val="es-CR"/>
        </w:rPr>
        <w:t xml:space="preserve">Bámaca </w:t>
      </w:r>
      <w:r w:rsidRPr="009B3DA8">
        <w:rPr>
          <w:rFonts w:ascii="Verdana" w:hAnsi="Verdana"/>
          <w:i/>
          <w:sz w:val="20"/>
          <w:szCs w:val="20"/>
          <w:lang w:val="es-CR"/>
        </w:rPr>
        <w:t>Velásquez (supra</w:t>
      </w:r>
      <w:r w:rsidRPr="009B3DA8">
        <w:rPr>
          <w:rFonts w:ascii="Verdana" w:hAnsi="Verdana"/>
          <w:sz w:val="20"/>
          <w:szCs w:val="20"/>
          <w:lang w:val="es-CR"/>
        </w:rPr>
        <w:t xml:space="preserve"> Considerando </w:t>
      </w:r>
      <w:r w:rsidRPr="009B3DA8">
        <w:rPr>
          <w:rFonts w:ascii="Verdana" w:hAnsi="Verdana"/>
          <w:sz w:val="20"/>
          <w:szCs w:val="20"/>
          <w:lang w:val="es-CR"/>
        </w:rPr>
        <w:fldChar w:fldCharType="begin"/>
      </w:r>
      <w:r w:rsidRPr="009B3DA8">
        <w:rPr>
          <w:rFonts w:ascii="Verdana" w:hAnsi="Verdana"/>
          <w:sz w:val="20"/>
          <w:szCs w:val="20"/>
          <w:lang w:val="es-CR"/>
        </w:rPr>
        <w:instrText xml:space="preserve"> REF _Ref437956828 \r \h </w:instrText>
      </w:r>
      <w:r w:rsidR="009B3DA8">
        <w:rPr>
          <w:rFonts w:ascii="Verdana" w:hAnsi="Verdana"/>
          <w:sz w:val="20"/>
          <w:szCs w:val="20"/>
          <w:lang w:val="es-CR"/>
        </w:rPr>
        <w:instrText xml:space="preserve"> \* MERGEFORMAT </w:instrText>
      </w:r>
      <w:r w:rsidRPr="009B3DA8">
        <w:rPr>
          <w:rFonts w:ascii="Verdana" w:hAnsi="Verdana"/>
          <w:sz w:val="20"/>
          <w:szCs w:val="20"/>
          <w:lang w:val="es-CR"/>
        </w:rPr>
      </w:r>
      <w:r w:rsidRPr="009B3DA8">
        <w:rPr>
          <w:rFonts w:ascii="Verdana" w:hAnsi="Verdana"/>
          <w:sz w:val="20"/>
          <w:szCs w:val="20"/>
          <w:lang w:val="es-CR"/>
        </w:rPr>
        <w:fldChar w:fldCharType="separate"/>
      </w:r>
      <w:r w:rsidR="007E3C4B">
        <w:rPr>
          <w:rFonts w:ascii="Verdana" w:hAnsi="Verdana"/>
          <w:sz w:val="20"/>
          <w:szCs w:val="20"/>
          <w:lang w:val="es-CR"/>
        </w:rPr>
        <w:t>69</w:t>
      </w:r>
      <w:r w:rsidRPr="009B3DA8">
        <w:rPr>
          <w:rFonts w:ascii="Verdana" w:hAnsi="Verdana"/>
          <w:sz w:val="20"/>
          <w:szCs w:val="20"/>
          <w:lang w:val="es-CR"/>
        </w:rPr>
        <w:fldChar w:fldCharType="end"/>
      </w:r>
      <w:r w:rsidRPr="009B3DA8">
        <w:rPr>
          <w:rFonts w:ascii="Verdana" w:hAnsi="Verdana"/>
          <w:sz w:val="20"/>
          <w:szCs w:val="20"/>
          <w:lang w:val="es-CR"/>
        </w:rPr>
        <w:t xml:space="preserve">), </w:t>
      </w:r>
      <w:r w:rsidRPr="009B3DA8">
        <w:rPr>
          <w:rFonts w:ascii="Verdana" w:hAnsi="Verdana"/>
          <w:i/>
          <w:sz w:val="20"/>
          <w:szCs w:val="20"/>
          <w:lang w:val="es-CR"/>
        </w:rPr>
        <w:t xml:space="preserve">Masacre Plan de Sánchez (supra </w:t>
      </w:r>
      <w:r w:rsidRPr="009B3DA8">
        <w:rPr>
          <w:rFonts w:ascii="Verdana" w:hAnsi="Verdana"/>
          <w:sz w:val="20"/>
          <w:szCs w:val="20"/>
          <w:lang w:val="es-CR"/>
        </w:rPr>
        <w:t xml:space="preserve">Considerando </w:t>
      </w:r>
      <w:r w:rsidRPr="009B3DA8">
        <w:rPr>
          <w:rFonts w:ascii="Verdana" w:hAnsi="Verdana"/>
          <w:sz w:val="20"/>
          <w:szCs w:val="20"/>
          <w:lang w:val="es-CR"/>
        </w:rPr>
        <w:fldChar w:fldCharType="begin"/>
      </w:r>
      <w:r w:rsidRPr="009B3DA8">
        <w:rPr>
          <w:rFonts w:ascii="Verdana" w:hAnsi="Verdana"/>
          <w:sz w:val="20"/>
          <w:szCs w:val="20"/>
          <w:lang w:val="es-CR"/>
        </w:rPr>
        <w:instrText xml:space="preserve"> REF _Ref437956903 \r \h </w:instrText>
      </w:r>
      <w:r w:rsidR="009B3DA8">
        <w:rPr>
          <w:rFonts w:ascii="Verdana" w:hAnsi="Verdana"/>
          <w:sz w:val="20"/>
          <w:szCs w:val="20"/>
          <w:lang w:val="es-CR"/>
        </w:rPr>
        <w:instrText xml:space="preserve"> \* MERGEFORMAT </w:instrText>
      </w:r>
      <w:r w:rsidRPr="009B3DA8">
        <w:rPr>
          <w:rFonts w:ascii="Verdana" w:hAnsi="Verdana"/>
          <w:sz w:val="20"/>
          <w:szCs w:val="20"/>
          <w:lang w:val="es-CR"/>
        </w:rPr>
      </w:r>
      <w:r w:rsidRPr="009B3DA8">
        <w:rPr>
          <w:rFonts w:ascii="Verdana" w:hAnsi="Verdana"/>
          <w:sz w:val="20"/>
          <w:szCs w:val="20"/>
          <w:lang w:val="es-CR"/>
        </w:rPr>
        <w:fldChar w:fldCharType="separate"/>
      </w:r>
      <w:r w:rsidR="007E3C4B">
        <w:rPr>
          <w:rFonts w:ascii="Verdana" w:hAnsi="Verdana"/>
          <w:sz w:val="20"/>
          <w:szCs w:val="20"/>
          <w:lang w:val="es-CR"/>
        </w:rPr>
        <w:t>92</w:t>
      </w:r>
      <w:r w:rsidRPr="009B3DA8">
        <w:rPr>
          <w:rFonts w:ascii="Verdana" w:hAnsi="Verdana"/>
          <w:sz w:val="20"/>
          <w:szCs w:val="20"/>
          <w:lang w:val="es-CR"/>
        </w:rPr>
        <w:fldChar w:fldCharType="end"/>
      </w:r>
      <w:r w:rsidRPr="009B3DA8">
        <w:rPr>
          <w:rFonts w:ascii="Verdana" w:hAnsi="Verdana"/>
          <w:sz w:val="20"/>
          <w:szCs w:val="20"/>
          <w:lang w:val="es-CR"/>
        </w:rPr>
        <w:t>)</w:t>
      </w:r>
      <w:r w:rsidRPr="009B3DA8">
        <w:rPr>
          <w:rFonts w:ascii="Verdana" w:hAnsi="Verdana"/>
          <w:i/>
          <w:sz w:val="20"/>
          <w:szCs w:val="20"/>
          <w:lang w:val="es-CR"/>
        </w:rPr>
        <w:t xml:space="preserve"> </w:t>
      </w:r>
      <w:r w:rsidRPr="009B3DA8">
        <w:rPr>
          <w:rFonts w:ascii="Verdana" w:hAnsi="Verdana"/>
          <w:sz w:val="20"/>
          <w:szCs w:val="20"/>
          <w:lang w:val="es-CR"/>
        </w:rPr>
        <w:t xml:space="preserve">y </w:t>
      </w:r>
      <w:r w:rsidRPr="009B3DA8">
        <w:rPr>
          <w:rFonts w:ascii="Verdana" w:hAnsi="Verdana"/>
          <w:i/>
          <w:sz w:val="20"/>
          <w:szCs w:val="20"/>
          <w:lang w:val="es-CR"/>
        </w:rPr>
        <w:t xml:space="preserve">Masacre de las Dos Erres (supra </w:t>
      </w:r>
      <w:r w:rsidRPr="009B3DA8">
        <w:rPr>
          <w:rFonts w:ascii="Verdana" w:hAnsi="Verdana"/>
          <w:sz w:val="20"/>
          <w:szCs w:val="20"/>
          <w:lang w:val="es-CR"/>
        </w:rPr>
        <w:t xml:space="preserve">Considerando </w:t>
      </w:r>
      <w:r w:rsidRPr="009B3DA8">
        <w:rPr>
          <w:rFonts w:ascii="Verdana" w:hAnsi="Verdana"/>
          <w:sz w:val="20"/>
          <w:szCs w:val="20"/>
          <w:lang w:val="es-CR"/>
        </w:rPr>
        <w:fldChar w:fldCharType="begin"/>
      </w:r>
      <w:r w:rsidRPr="009B3DA8">
        <w:rPr>
          <w:rFonts w:ascii="Verdana" w:hAnsi="Verdana"/>
          <w:sz w:val="20"/>
          <w:szCs w:val="20"/>
          <w:lang w:val="es-CR"/>
        </w:rPr>
        <w:instrText xml:space="preserve"> REF _Ref437957219 \r \h </w:instrText>
      </w:r>
      <w:r w:rsidR="009B3DA8">
        <w:rPr>
          <w:rFonts w:ascii="Verdana" w:hAnsi="Verdana"/>
          <w:sz w:val="20"/>
          <w:szCs w:val="20"/>
          <w:lang w:val="es-CR"/>
        </w:rPr>
        <w:instrText xml:space="preserve"> \* MERGEFORMAT </w:instrText>
      </w:r>
      <w:r w:rsidRPr="009B3DA8">
        <w:rPr>
          <w:rFonts w:ascii="Verdana" w:hAnsi="Verdana"/>
          <w:sz w:val="20"/>
          <w:szCs w:val="20"/>
          <w:lang w:val="es-CR"/>
        </w:rPr>
      </w:r>
      <w:r w:rsidRPr="009B3DA8">
        <w:rPr>
          <w:rFonts w:ascii="Verdana" w:hAnsi="Verdana"/>
          <w:sz w:val="20"/>
          <w:szCs w:val="20"/>
          <w:lang w:val="es-CR"/>
        </w:rPr>
        <w:fldChar w:fldCharType="separate"/>
      </w:r>
      <w:r w:rsidR="007E3C4B">
        <w:rPr>
          <w:rFonts w:ascii="Verdana" w:hAnsi="Verdana"/>
          <w:sz w:val="20"/>
          <w:szCs w:val="20"/>
          <w:lang w:val="es-CR"/>
        </w:rPr>
        <w:t>111</w:t>
      </w:r>
      <w:r w:rsidRPr="009B3DA8">
        <w:rPr>
          <w:rFonts w:ascii="Verdana" w:hAnsi="Verdana"/>
          <w:sz w:val="20"/>
          <w:szCs w:val="20"/>
          <w:lang w:val="es-CR"/>
        </w:rPr>
        <w:fldChar w:fldCharType="end"/>
      </w:r>
      <w:r w:rsidRPr="009B3DA8">
        <w:rPr>
          <w:rFonts w:ascii="Verdana" w:hAnsi="Verdana"/>
          <w:sz w:val="20"/>
          <w:szCs w:val="20"/>
          <w:lang w:val="es-CR"/>
        </w:rPr>
        <w:t>)</w:t>
      </w:r>
      <w:r w:rsidRPr="009B3DA8">
        <w:rPr>
          <w:rFonts w:ascii="Verdana" w:hAnsi="Verdana"/>
          <w:i/>
          <w:sz w:val="20"/>
          <w:szCs w:val="20"/>
          <w:lang w:val="es-CR"/>
        </w:rPr>
        <w:t>.</w:t>
      </w:r>
      <w:r w:rsidRPr="0032068E">
        <w:rPr>
          <w:rFonts w:ascii="Verdana" w:hAnsi="Verdana"/>
          <w:i/>
          <w:sz w:val="20"/>
          <w:szCs w:val="20"/>
          <w:lang w:val="es-CR"/>
        </w:rPr>
        <w:t xml:space="preserve"> </w:t>
      </w:r>
      <w:r w:rsidRPr="0032068E">
        <w:rPr>
          <w:rFonts w:ascii="Verdana" w:hAnsi="Verdana" w:cs="Verdana"/>
          <w:sz w:val="20"/>
          <w:szCs w:val="20"/>
          <w:lang w:val="es-ES"/>
        </w:rPr>
        <w:t xml:space="preserve">Aunado a ello, la Corte no cuenta con información que acredite que los jueces respectivos hayan tomado alguna acción para dirigir dichos procesos judiciales hacia una conclusión, frente a los recurrentes recursos ejercidos por los imputados. </w:t>
      </w:r>
    </w:p>
    <w:p w14:paraId="045AE8A2" w14:textId="77777777" w:rsidR="00C471B6" w:rsidRPr="0032068E" w:rsidRDefault="00C471B6" w:rsidP="00C471B6">
      <w:pPr>
        <w:pStyle w:val="ListParagraph"/>
        <w:rPr>
          <w:rFonts w:ascii="Verdana" w:hAnsi="Verdana" w:cs="Verdana"/>
          <w:sz w:val="20"/>
          <w:szCs w:val="20"/>
          <w:lang w:val="es-ES"/>
        </w:rPr>
      </w:pPr>
    </w:p>
    <w:p w14:paraId="2E9B48FF" w14:textId="5FB2673B" w:rsidR="00C471B6" w:rsidRPr="0032068E" w:rsidRDefault="00C471B6" w:rsidP="00C471B6">
      <w:pPr>
        <w:pStyle w:val="ListParagraph"/>
        <w:numPr>
          <w:ilvl w:val="0"/>
          <w:numId w:val="2"/>
        </w:numPr>
        <w:tabs>
          <w:tab w:val="left" w:pos="720"/>
        </w:tabs>
        <w:spacing w:after="0" w:line="240" w:lineRule="auto"/>
        <w:ind w:left="0" w:right="1444" w:firstLine="0"/>
        <w:jc w:val="both"/>
        <w:rPr>
          <w:rFonts w:ascii="Verdana" w:hAnsi="Verdana"/>
          <w:sz w:val="20"/>
          <w:szCs w:val="20"/>
          <w:lang w:val="es-CR"/>
        </w:rPr>
      </w:pPr>
      <w:bookmarkStart w:id="128" w:name="_Ref437939198"/>
      <w:r w:rsidRPr="0032068E">
        <w:rPr>
          <w:rFonts w:ascii="Verdana" w:hAnsi="Verdana"/>
          <w:sz w:val="20"/>
          <w:szCs w:val="20"/>
          <w:lang w:val="es-CR"/>
        </w:rPr>
        <w:t xml:space="preserve">La Corte observa que el </w:t>
      </w:r>
      <w:r w:rsidR="00850744">
        <w:rPr>
          <w:rFonts w:ascii="Verdana" w:hAnsi="Verdana"/>
          <w:sz w:val="20"/>
          <w:szCs w:val="20"/>
          <w:lang w:val="es-CR"/>
        </w:rPr>
        <w:t xml:space="preserve">uso excesivo </w:t>
      </w:r>
      <w:r w:rsidRPr="0032068E">
        <w:rPr>
          <w:rFonts w:ascii="Verdana" w:hAnsi="Verdana"/>
          <w:sz w:val="20"/>
          <w:szCs w:val="20"/>
          <w:lang w:val="es-CR"/>
        </w:rPr>
        <w:t xml:space="preserve">de los recursos ha </w:t>
      </w:r>
      <w:r w:rsidR="00850744">
        <w:rPr>
          <w:rFonts w:ascii="Verdana" w:hAnsi="Verdana"/>
          <w:sz w:val="20"/>
          <w:szCs w:val="20"/>
          <w:lang w:val="es-CR"/>
        </w:rPr>
        <w:t xml:space="preserve">tenido un efecto dilatorio </w:t>
      </w:r>
      <w:r w:rsidRPr="0032068E">
        <w:rPr>
          <w:rFonts w:ascii="Verdana" w:hAnsi="Verdana"/>
          <w:sz w:val="20"/>
          <w:szCs w:val="20"/>
          <w:lang w:val="es-CR"/>
        </w:rPr>
        <w:t>en detrimento del acceso a la justicia y ha favorecido la impunidad en los casos señalados. Por esa razón, la Corte considera que el Estado debe cumplir con su obligación de investigar, enjuiciar y sancionar sin permitir que el ejercicio de recursos de esta naturaleza constituya un obstáculo en el acceso a la justicia de las víctimas.</w:t>
      </w:r>
      <w:bookmarkEnd w:id="128"/>
    </w:p>
    <w:p w14:paraId="164C36AE" w14:textId="77777777" w:rsidR="00C471B6" w:rsidRDefault="00C471B6" w:rsidP="00C471B6">
      <w:pPr>
        <w:pStyle w:val="ListParagraph"/>
        <w:spacing w:after="0" w:line="240" w:lineRule="auto"/>
        <w:ind w:left="0" w:right="1444"/>
        <w:jc w:val="both"/>
        <w:rPr>
          <w:rFonts w:ascii="Verdana" w:hAnsi="Verdana" w:cs="Verdana"/>
          <w:sz w:val="20"/>
          <w:szCs w:val="20"/>
          <w:lang w:val="es-CR"/>
        </w:rPr>
      </w:pPr>
    </w:p>
    <w:p w14:paraId="69012CE9" w14:textId="77777777" w:rsidR="00C471B6" w:rsidRDefault="00C471B6" w:rsidP="00C471B6">
      <w:pPr>
        <w:pStyle w:val="ListParagraph"/>
        <w:spacing w:after="0" w:line="240" w:lineRule="auto"/>
        <w:ind w:left="0" w:right="1444"/>
        <w:jc w:val="both"/>
        <w:rPr>
          <w:rFonts w:ascii="Verdana" w:hAnsi="Verdana" w:cs="Verdana"/>
          <w:sz w:val="20"/>
          <w:szCs w:val="20"/>
          <w:lang w:val="es-CR"/>
        </w:rPr>
      </w:pPr>
    </w:p>
    <w:p w14:paraId="7F80252D" w14:textId="34FB9192" w:rsidR="005D0A59" w:rsidRPr="0032068E" w:rsidRDefault="004942D8" w:rsidP="00AD5701">
      <w:pPr>
        <w:pStyle w:val="Heading3"/>
      </w:pPr>
      <w:bookmarkStart w:id="129" w:name="_Toc435778541"/>
      <w:bookmarkStart w:id="130" w:name="_Toc439248799"/>
      <w:r w:rsidRPr="0032068E">
        <w:t>Decisiones y recursos judiciales relativos a eximentes de responsabilidad</w:t>
      </w:r>
      <w:bookmarkEnd w:id="129"/>
      <w:bookmarkEnd w:id="130"/>
    </w:p>
    <w:p w14:paraId="721F1DB7" w14:textId="77777777" w:rsidR="005D0A59" w:rsidRPr="007B3172" w:rsidRDefault="005D0A59" w:rsidP="00867209">
      <w:pPr>
        <w:pStyle w:val="ListParagraph"/>
        <w:spacing w:after="0" w:line="240" w:lineRule="auto"/>
        <w:ind w:left="0" w:right="1444"/>
        <w:jc w:val="both"/>
        <w:rPr>
          <w:rFonts w:ascii="Verdana" w:hAnsi="Verdana" w:cs="Verdana"/>
          <w:sz w:val="20"/>
          <w:szCs w:val="20"/>
          <w:lang w:val="es-CR"/>
        </w:rPr>
      </w:pPr>
    </w:p>
    <w:p w14:paraId="1A19200A" w14:textId="38A84007" w:rsidR="007061BA" w:rsidRPr="007061BA" w:rsidRDefault="007061BA" w:rsidP="007061BA">
      <w:pPr>
        <w:pStyle w:val="ListParagraph"/>
        <w:numPr>
          <w:ilvl w:val="0"/>
          <w:numId w:val="2"/>
        </w:numPr>
        <w:tabs>
          <w:tab w:val="left" w:pos="720"/>
        </w:tabs>
        <w:spacing w:after="0" w:line="240" w:lineRule="auto"/>
        <w:ind w:left="0" w:right="1444" w:firstLine="0"/>
        <w:jc w:val="both"/>
        <w:rPr>
          <w:rFonts w:ascii="Verdana" w:hAnsi="Verdana"/>
          <w:sz w:val="20"/>
          <w:szCs w:val="20"/>
          <w:lang w:val="es-CR"/>
        </w:rPr>
      </w:pPr>
      <w:r w:rsidRPr="007061BA">
        <w:rPr>
          <w:rFonts w:ascii="Verdana" w:hAnsi="Verdana"/>
          <w:sz w:val="20"/>
          <w:szCs w:val="20"/>
          <w:lang w:val="es-CR"/>
        </w:rPr>
        <w:t>La Corte recu</w:t>
      </w:r>
      <w:r w:rsidR="009B3DA8">
        <w:rPr>
          <w:rFonts w:ascii="Verdana" w:hAnsi="Verdana"/>
          <w:sz w:val="20"/>
          <w:szCs w:val="20"/>
          <w:lang w:val="es-CR"/>
        </w:rPr>
        <w:t>erda que en la audiencia privada</w:t>
      </w:r>
      <w:r w:rsidRPr="007061BA">
        <w:rPr>
          <w:rFonts w:ascii="Verdana" w:hAnsi="Verdana"/>
          <w:sz w:val="20"/>
          <w:szCs w:val="20"/>
          <w:lang w:val="es-CR"/>
        </w:rPr>
        <w:t xml:space="preserve"> celebrada </w:t>
      </w:r>
      <w:r w:rsidR="009B3DA8">
        <w:rPr>
          <w:rFonts w:ascii="Verdana" w:hAnsi="Verdana"/>
          <w:sz w:val="20"/>
          <w:szCs w:val="20"/>
          <w:lang w:val="es-CR"/>
        </w:rPr>
        <w:t xml:space="preserve">ante este Tribunal </w:t>
      </w:r>
      <w:r w:rsidRPr="007061BA">
        <w:rPr>
          <w:rFonts w:ascii="Verdana" w:hAnsi="Verdana"/>
          <w:sz w:val="20"/>
          <w:szCs w:val="20"/>
          <w:lang w:val="es-CR"/>
        </w:rPr>
        <w:t>en mayo de 2014</w:t>
      </w:r>
      <w:r w:rsidRPr="00BF585C">
        <w:rPr>
          <w:rStyle w:val="FootnoteReference"/>
          <w:rFonts w:ascii="Verdana" w:hAnsi="Verdana"/>
          <w:sz w:val="20"/>
          <w:szCs w:val="20"/>
          <w:lang w:val="es-CR"/>
        </w:rPr>
        <w:footnoteReference w:id="149"/>
      </w:r>
      <w:r w:rsidRPr="007061BA">
        <w:rPr>
          <w:rFonts w:ascii="Verdana" w:hAnsi="Verdana"/>
          <w:sz w:val="20"/>
          <w:szCs w:val="20"/>
          <w:lang w:val="es-CR"/>
        </w:rPr>
        <w:t xml:space="preserve"> y en los escritos presentados por el Estado en ese año, Guatemala expuso argumentos que guardan relación con la aplicación de eximentes de responsabilidad. En aquel momento, el Estado afirmó</w:t>
      </w:r>
      <w:r w:rsidRPr="006A03DA">
        <w:rPr>
          <w:rFonts w:ascii="Verdana" w:hAnsi="Verdana"/>
          <w:sz w:val="20"/>
          <w:szCs w:val="20"/>
          <w:lang w:val="es-CR"/>
        </w:rPr>
        <w:t xml:space="preserve">, </w:t>
      </w:r>
      <w:r w:rsidRPr="004A422E">
        <w:rPr>
          <w:rFonts w:ascii="Verdana" w:hAnsi="Verdana"/>
          <w:i/>
          <w:sz w:val="20"/>
          <w:szCs w:val="20"/>
          <w:lang w:val="es-CR"/>
        </w:rPr>
        <w:t>inter alia</w:t>
      </w:r>
      <w:r w:rsidRPr="004A422E">
        <w:rPr>
          <w:rFonts w:ascii="Verdana" w:hAnsi="Verdana"/>
          <w:sz w:val="20"/>
          <w:szCs w:val="20"/>
          <w:lang w:val="es-CR"/>
        </w:rPr>
        <w:t>, que: (i) “los hechos a los que se refieren [los] casos [</w:t>
      </w:r>
      <w:r w:rsidRPr="004A422E">
        <w:rPr>
          <w:rFonts w:ascii="Verdana" w:hAnsi="Verdana"/>
          <w:i/>
          <w:sz w:val="20"/>
          <w:szCs w:val="20"/>
          <w:lang w:val="es-CR"/>
        </w:rPr>
        <w:t>Blake, Masacre Plan de Sánchez, Masacre de las Dos Erres, Chitay Nech, Tiu Tojín, Bámaca Velásque</w:t>
      </w:r>
      <w:r w:rsidRPr="007061BA">
        <w:rPr>
          <w:rFonts w:ascii="Verdana" w:hAnsi="Verdana"/>
          <w:i/>
          <w:sz w:val="20"/>
          <w:szCs w:val="20"/>
          <w:lang w:val="es-CR"/>
        </w:rPr>
        <w:t xml:space="preserve">z </w:t>
      </w:r>
      <w:r w:rsidRPr="007061BA">
        <w:rPr>
          <w:rFonts w:ascii="Verdana" w:hAnsi="Verdana"/>
          <w:sz w:val="20"/>
          <w:szCs w:val="20"/>
          <w:lang w:val="es-CR"/>
        </w:rPr>
        <w:t>y</w:t>
      </w:r>
      <w:r w:rsidRPr="007061BA">
        <w:rPr>
          <w:rFonts w:ascii="Verdana" w:hAnsi="Verdana"/>
          <w:i/>
          <w:sz w:val="20"/>
          <w:szCs w:val="20"/>
          <w:lang w:val="es-CR"/>
        </w:rPr>
        <w:t xml:space="preserve"> Maritza Urrutia</w:t>
      </w:r>
      <w:r w:rsidRPr="007061BA">
        <w:rPr>
          <w:rFonts w:ascii="Verdana" w:hAnsi="Verdana"/>
          <w:sz w:val="20"/>
          <w:szCs w:val="20"/>
          <w:lang w:val="es-CR"/>
        </w:rPr>
        <w:t xml:space="preserve">], </w:t>
      </w:r>
      <w:r w:rsidRPr="007061BA">
        <w:rPr>
          <w:rFonts w:ascii="Verdana" w:hAnsi="Verdana"/>
          <w:sz w:val="20"/>
          <w:lang w:val="es-CR"/>
        </w:rPr>
        <w:t>se enmarcan en los supuestos contemplados en la Ley de Reconciliación [Nacional] y sobre los cuales hay extinción de la responsabilidad penal”,</w:t>
      </w:r>
      <w:r w:rsidRPr="007061BA">
        <w:rPr>
          <w:rFonts w:ascii="Verdana" w:eastAsia="Calibri" w:hAnsi="Verdana"/>
          <w:sz w:val="20"/>
          <w:lang w:val="es-CR"/>
        </w:rPr>
        <w:t xml:space="preserve"> salvo que las Cortes Suprema y de Constitucionalidad resolvieran que no procede la aplicación de dicha ley</w:t>
      </w:r>
      <w:r w:rsidRPr="007061BA">
        <w:rPr>
          <w:rFonts w:ascii="Verdana" w:hAnsi="Verdana"/>
          <w:sz w:val="20"/>
          <w:lang w:val="es-CR"/>
        </w:rPr>
        <w:t xml:space="preserve">; (ii) </w:t>
      </w:r>
      <w:r w:rsidRPr="007061BA">
        <w:rPr>
          <w:rFonts w:ascii="Verdana" w:hAnsi="Verdana"/>
          <w:sz w:val="20"/>
          <w:szCs w:val="20"/>
          <w:lang w:val="es-CR"/>
        </w:rPr>
        <w:t>“</w:t>
      </w:r>
      <w:r w:rsidRPr="007061BA">
        <w:rPr>
          <w:rFonts w:ascii="Verdana" w:hAnsi="Verdana"/>
          <w:sz w:val="20"/>
          <w:lang w:val="es-CR"/>
        </w:rPr>
        <w:t>en ninguno de los 11 casos [sobre los que versó la audiencia] puede haber procesamiento por el delito de desaparición forzada por ser de los hechos en todos ellos anteriores a 1996, cuando se incorporó dicho delito a legislación penal guatemalteca</w:t>
      </w:r>
      <w:r w:rsidRPr="007061BA">
        <w:rPr>
          <w:rFonts w:ascii="Verdana" w:hAnsi="Verdana"/>
          <w:sz w:val="20"/>
          <w:szCs w:val="20"/>
          <w:lang w:val="es-CR"/>
        </w:rPr>
        <w:t xml:space="preserve">”; (iii) no </w:t>
      </w:r>
      <w:r w:rsidRPr="007061BA">
        <w:rPr>
          <w:rFonts w:ascii="Verdana" w:hAnsi="Verdana"/>
          <w:sz w:val="20"/>
          <w:szCs w:val="20"/>
          <w:lang w:val="es-CO"/>
        </w:rPr>
        <w:t>“procede afirmar [en ellos] imprescriptibilidad”, y (iv) “la certeza jurídica sobre la vigencia y alcance de las amnistías vigentes lo resolverán eventualmente las Cortes Suprema y de Constitucionalidad, al igual que los argumentos sobre la tipificación de conductas”.</w:t>
      </w:r>
    </w:p>
    <w:p w14:paraId="783F0726" w14:textId="77777777" w:rsidR="007061BA" w:rsidRDefault="007061BA" w:rsidP="007061BA">
      <w:pPr>
        <w:pStyle w:val="ListParagraph"/>
        <w:tabs>
          <w:tab w:val="left" w:pos="720"/>
        </w:tabs>
        <w:spacing w:after="0" w:line="240" w:lineRule="auto"/>
        <w:ind w:left="0" w:right="1444"/>
        <w:jc w:val="both"/>
        <w:rPr>
          <w:rFonts w:ascii="Verdana" w:hAnsi="Verdana"/>
          <w:sz w:val="20"/>
          <w:szCs w:val="20"/>
          <w:lang w:val="es-CR"/>
        </w:rPr>
      </w:pPr>
    </w:p>
    <w:p w14:paraId="6F287B41" w14:textId="6D86C1A0" w:rsidR="007061BA" w:rsidRPr="0072365A" w:rsidRDefault="007061BA" w:rsidP="0072365A">
      <w:pPr>
        <w:pStyle w:val="ListParagraph"/>
        <w:numPr>
          <w:ilvl w:val="0"/>
          <w:numId w:val="2"/>
        </w:numPr>
        <w:spacing w:after="0" w:line="240" w:lineRule="auto"/>
        <w:ind w:left="0" w:right="1444" w:firstLine="0"/>
        <w:jc w:val="both"/>
        <w:rPr>
          <w:rFonts w:ascii="Verdana" w:hAnsi="Verdana"/>
          <w:sz w:val="20"/>
          <w:szCs w:val="20"/>
          <w:lang w:val="es-CR"/>
        </w:rPr>
      </w:pPr>
      <w:r w:rsidRPr="007061BA">
        <w:rPr>
          <w:rFonts w:ascii="Verdana" w:hAnsi="Verdana"/>
          <w:sz w:val="20"/>
          <w:szCs w:val="20"/>
          <w:lang w:val="es-CR"/>
        </w:rPr>
        <w:t xml:space="preserve">La Corte valora positivamente que </w:t>
      </w:r>
      <w:r w:rsidR="00FF7305">
        <w:rPr>
          <w:rFonts w:ascii="Verdana" w:hAnsi="Verdana"/>
          <w:sz w:val="20"/>
          <w:szCs w:val="20"/>
          <w:lang w:val="es-CR"/>
        </w:rPr>
        <w:t xml:space="preserve">el </w:t>
      </w:r>
      <w:r w:rsidRPr="007061BA">
        <w:rPr>
          <w:rFonts w:ascii="Verdana" w:hAnsi="Verdana"/>
          <w:sz w:val="20"/>
          <w:szCs w:val="20"/>
          <w:lang w:val="es-CR"/>
        </w:rPr>
        <w:t>Est</w:t>
      </w:r>
      <w:r w:rsidR="00FF7305">
        <w:rPr>
          <w:rFonts w:ascii="Verdana" w:hAnsi="Verdana"/>
          <w:sz w:val="20"/>
          <w:szCs w:val="20"/>
          <w:lang w:val="es-CR"/>
        </w:rPr>
        <w:t>ado no haya reiterado durante el</w:t>
      </w:r>
      <w:r w:rsidRPr="007061BA">
        <w:rPr>
          <w:rFonts w:ascii="Verdana" w:hAnsi="Verdana"/>
          <w:sz w:val="20"/>
          <w:szCs w:val="20"/>
          <w:lang w:val="es-CR"/>
        </w:rPr>
        <w:t xml:space="preserve"> 2015 los referidos argumentos. No obstante, hace notar que en el Informe del Ministerio Público de mayo de 2014 se identificó como un “obstáculo” o “problemática estructural” la “solicitud de amnistía” que han interpuesto “la defensa de los sindicados por delitos [de genocidio, </w:t>
      </w:r>
      <w:r w:rsidRPr="007061BA">
        <w:rPr>
          <w:rFonts w:ascii="Verdana" w:hAnsi="Verdana" w:cs="Verdana"/>
          <w:sz w:val="20"/>
          <w:szCs w:val="20"/>
          <w:lang w:val="es-ES"/>
        </w:rPr>
        <w:t>tortura y desaparición forzada, así como aquellos que sean imprescriptibles o que no admitan la extinción de la responsabilidad penal de conformidad con el derecho interno o los tratados internacionales ratificados por Guatemala,] argumentando que de previo a ser procesados sus casos deben sufrir el trámite que prescribe [la Ley de Reconciliación Nacional]”</w:t>
      </w:r>
      <w:r w:rsidRPr="00BF585C">
        <w:rPr>
          <w:rStyle w:val="FootnoteReference"/>
          <w:rFonts w:ascii="Verdana" w:hAnsi="Verdana" w:cs="Verdana"/>
          <w:sz w:val="20"/>
          <w:szCs w:val="20"/>
          <w:lang w:val="es-ES"/>
        </w:rPr>
        <w:footnoteReference w:id="150"/>
      </w:r>
      <w:r w:rsidRPr="007061BA">
        <w:rPr>
          <w:rFonts w:ascii="Verdana" w:hAnsi="Verdana" w:cs="Verdana"/>
          <w:sz w:val="20"/>
          <w:szCs w:val="20"/>
          <w:lang w:val="es-ES"/>
        </w:rPr>
        <w:t xml:space="preserve">. También, indicó que los sindicados han pretendido “ampararse a otras amnistías que [ya] </w:t>
      </w:r>
      <w:r w:rsidRPr="007061BA">
        <w:rPr>
          <w:rFonts w:ascii="Verdana" w:hAnsi="Verdana" w:cs="Verdana"/>
          <w:sz w:val="20"/>
          <w:szCs w:val="20"/>
          <w:lang w:val="es-ES"/>
        </w:rPr>
        <w:lastRenderedPageBreak/>
        <w:t xml:space="preserve">fueron derogadas expresamente por el Congreso de la República”. </w:t>
      </w:r>
      <w:r w:rsidR="0072365A">
        <w:rPr>
          <w:rFonts w:ascii="Verdana" w:hAnsi="Verdana" w:cs="Verdana"/>
          <w:sz w:val="20"/>
          <w:szCs w:val="20"/>
          <w:lang w:val="es-ES"/>
        </w:rPr>
        <w:t xml:space="preserve">Aunado a ello, el Ministerio Público expresó que dicho obstáculo podría llegar a tener un impacto negativo en la investigación de otros casos, ya que los defensores de personas que sea sindicados en el futuro podrían hacer uso de dichos planteamientos de aplicación de amnistía de la referida </w:t>
      </w:r>
      <w:r w:rsidR="0072365A">
        <w:rPr>
          <w:rFonts w:ascii="Verdana" w:hAnsi="Verdana"/>
          <w:sz w:val="20"/>
          <w:szCs w:val="20"/>
          <w:lang w:val="es-CR"/>
        </w:rPr>
        <w:t>l</w:t>
      </w:r>
      <w:r w:rsidR="0072365A" w:rsidRPr="00F6481F">
        <w:rPr>
          <w:rFonts w:ascii="Verdana" w:hAnsi="Verdana"/>
          <w:sz w:val="20"/>
          <w:szCs w:val="20"/>
          <w:lang w:val="es-CR"/>
        </w:rPr>
        <w:t>ey</w:t>
      </w:r>
      <w:r w:rsidR="0072365A">
        <w:rPr>
          <w:rFonts w:ascii="Verdana" w:hAnsi="Verdana"/>
          <w:sz w:val="20"/>
          <w:szCs w:val="20"/>
          <w:lang w:val="es-CR"/>
        </w:rPr>
        <w:t xml:space="preserve"> </w:t>
      </w:r>
      <w:r w:rsidR="0072365A" w:rsidRPr="0072365A">
        <w:rPr>
          <w:rFonts w:ascii="Verdana" w:hAnsi="Verdana"/>
          <w:sz w:val="20"/>
          <w:szCs w:val="20"/>
          <w:lang w:val="es-CR"/>
        </w:rPr>
        <w:t>(supra Considerando</w:t>
      </w:r>
      <w:r w:rsidR="0072365A">
        <w:rPr>
          <w:rFonts w:ascii="Verdana" w:hAnsi="Verdana"/>
          <w:sz w:val="20"/>
          <w:szCs w:val="20"/>
          <w:lang w:val="es-CR"/>
        </w:rPr>
        <w:t xml:space="preserve"> 83)</w:t>
      </w:r>
      <w:r w:rsidR="0072365A" w:rsidRPr="00F6481F">
        <w:rPr>
          <w:rFonts w:ascii="Verdana" w:hAnsi="Verdana"/>
          <w:sz w:val="20"/>
          <w:szCs w:val="20"/>
          <w:lang w:val="es-CR"/>
        </w:rPr>
        <w:t>.</w:t>
      </w:r>
      <w:r w:rsidR="0072365A">
        <w:rPr>
          <w:rFonts w:ascii="Verdana" w:hAnsi="Verdana"/>
          <w:sz w:val="20"/>
          <w:szCs w:val="20"/>
          <w:lang w:val="es-CR"/>
        </w:rPr>
        <w:t xml:space="preserve"> </w:t>
      </w:r>
      <w:r w:rsidRPr="0072365A">
        <w:rPr>
          <w:rFonts w:ascii="Verdana" w:hAnsi="Verdana" w:cs="Verdana"/>
          <w:sz w:val="20"/>
          <w:szCs w:val="20"/>
          <w:lang w:val="es-ES"/>
        </w:rPr>
        <w:t xml:space="preserve">Además, con base en el análisis particular los </w:t>
      </w:r>
      <w:r w:rsidRPr="0072365A">
        <w:rPr>
          <w:rFonts w:ascii="Verdana" w:hAnsi="Verdana" w:cs="Verdana"/>
          <w:i/>
          <w:sz w:val="20"/>
          <w:szCs w:val="20"/>
          <w:lang w:val="es-ES"/>
        </w:rPr>
        <w:t>12 casos</w:t>
      </w:r>
      <w:r w:rsidRPr="0072365A">
        <w:rPr>
          <w:rFonts w:ascii="Verdana" w:hAnsi="Verdana" w:cs="Verdana"/>
          <w:sz w:val="20"/>
          <w:szCs w:val="20"/>
          <w:lang w:val="es-ES"/>
        </w:rPr>
        <w:t xml:space="preserve"> (</w:t>
      </w:r>
      <w:r w:rsidRPr="0072365A">
        <w:rPr>
          <w:rFonts w:ascii="Verdana" w:hAnsi="Verdana" w:cs="Verdana"/>
          <w:i/>
          <w:sz w:val="20"/>
          <w:szCs w:val="20"/>
          <w:lang w:val="es-ES"/>
        </w:rPr>
        <w:t xml:space="preserve">supra </w:t>
      </w:r>
      <w:r w:rsidR="004A422E" w:rsidRPr="0072365A">
        <w:rPr>
          <w:rFonts w:ascii="Verdana" w:hAnsi="Verdana" w:cs="Verdana"/>
          <w:sz w:val="20"/>
          <w:szCs w:val="20"/>
          <w:lang w:val="es-ES"/>
        </w:rPr>
        <w:t>Capítulo</w:t>
      </w:r>
      <w:r w:rsidRPr="0072365A">
        <w:rPr>
          <w:rFonts w:ascii="Verdana" w:hAnsi="Verdana" w:cs="Verdana"/>
          <w:sz w:val="20"/>
          <w:szCs w:val="20"/>
          <w:lang w:val="es-ES"/>
        </w:rPr>
        <w:t xml:space="preserve"> IV.D) y en la información recibida durante la supervisión de cumplimiento, la Corte ha </w:t>
      </w:r>
      <w:r w:rsidRPr="0072365A">
        <w:rPr>
          <w:rFonts w:ascii="Verdana" w:hAnsi="Verdana"/>
          <w:sz w:val="20"/>
          <w:szCs w:val="20"/>
          <w:lang w:val="es-CR"/>
        </w:rPr>
        <w:t xml:space="preserve">constatado que hay decisiones judiciales y recursos judiciales planteados dentro de los procesos de algunos de estos </w:t>
      </w:r>
      <w:r w:rsidRPr="0072365A">
        <w:rPr>
          <w:rFonts w:ascii="Verdana" w:hAnsi="Verdana"/>
          <w:i/>
          <w:sz w:val="20"/>
          <w:szCs w:val="20"/>
          <w:lang w:val="es-CR"/>
        </w:rPr>
        <w:t xml:space="preserve">12 casos, </w:t>
      </w:r>
      <w:r w:rsidRPr="0072365A">
        <w:rPr>
          <w:rFonts w:ascii="Verdana" w:hAnsi="Verdana"/>
          <w:sz w:val="20"/>
          <w:szCs w:val="20"/>
          <w:lang w:val="es-CR"/>
        </w:rPr>
        <w:t>así como posiciones estatales que guardan relación con dichos eximentes. Por esta razón, este Tr</w:t>
      </w:r>
      <w:r w:rsidR="00FF7305" w:rsidRPr="0072365A">
        <w:rPr>
          <w:rFonts w:ascii="Verdana" w:hAnsi="Verdana"/>
          <w:sz w:val="20"/>
          <w:szCs w:val="20"/>
          <w:lang w:val="es-CR"/>
        </w:rPr>
        <w:t>ibunal estima necesario recordar</w:t>
      </w:r>
      <w:r w:rsidRPr="0072365A">
        <w:rPr>
          <w:rFonts w:ascii="Verdana" w:hAnsi="Verdana"/>
          <w:sz w:val="20"/>
          <w:szCs w:val="20"/>
          <w:lang w:val="es-CR"/>
        </w:rPr>
        <w:t xml:space="preserve"> su jurisprudencia reiterada sobre eximentes de responsabilidad y referirse a las situaciones constatadas.</w:t>
      </w:r>
    </w:p>
    <w:p w14:paraId="3CF84F02" w14:textId="77777777" w:rsidR="007061BA" w:rsidRDefault="007061BA" w:rsidP="007061BA">
      <w:pPr>
        <w:pStyle w:val="ListParagraph"/>
        <w:tabs>
          <w:tab w:val="left" w:pos="720"/>
        </w:tabs>
        <w:spacing w:after="0" w:line="240" w:lineRule="auto"/>
        <w:ind w:left="0" w:right="1444"/>
        <w:jc w:val="both"/>
        <w:rPr>
          <w:rFonts w:ascii="Verdana" w:hAnsi="Verdana"/>
          <w:sz w:val="20"/>
          <w:szCs w:val="20"/>
          <w:lang w:val="es-CR"/>
        </w:rPr>
      </w:pPr>
    </w:p>
    <w:p w14:paraId="196BB28B" w14:textId="77777777" w:rsidR="007061BA" w:rsidRDefault="007061BA" w:rsidP="007061BA">
      <w:pPr>
        <w:pStyle w:val="ListParagraph"/>
        <w:numPr>
          <w:ilvl w:val="0"/>
          <w:numId w:val="2"/>
        </w:numPr>
        <w:tabs>
          <w:tab w:val="left" w:pos="720"/>
        </w:tabs>
        <w:spacing w:after="0" w:line="240" w:lineRule="auto"/>
        <w:ind w:left="0" w:right="1444" w:firstLine="0"/>
        <w:jc w:val="both"/>
        <w:rPr>
          <w:rFonts w:ascii="Verdana" w:hAnsi="Verdana"/>
          <w:sz w:val="20"/>
          <w:szCs w:val="20"/>
          <w:lang w:val="es-CR"/>
        </w:rPr>
      </w:pPr>
      <w:r w:rsidRPr="007061BA">
        <w:rPr>
          <w:rFonts w:ascii="Verdana" w:hAnsi="Verdana"/>
          <w:sz w:val="20"/>
          <w:szCs w:val="20"/>
          <w:lang w:val="es-CR"/>
        </w:rPr>
        <w:t xml:space="preserve">De acuerdo con su vasta y reiterada jurisprudencia sobre la obligación de investigar, juzgar y, en su caso, sancionar, la Corte ha establecido que son inadmisibles las disposiciones de amnistía, las disposiciones de prescripción y el establecimiento de excluyentes de responsabilidad, </w:t>
      </w:r>
      <w:r w:rsidRPr="006105B2">
        <w:rPr>
          <w:rFonts w:ascii="Verdana" w:hAnsi="Verdana"/>
          <w:sz w:val="20"/>
          <w:szCs w:val="20"/>
          <w:lang w:val="es-CR"/>
        </w:rPr>
        <w:t xml:space="preserve">tales como irretroactividad de la ley penal, cosa juzgada, el principio de </w:t>
      </w:r>
      <w:r w:rsidRPr="006105B2">
        <w:rPr>
          <w:rFonts w:ascii="Verdana" w:hAnsi="Verdana"/>
          <w:i/>
          <w:sz w:val="20"/>
          <w:szCs w:val="20"/>
          <w:lang w:val="es-CR"/>
        </w:rPr>
        <w:t>non bis in idem</w:t>
      </w:r>
      <w:r w:rsidRPr="006105B2">
        <w:rPr>
          <w:rFonts w:ascii="Verdana" w:hAnsi="Verdana"/>
          <w:sz w:val="20"/>
          <w:szCs w:val="20"/>
          <w:lang w:val="es-CR"/>
        </w:rPr>
        <w:t xml:space="preserve"> o cualquier excluyente similar,</w:t>
      </w:r>
      <w:r w:rsidRPr="007061BA">
        <w:rPr>
          <w:rFonts w:ascii="Verdana" w:hAnsi="Verdana"/>
          <w:sz w:val="20"/>
          <w:szCs w:val="20"/>
          <w:lang w:val="es-CR"/>
        </w:rPr>
        <w:t xml:space="preserve"> que pretendan impedir la investigación y sanción de los responsables de las violaciones graves de los derechos humanos tales como la tortura, las ejecuciones sumarias, extralegales o arbitrarias y las desapariciones forzadas, todas ellas prohibidas por contravenir derechos inderogables reconocidos por el Derecho Internacional de los Derechos Humanos</w:t>
      </w:r>
      <w:r w:rsidRPr="0032068E">
        <w:rPr>
          <w:rStyle w:val="FootnoteReference"/>
          <w:rFonts w:ascii="Verdana" w:hAnsi="Verdana"/>
          <w:sz w:val="20"/>
          <w:szCs w:val="20"/>
          <w:lang w:val="es-CR"/>
        </w:rPr>
        <w:footnoteReference w:id="151"/>
      </w:r>
      <w:r w:rsidRPr="007061BA">
        <w:rPr>
          <w:rFonts w:ascii="Verdana" w:hAnsi="Verdana"/>
          <w:sz w:val="20"/>
          <w:szCs w:val="20"/>
          <w:lang w:val="es-CR"/>
        </w:rPr>
        <w:t xml:space="preserve">. La Corte recuerda que los 12 casos objeto de la presente Resolución versan sobre violaciones graves de </w:t>
      </w:r>
      <w:r w:rsidRPr="00FF7305">
        <w:rPr>
          <w:rFonts w:ascii="Verdana" w:hAnsi="Verdana"/>
          <w:sz w:val="20"/>
          <w:szCs w:val="20"/>
          <w:lang w:val="es-CR"/>
        </w:rPr>
        <w:t>derechos humanos (</w:t>
      </w:r>
      <w:r w:rsidRPr="00FF7305">
        <w:rPr>
          <w:rFonts w:ascii="Verdana" w:hAnsi="Verdana"/>
          <w:i/>
          <w:sz w:val="20"/>
          <w:szCs w:val="20"/>
          <w:lang w:val="es-CR"/>
        </w:rPr>
        <w:t xml:space="preserve">supra </w:t>
      </w:r>
      <w:r w:rsidRPr="00FF7305">
        <w:rPr>
          <w:rFonts w:ascii="Verdana" w:hAnsi="Verdana"/>
          <w:sz w:val="20"/>
          <w:szCs w:val="20"/>
          <w:lang w:val="es-CR"/>
        </w:rPr>
        <w:t>Considerando 19).</w:t>
      </w:r>
    </w:p>
    <w:p w14:paraId="3637D112" w14:textId="77777777" w:rsidR="007061BA" w:rsidRPr="007061BA" w:rsidRDefault="007061BA" w:rsidP="007061BA">
      <w:pPr>
        <w:pStyle w:val="ListParagraph"/>
        <w:rPr>
          <w:rFonts w:ascii="Verdana" w:hAnsi="Verdana"/>
          <w:sz w:val="20"/>
          <w:szCs w:val="20"/>
          <w:lang w:val="es-CR"/>
        </w:rPr>
      </w:pPr>
    </w:p>
    <w:p w14:paraId="098FCA72" w14:textId="62ACCCB1" w:rsidR="007061BA" w:rsidRDefault="007061BA" w:rsidP="007061BA">
      <w:pPr>
        <w:pStyle w:val="ListParagraph"/>
        <w:numPr>
          <w:ilvl w:val="0"/>
          <w:numId w:val="2"/>
        </w:numPr>
        <w:tabs>
          <w:tab w:val="left" w:pos="720"/>
        </w:tabs>
        <w:spacing w:after="0" w:line="240" w:lineRule="auto"/>
        <w:ind w:left="0" w:right="1444" w:firstLine="0"/>
        <w:jc w:val="both"/>
        <w:rPr>
          <w:rFonts w:ascii="Verdana" w:hAnsi="Verdana"/>
          <w:sz w:val="20"/>
          <w:szCs w:val="20"/>
          <w:lang w:val="es-CR"/>
        </w:rPr>
      </w:pPr>
      <w:r w:rsidRPr="007061BA">
        <w:rPr>
          <w:rFonts w:ascii="Verdana" w:hAnsi="Verdana"/>
          <w:sz w:val="20"/>
          <w:szCs w:val="20"/>
          <w:lang w:val="es-CR"/>
        </w:rPr>
        <w:t xml:space="preserve">Pese a dicha jurisprudencia, la Corte constata que en el marco de las investigaciones de algunos de los casos se ha pretendido excusar la obligación de investigar los hechos con base en eximentes de </w:t>
      </w:r>
      <w:r w:rsidRPr="0074584E">
        <w:rPr>
          <w:rFonts w:ascii="Verdana" w:hAnsi="Verdana"/>
          <w:sz w:val="20"/>
          <w:szCs w:val="20"/>
          <w:lang w:val="es-CR"/>
        </w:rPr>
        <w:t xml:space="preserve">responsabilidad. Por ejemplo las decisiones judiciales emitidas en el caso </w:t>
      </w:r>
      <w:r w:rsidRPr="0074584E">
        <w:rPr>
          <w:rFonts w:ascii="Verdana" w:hAnsi="Verdana"/>
          <w:i/>
          <w:sz w:val="20"/>
          <w:szCs w:val="20"/>
          <w:lang w:val="es-CR"/>
        </w:rPr>
        <w:t xml:space="preserve">Bámaca Velásquez (infra </w:t>
      </w:r>
      <w:r w:rsidR="00FF7305" w:rsidRPr="0074584E">
        <w:rPr>
          <w:rFonts w:ascii="Verdana" w:hAnsi="Verdana"/>
          <w:sz w:val="20"/>
          <w:szCs w:val="20"/>
          <w:lang w:val="es-CR"/>
        </w:rPr>
        <w:t>Considerandos 141 a 143</w:t>
      </w:r>
      <w:r w:rsidRPr="0074584E">
        <w:rPr>
          <w:rFonts w:ascii="Verdana" w:hAnsi="Verdana"/>
          <w:sz w:val="20"/>
          <w:szCs w:val="20"/>
          <w:lang w:val="es-CR"/>
        </w:rPr>
        <w:t xml:space="preserve">), los recursos judiciales interpuestos en los casos </w:t>
      </w:r>
      <w:r w:rsidRPr="0074584E">
        <w:rPr>
          <w:rFonts w:ascii="Verdana" w:hAnsi="Verdana"/>
          <w:i/>
          <w:sz w:val="20"/>
          <w:szCs w:val="20"/>
          <w:lang w:val="es-CR"/>
        </w:rPr>
        <w:t>Masacre Plan de Sánchez</w:t>
      </w:r>
      <w:r w:rsidRPr="0074584E">
        <w:rPr>
          <w:rFonts w:ascii="Verdana" w:hAnsi="Verdana"/>
          <w:sz w:val="20"/>
          <w:szCs w:val="20"/>
          <w:lang w:val="es-CR"/>
        </w:rPr>
        <w:t xml:space="preserve"> y </w:t>
      </w:r>
      <w:r w:rsidRPr="0074584E">
        <w:rPr>
          <w:rFonts w:ascii="Verdana" w:hAnsi="Verdana"/>
          <w:i/>
          <w:sz w:val="20"/>
          <w:szCs w:val="20"/>
          <w:lang w:val="es-CR"/>
        </w:rPr>
        <w:t xml:space="preserve">Masacre de las Dos Erres (infra </w:t>
      </w:r>
      <w:r w:rsidR="00FF7305" w:rsidRPr="0074584E">
        <w:rPr>
          <w:rFonts w:ascii="Verdana" w:hAnsi="Verdana"/>
          <w:sz w:val="20"/>
          <w:szCs w:val="20"/>
          <w:lang w:val="es-CR"/>
        </w:rPr>
        <w:t>Considerando 144</w:t>
      </w:r>
      <w:r w:rsidRPr="0074584E">
        <w:rPr>
          <w:rFonts w:ascii="Verdana" w:hAnsi="Verdana"/>
          <w:sz w:val="20"/>
          <w:szCs w:val="20"/>
          <w:lang w:val="es-CR"/>
        </w:rPr>
        <w:t>)</w:t>
      </w:r>
      <w:r w:rsidRPr="0074584E">
        <w:rPr>
          <w:rFonts w:ascii="Verdana" w:hAnsi="Verdana"/>
          <w:i/>
          <w:sz w:val="20"/>
          <w:szCs w:val="20"/>
          <w:lang w:val="es-CR"/>
        </w:rPr>
        <w:t xml:space="preserve">, </w:t>
      </w:r>
      <w:r w:rsidRPr="0074584E">
        <w:rPr>
          <w:rFonts w:ascii="Verdana" w:hAnsi="Verdana"/>
          <w:sz w:val="20"/>
          <w:szCs w:val="20"/>
          <w:lang w:val="es-CR"/>
        </w:rPr>
        <w:t>y el acuerdo legislativo identificado como “punto resolutivo No. 3-2014”, aportado por el Estado</w:t>
      </w:r>
      <w:r w:rsidRPr="007061BA">
        <w:rPr>
          <w:rFonts w:ascii="Verdana" w:hAnsi="Verdana"/>
          <w:sz w:val="20"/>
          <w:szCs w:val="20"/>
          <w:lang w:val="es-CR"/>
        </w:rPr>
        <w:t xml:space="preserve"> durante la audiencia celebrada </w:t>
      </w:r>
      <w:r w:rsidR="00FF7305">
        <w:rPr>
          <w:rFonts w:ascii="Verdana" w:hAnsi="Verdana"/>
          <w:sz w:val="20"/>
          <w:szCs w:val="20"/>
          <w:lang w:val="es-CR"/>
        </w:rPr>
        <w:t xml:space="preserve">ante esta Corte </w:t>
      </w:r>
      <w:r w:rsidRPr="007061BA">
        <w:rPr>
          <w:rFonts w:ascii="Verdana" w:hAnsi="Verdana"/>
          <w:sz w:val="20"/>
          <w:szCs w:val="20"/>
          <w:lang w:val="es-CR"/>
        </w:rPr>
        <w:t xml:space="preserve">en </w:t>
      </w:r>
      <w:r w:rsidR="00FF7305">
        <w:rPr>
          <w:rFonts w:ascii="Verdana" w:hAnsi="Verdana"/>
          <w:sz w:val="20"/>
          <w:szCs w:val="20"/>
          <w:lang w:val="es-CR"/>
        </w:rPr>
        <w:t xml:space="preserve">el </w:t>
      </w:r>
      <w:r w:rsidRPr="007061BA">
        <w:rPr>
          <w:rFonts w:ascii="Verdana" w:hAnsi="Verdana"/>
          <w:sz w:val="20"/>
          <w:szCs w:val="20"/>
          <w:lang w:val="es-CR"/>
        </w:rPr>
        <w:t>2014</w:t>
      </w:r>
      <w:r w:rsidRPr="0032068E">
        <w:rPr>
          <w:rStyle w:val="FootnoteReference"/>
          <w:rFonts w:ascii="Verdana" w:hAnsi="Verdana"/>
          <w:sz w:val="20"/>
          <w:szCs w:val="20"/>
          <w:lang w:val="es-CR"/>
        </w:rPr>
        <w:footnoteReference w:id="152"/>
      </w:r>
      <w:r w:rsidRPr="007061BA">
        <w:rPr>
          <w:rFonts w:ascii="Verdana" w:hAnsi="Verdana"/>
          <w:sz w:val="20"/>
          <w:szCs w:val="20"/>
          <w:lang w:val="es-CR"/>
        </w:rPr>
        <w:t>. Dicho acuerdo legislativo señala que se insta “al Organismo Judicial a administrar justicia con imparcialidad, observando siempre el principio que la Constitución Política de la República prevalece sobre cualquier ley o tratado”, y se prevé que el Estado “se encuentra sujeto al cumplimiento de normativas como […] la Ley de Reconciliación Nacional”</w:t>
      </w:r>
      <w:r w:rsidRPr="0032068E">
        <w:rPr>
          <w:rStyle w:val="FootnoteReference"/>
          <w:rFonts w:ascii="Verdana" w:hAnsi="Verdana"/>
          <w:sz w:val="20"/>
          <w:szCs w:val="20"/>
          <w:lang w:val="es-CR"/>
        </w:rPr>
        <w:footnoteReference w:id="153"/>
      </w:r>
      <w:r w:rsidRPr="007061BA">
        <w:rPr>
          <w:rFonts w:ascii="Verdana" w:hAnsi="Verdana"/>
          <w:sz w:val="20"/>
          <w:szCs w:val="20"/>
          <w:lang w:val="es-CR"/>
        </w:rPr>
        <w:t xml:space="preserve">. </w:t>
      </w:r>
    </w:p>
    <w:p w14:paraId="431F62D3" w14:textId="77777777" w:rsidR="007061BA" w:rsidRPr="007061BA" w:rsidRDefault="007061BA" w:rsidP="007061BA">
      <w:pPr>
        <w:pStyle w:val="ListParagraph"/>
        <w:rPr>
          <w:rFonts w:ascii="Verdana" w:hAnsi="Verdana"/>
          <w:sz w:val="20"/>
          <w:szCs w:val="20"/>
          <w:lang w:val="es-CR"/>
        </w:rPr>
      </w:pPr>
    </w:p>
    <w:p w14:paraId="789CC10D" w14:textId="77777777" w:rsidR="007061BA" w:rsidRDefault="007061BA" w:rsidP="007061BA">
      <w:pPr>
        <w:pStyle w:val="ListParagraph"/>
        <w:numPr>
          <w:ilvl w:val="0"/>
          <w:numId w:val="2"/>
        </w:numPr>
        <w:tabs>
          <w:tab w:val="left" w:pos="720"/>
        </w:tabs>
        <w:spacing w:after="0" w:line="240" w:lineRule="auto"/>
        <w:ind w:left="0" w:right="1444" w:firstLine="0"/>
        <w:jc w:val="both"/>
        <w:rPr>
          <w:rFonts w:ascii="Verdana" w:hAnsi="Verdana"/>
          <w:sz w:val="20"/>
          <w:szCs w:val="20"/>
          <w:lang w:val="es-CR"/>
        </w:rPr>
      </w:pPr>
      <w:r w:rsidRPr="007061BA">
        <w:rPr>
          <w:rFonts w:ascii="Verdana" w:hAnsi="Verdana"/>
          <w:sz w:val="20"/>
          <w:szCs w:val="20"/>
          <w:lang w:val="es-CR"/>
        </w:rPr>
        <w:lastRenderedPageBreak/>
        <w:t xml:space="preserve">Respecto del caso </w:t>
      </w:r>
      <w:r w:rsidRPr="007061BA">
        <w:rPr>
          <w:rFonts w:ascii="Verdana" w:hAnsi="Verdana"/>
          <w:i/>
          <w:sz w:val="20"/>
          <w:szCs w:val="20"/>
          <w:lang w:val="es-CR"/>
        </w:rPr>
        <w:t>Bámaca Velásquez</w:t>
      </w:r>
      <w:r w:rsidRPr="007061BA">
        <w:rPr>
          <w:rFonts w:ascii="Verdana" w:hAnsi="Verdana"/>
          <w:sz w:val="20"/>
          <w:szCs w:val="20"/>
          <w:lang w:val="es-CR"/>
        </w:rPr>
        <w:t xml:space="preserve">, se ha constatado que en dos ocasiones la Corte de Constitucionalidad emitió decisiones (25 de agosto de 2010 y 3 de abril de 2011) mediante las cuales concedió amparos interpuestos por imputados en la investigación, y ordenó suspender los efectos de las sentencias dictadas por la Cámara Penal de la Corte Suprema de Justicia que establecían la “autoejecutabilidad” de la Sentencia dictada por la Corte Interamericana en el presente caso, y ordenaban anular el sobreseimiento dictado en marzo de 1999 respecto de la causa penal instruida contra “trece militares” por los hechos del presente caso, y por ende, disponían la reapertura de la </w:t>
      </w:r>
      <w:r w:rsidRPr="0074584E">
        <w:rPr>
          <w:rFonts w:ascii="Verdana" w:hAnsi="Verdana"/>
          <w:sz w:val="20"/>
          <w:szCs w:val="20"/>
          <w:lang w:val="es-CR"/>
        </w:rPr>
        <w:t>investigación</w:t>
      </w:r>
      <w:r w:rsidRPr="0074584E">
        <w:rPr>
          <w:rFonts w:ascii="Verdana" w:hAnsi="Verdana"/>
          <w:i/>
          <w:sz w:val="20"/>
          <w:szCs w:val="20"/>
          <w:lang w:val="es-CR"/>
        </w:rPr>
        <w:t xml:space="preserve"> (supra </w:t>
      </w:r>
      <w:r w:rsidRPr="0074584E">
        <w:rPr>
          <w:rFonts w:ascii="Verdana" w:hAnsi="Verdana"/>
          <w:sz w:val="20"/>
          <w:szCs w:val="20"/>
          <w:lang w:val="es-CR"/>
        </w:rPr>
        <w:t>Considerandos 63 a 72</w:t>
      </w:r>
      <w:r w:rsidRPr="0074584E">
        <w:rPr>
          <w:rFonts w:ascii="Verdana" w:hAnsi="Verdana"/>
          <w:i/>
          <w:sz w:val="20"/>
          <w:szCs w:val="20"/>
          <w:lang w:val="es-CR"/>
        </w:rPr>
        <w:t>)</w:t>
      </w:r>
      <w:r w:rsidRPr="0074584E">
        <w:rPr>
          <w:rFonts w:ascii="Verdana" w:hAnsi="Verdana"/>
          <w:sz w:val="20"/>
          <w:szCs w:val="20"/>
          <w:lang w:val="es-CR"/>
        </w:rPr>
        <w:t>. Este sobreseimiento fue dictado antes de que la Corte e</w:t>
      </w:r>
      <w:r w:rsidRPr="007061BA">
        <w:rPr>
          <w:rFonts w:ascii="Verdana" w:hAnsi="Verdana"/>
          <w:sz w:val="20"/>
          <w:szCs w:val="20"/>
          <w:lang w:val="es-CR"/>
        </w:rPr>
        <w:t>mitiera la Sentencia de Fondo, y al momento de emitir la decisión este Tribunal no había sido informado sobre lo ocurrido en 1995</w:t>
      </w:r>
      <w:r>
        <w:rPr>
          <w:rStyle w:val="FootnoteReference"/>
          <w:rFonts w:ascii="Verdana" w:hAnsi="Verdana"/>
          <w:sz w:val="20"/>
          <w:szCs w:val="20"/>
          <w:lang w:val="es-CR"/>
        </w:rPr>
        <w:footnoteReference w:id="154"/>
      </w:r>
      <w:r w:rsidRPr="007061BA">
        <w:rPr>
          <w:rFonts w:ascii="Verdana" w:hAnsi="Verdana"/>
          <w:sz w:val="20"/>
          <w:szCs w:val="20"/>
          <w:lang w:val="es-CR"/>
        </w:rPr>
        <w:t xml:space="preserve">. </w:t>
      </w:r>
    </w:p>
    <w:p w14:paraId="1397FEB2" w14:textId="77777777" w:rsidR="007061BA" w:rsidRPr="007061BA" w:rsidRDefault="007061BA" w:rsidP="007061BA">
      <w:pPr>
        <w:pStyle w:val="ListParagraph"/>
        <w:rPr>
          <w:rFonts w:ascii="Verdana" w:hAnsi="Verdana"/>
          <w:sz w:val="20"/>
          <w:szCs w:val="20"/>
          <w:lang w:val="es-CR"/>
        </w:rPr>
      </w:pPr>
    </w:p>
    <w:p w14:paraId="6A1EF8C2" w14:textId="77450529" w:rsidR="007061BA" w:rsidRDefault="007061BA" w:rsidP="007061BA">
      <w:pPr>
        <w:pStyle w:val="ListParagraph"/>
        <w:numPr>
          <w:ilvl w:val="0"/>
          <w:numId w:val="2"/>
        </w:numPr>
        <w:tabs>
          <w:tab w:val="left" w:pos="720"/>
        </w:tabs>
        <w:spacing w:after="0" w:line="240" w:lineRule="auto"/>
        <w:ind w:left="0" w:right="1444" w:firstLine="0"/>
        <w:jc w:val="both"/>
        <w:rPr>
          <w:rFonts w:ascii="Verdana" w:hAnsi="Verdana"/>
          <w:sz w:val="20"/>
          <w:szCs w:val="20"/>
          <w:lang w:val="es-CR"/>
        </w:rPr>
      </w:pPr>
      <w:r w:rsidRPr="007061BA">
        <w:rPr>
          <w:rFonts w:ascii="Verdana" w:hAnsi="Verdana"/>
          <w:sz w:val="20"/>
          <w:szCs w:val="20"/>
          <w:lang w:val="es-CR"/>
        </w:rPr>
        <w:t xml:space="preserve">En la Resolución del caso </w:t>
      </w:r>
      <w:r w:rsidRPr="007061BA">
        <w:rPr>
          <w:rFonts w:ascii="Verdana" w:hAnsi="Verdana"/>
          <w:i/>
          <w:sz w:val="20"/>
          <w:szCs w:val="20"/>
          <w:lang w:val="es-CR"/>
        </w:rPr>
        <w:t>Bámaca Velásquez</w:t>
      </w:r>
      <w:r w:rsidRPr="007061BA">
        <w:rPr>
          <w:rFonts w:ascii="Verdana" w:hAnsi="Verdana"/>
          <w:sz w:val="20"/>
          <w:szCs w:val="20"/>
          <w:lang w:val="es-CR"/>
        </w:rPr>
        <w:t xml:space="preserve"> de noviembre de 2010, el Tribunal se pronunció sobre la decisión de la Corte de Constitucionalidad de agosto de 2010</w:t>
      </w:r>
      <w:r>
        <w:rPr>
          <w:rStyle w:val="FootnoteReference"/>
          <w:rFonts w:ascii="Verdana" w:hAnsi="Verdana"/>
          <w:sz w:val="20"/>
          <w:szCs w:val="20"/>
          <w:lang w:val="es-CR"/>
        </w:rPr>
        <w:footnoteReference w:id="155"/>
      </w:r>
      <w:r w:rsidRPr="007061BA">
        <w:rPr>
          <w:rFonts w:ascii="Verdana" w:hAnsi="Verdana"/>
          <w:sz w:val="20"/>
          <w:szCs w:val="20"/>
          <w:lang w:val="es-CR"/>
        </w:rPr>
        <w:t xml:space="preserve"> indicando que ésta generó […] que [se] cerrara la investigación” “frenando los avances iniciales en el cumplimiento del deber de investigar”, teniendo como consecuencia “la impunidad en un caso de grave violación de los derechos humanos”. Al respecto, esta Corte dispuso que “con base en la obligación de investigar derivada de las Sentencias emitidas por [esta] Corte, no puede tener efecto el sobreseimiento ocurrido con anterioridad a las Sentencias y Resoluciones emitidas por la Corte, las cuales constituyen la fuente para que el Poder Judicial ejerza un ‘control de convencionalidad’ respectivo entre ‘las normas jurídicas internas que aplican en los casos concretos y la Convención Americana sobre Derechos Humanos’”. Además, estableció que “al sobreseimiento ocurrido en el presente caso [en marzo de 1995] aplica lo que la Corte ha dicho respecto a los diversos excluyentes de responsabilidad y demás institutos jurídicos que impedirían proseguir con la investigación”. La Corte concluyó indicando que “[e]n este tipo de casos la prevalencia de un sobreseimiento por encima de los derechos de las víctimas genera que el proceso continúe con manifiestas violaciones  del acceso a la justicia, proyectando la impunidad en el tiempo y haciendo ilusorio lo ordenado por esta Corte”</w:t>
      </w:r>
      <w:r w:rsidR="0074584E">
        <w:rPr>
          <w:rFonts w:ascii="Verdana" w:hAnsi="Verdana"/>
          <w:sz w:val="20"/>
          <w:szCs w:val="20"/>
          <w:lang w:val="es-CR"/>
        </w:rPr>
        <w:t xml:space="preserve"> (</w:t>
      </w:r>
      <w:r w:rsidR="0074584E" w:rsidRPr="0074584E">
        <w:rPr>
          <w:rFonts w:ascii="Verdana" w:hAnsi="Verdana"/>
          <w:i/>
          <w:sz w:val="20"/>
          <w:szCs w:val="20"/>
          <w:lang w:val="es-CR"/>
        </w:rPr>
        <w:t>supra</w:t>
      </w:r>
      <w:r w:rsidR="0074584E">
        <w:rPr>
          <w:rFonts w:ascii="Verdana" w:hAnsi="Verdana"/>
          <w:sz w:val="20"/>
          <w:szCs w:val="20"/>
          <w:lang w:val="es-CR"/>
        </w:rPr>
        <w:t xml:space="preserve"> Considerando 65)</w:t>
      </w:r>
      <w:r w:rsidRPr="007061BA">
        <w:rPr>
          <w:rFonts w:ascii="Verdana" w:hAnsi="Verdana"/>
          <w:sz w:val="20"/>
          <w:szCs w:val="20"/>
          <w:lang w:val="es-CR"/>
        </w:rPr>
        <w:t>. Por ello, dispuso que el Estado debía “adecuar las decisiones judiciales pertinentes, de tal forma que el Estado continúe con la investigación y no puedan oponerse excluyentes de responsabilidad que impidan dicha investigación y la eventual sanción de los responsables.</w:t>
      </w:r>
    </w:p>
    <w:p w14:paraId="6EE04E40" w14:textId="77777777" w:rsidR="007061BA" w:rsidRDefault="007061BA" w:rsidP="007061BA">
      <w:pPr>
        <w:pStyle w:val="ListParagraph"/>
        <w:tabs>
          <w:tab w:val="left" w:pos="720"/>
        </w:tabs>
        <w:spacing w:after="0" w:line="240" w:lineRule="auto"/>
        <w:ind w:left="0" w:right="1444"/>
        <w:jc w:val="both"/>
        <w:rPr>
          <w:rFonts w:ascii="Verdana" w:hAnsi="Verdana"/>
          <w:sz w:val="20"/>
          <w:szCs w:val="20"/>
          <w:lang w:val="es-CR"/>
        </w:rPr>
      </w:pPr>
    </w:p>
    <w:p w14:paraId="03714162" w14:textId="77777777" w:rsidR="007061BA" w:rsidRDefault="007061BA" w:rsidP="007061BA">
      <w:pPr>
        <w:pStyle w:val="ListParagraph"/>
        <w:numPr>
          <w:ilvl w:val="0"/>
          <w:numId w:val="2"/>
        </w:numPr>
        <w:tabs>
          <w:tab w:val="left" w:pos="720"/>
        </w:tabs>
        <w:spacing w:after="0" w:line="240" w:lineRule="auto"/>
        <w:ind w:left="0" w:right="1444" w:firstLine="0"/>
        <w:jc w:val="both"/>
        <w:rPr>
          <w:rFonts w:ascii="Verdana" w:hAnsi="Verdana"/>
          <w:sz w:val="20"/>
          <w:szCs w:val="20"/>
          <w:lang w:val="es-CR"/>
        </w:rPr>
      </w:pPr>
      <w:r w:rsidRPr="007061BA">
        <w:rPr>
          <w:rFonts w:ascii="Verdana" w:hAnsi="Verdana"/>
          <w:sz w:val="20"/>
          <w:szCs w:val="20"/>
          <w:lang w:val="es-CR"/>
        </w:rPr>
        <w:t xml:space="preserve">A pesar de dichas consideraciones, la Corte de Constitucionalidad, en franco desconocimiento de dicha Resolución de noviembre de 2010, adoptó en enero de 2011 una decisión en el mismo sentido de aquella emitida en agosto de 2010, lo cual provocó nuevamente la “paralización” de la investigación de los hechos del presente </w:t>
      </w:r>
      <w:r w:rsidRPr="005E018A">
        <w:rPr>
          <w:rFonts w:ascii="Verdana" w:hAnsi="Verdana"/>
          <w:sz w:val="20"/>
          <w:szCs w:val="20"/>
          <w:lang w:val="es-CR"/>
        </w:rPr>
        <w:t>caso (</w:t>
      </w:r>
      <w:r w:rsidRPr="005E018A">
        <w:rPr>
          <w:rFonts w:ascii="Verdana" w:hAnsi="Verdana"/>
          <w:i/>
          <w:sz w:val="20"/>
          <w:szCs w:val="20"/>
          <w:lang w:val="es-CR"/>
        </w:rPr>
        <w:t xml:space="preserve">supra </w:t>
      </w:r>
      <w:r w:rsidRPr="005E018A">
        <w:rPr>
          <w:rFonts w:ascii="Verdana" w:hAnsi="Verdana"/>
          <w:sz w:val="20"/>
          <w:szCs w:val="20"/>
          <w:lang w:val="es-CR"/>
        </w:rPr>
        <w:t xml:space="preserve">Considerando 68). La Corte recuerda que, </w:t>
      </w:r>
      <w:r w:rsidRPr="005E018A">
        <w:rPr>
          <w:rFonts w:ascii="Verdana" w:hAnsi="Verdana" w:cs="Times-Roman"/>
          <w:sz w:val="20"/>
          <w:szCs w:val="32"/>
          <w:lang w:val="es-CR" w:bidi="en-US"/>
        </w:rPr>
        <w:t>Guatemala no puede oponer decisiones adoptadas a nivel interno como justificación de su incumplimiento de la sentencia</w:t>
      </w:r>
      <w:r w:rsidRPr="007061BA">
        <w:rPr>
          <w:rFonts w:ascii="Verdana" w:hAnsi="Verdana" w:cs="Times-Roman"/>
          <w:sz w:val="20"/>
          <w:szCs w:val="32"/>
          <w:lang w:val="es-CR" w:bidi="en-US"/>
        </w:rPr>
        <w:t xml:space="preserve"> emitida por este tribunal internacional de derechos humanos, ni siquiera cuando tales decisiones provengan del tribunal de más alta jerarquía en el ordenamiento jurídico nacional</w:t>
      </w:r>
      <w:r>
        <w:rPr>
          <w:rStyle w:val="FootnoteReference"/>
          <w:rFonts w:ascii="Verdana" w:hAnsi="Verdana" w:cs="Times-Roman"/>
          <w:sz w:val="20"/>
          <w:szCs w:val="32"/>
          <w:lang w:bidi="en-US"/>
        </w:rPr>
        <w:footnoteReference w:id="156"/>
      </w:r>
      <w:r w:rsidRPr="007061BA">
        <w:rPr>
          <w:rFonts w:ascii="Verdana" w:hAnsi="Verdana" w:cs="Times-Roman"/>
          <w:sz w:val="20"/>
          <w:szCs w:val="32"/>
          <w:lang w:val="es-CR" w:bidi="en-US"/>
        </w:rPr>
        <w:t xml:space="preserve">. </w:t>
      </w:r>
    </w:p>
    <w:p w14:paraId="52E324DA" w14:textId="727DA826" w:rsidR="007061BA" w:rsidRPr="007061BA" w:rsidRDefault="00137AA0" w:rsidP="00465918">
      <w:pPr>
        <w:pStyle w:val="ListParagraph"/>
        <w:tabs>
          <w:tab w:val="left" w:pos="4583"/>
        </w:tabs>
        <w:rPr>
          <w:rFonts w:ascii="Verdana" w:hAnsi="Verdana"/>
          <w:sz w:val="20"/>
          <w:lang w:val="es-CR"/>
        </w:rPr>
      </w:pPr>
      <w:r>
        <w:rPr>
          <w:rFonts w:ascii="Verdana" w:hAnsi="Verdana"/>
          <w:sz w:val="20"/>
          <w:lang w:val="es-CR"/>
        </w:rPr>
        <w:tab/>
      </w:r>
    </w:p>
    <w:p w14:paraId="58F64A51" w14:textId="7A35A582" w:rsidR="007061BA" w:rsidRPr="005E018A" w:rsidRDefault="007061BA" w:rsidP="007061BA">
      <w:pPr>
        <w:pStyle w:val="ListParagraph"/>
        <w:numPr>
          <w:ilvl w:val="0"/>
          <w:numId w:val="2"/>
        </w:numPr>
        <w:tabs>
          <w:tab w:val="left" w:pos="720"/>
        </w:tabs>
        <w:spacing w:after="0" w:line="240" w:lineRule="auto"/>
        <w:ind w:left="0" w:right="1444" w:firstLine="0"/>
        <w:jc w:val="both"/>
        <w:rPr>
          <w:rFonts w:ascii="Verdana" w:hAnsi="Verdana"/>
          <w:sz w:val="20"/>
          <w:szCs w:val="20"/>
          <w:lang w:val="es-CR"/>
        </w:rPr>
      </w:pPr>
      <w:r w:rsidRPr="007061BA">
        <w:rPr>
          <w:rFonts w:ascii="Verdana" w:hAnsi="Verdana"/>
          <w:sz w:val="20"/>
          <w:lang w:val="es-CR"/>
        </w:rPr>
        <w:lastRenderedPageBreak/>
        <w:t>En cuanto a la investigación de los</w:t>
      </w:r>
      <w:r w:rsidRPr="007061BA">
        <w:rPr>
          <w:rFonts w:ascii="Verdana" w:hAnsi="Verdana"/>
          <w:i/>
          <w:sz w:val="20"/>
          <w:lang w:val="es-CR"/>
        </w:rPr>
        <w:t xml:space="preserve"> </w:t>
      </w:r>
      <w:r w:rsidRPr="007061BA">
        <w:rPr>
          <w:rFonts w:ascii="Verdana" w:hAnsi="Verdana"/>
          <w:sz w:val="20"/>
          <w:szCs w:val="20"/>
          <w:lang w:val="es-CR"/>
        </w:rPr>
        <w:t xml:space="preserve">casos </w:t>
      </w:r>
      <w:r w:rsidRPr="007061BA">
        <w:rPr>
          <w:rFonts w:ascii="Verdana" w:hAnsi="Verdana"/>
          <w:i/>
          <w:sz w:val="20"/>
          <w:szCs w:val="20"/>
          <w:lang w:val="es-CR"/>
        </w:rPr>
        <w:t xml:space="preserve">Masacre Plan de </w:t>
      </w:r>
      <w:r w:rsidRPr="005E018A">
        <w:rPr>
          <w:rFonts w:ascii="Verdana" w:hAnsi="Verdana"/>
          <w:i/>
          <w:sz w:val="20"/>
          <w:szCs w:val="20"/>
          <w:lang w:val="es-CR"/>
        </w:rPr>
        <w:t>Sánchez</w:t>
      </w:r>
      <w:r w:rsidRPr="005E018A">
        <w:rPr>
          <w:rFonts w:ascii="Verdana" w:hAnsi="Verdana"/>
          <w:sz w:val="20"/>
          <w:szCs w:val="20"/>
          <w:lang w:val="es-CR"/>
        </w:rPr>
        <w:t xml:space="preserve"> </w:t>
      </w:r>
      <w:r w:rsidRPr="005E018A">
        <w:rPr>
          <w:rFonts w:ascii="Verdana" w:hAnsi="Verdana"/>
          <w:i/>
          <w:sz w:val="20"/>
          <w:szCs w:val="20"/>
          <w:lang w:val="es-CR"/>
        </w:rPr>
        <w:t xml:space="preserve">(supra </w:t>
      </w:r>
      <w:r w:rsidR="005E018A" w:rsidRPr="005E018A">
        <w:rPr>
          <w:rFonts w:ascii="Verdana" w:hAnsi="Verdana"/>
          <w:sz w:val="20"/>
          <w:szCs w:val="20"/>
          <w:lang w:val="es-CR"/>
        </w:rPr>
        <w:t>Considerando 92</w:t>
      </w:r>
      <w:r w:rsidRPr="005E018A">
        <w:rPr>
          <w:rFonts w:ascii="Verdana" w:hAnsi="Verdana"/>
          <w:sz w:val="20"/>
          <w:szCs w:val="20"/>
          <w:lang w:val="es-CR"/>
        </w:rPr>
        <w:t xml:space="preserve">), y </w:t>
      </w:r>
      <w:r w:rsidRPr="005E018A">
        <w:rPr>
          <w:rFonts w:ascii="Verdana" w:hAnsi="Verdana"/>
          <w:i/>
          <w:sz w:val="20"/>
          <w:szCs w:val="20"/>
          <w:lang w:val="es-CR"/>
        </w:rPr>
        <w:t xml:space="preserve">Masacre de las Dos Erres (supra </w:t>
      </w:r>
      <w:r w:rsidR="005E018A" w:rsidRPr="005E018A">
        <w:rPr>
          <w:rFonts w:ascii="Verdana" w:hAnsi="Verdana"/>
          <w:sz w:val="20"/>
          <w:szCs w:val="20"/>
          <w:lang w:val="es-CR"/>
        </w:rPr>
        <w:t>Considerando 111</w:t>
      </w:r>
      <w:r w:rsidRPr="005E018A">
        <w:rPr>
          <w:rFonts w:ascii="Verdana" w:hAnsi="Verdana"/>
          <w:sz w:val="20"/>
          <w:szCs w:val="20"/>
          <w:lang w:val="es-CR"/>
        </w:rPr>
        <w:t>), la Co</w:t>
      </w:r>
      <w:r w:rsidR="005E018A" w:rsidRPr="005E018A">
        <w:rPr>
          <w:rFonts w:ascii="Verdana" w:hAnsi="Verdana"/>
          <w:sz w:val="20"/>
          <w:szCs w:val="20"/>
          <w:lang w:val="es-CR"/>
        </w:rPr>
        <w:t>rte constató que se han interpuesto</w:t>
      </w:r>
      <w:r w:rsidRPr="005E018A">
        <w:rPr>
          <w:rFonts w:ascii="Verdana" w:hAnsi="Verdana"/>
          <w:sz w:val="20"/>
          <w:szCs w:val="20"/>
          <w:lang w:val="es-CR"/>
        </w:rPr>
        <w:t xml:space="preserve"> recursos por parte de los imputados (o sus defensores) para aplicar amnistías contenidas en la Ley de Reconciliación Nacional. Además, en el caso </w:t>
      </w:r>
      <w:r w:rsidRPr="005E018A">
        <w:rPr>
          <w:rFonts w:ascii="Verdana" w:hAnsi="Verdana"/>
          <w:i/>
          <w:sz w:val="20"/>
          <w:szCs w:val="20"/>
          <w:lang w:val="es-CR"/>
        </w:rPr>
        <w:t>Chitay Nech y otros</w:t>
      </w:r>
      <w:r w:rsidRPr="005E018A">
        <w:rPr>
          <w:rFonts w:ascii="Verdana" w:hAnsi="Verdana"/>
          <w:sz w:val="20"/>
          <w:szCs w:val="20"/>
          <w:lang w:val="es-CR"/>
        </w:rPr>
        <w:t xml:space="preserve"> el Estado había informado durante la supervisión de cumplimiento que </w:t>
      </w:r>
      <w:r w:rsidRPr="005E018A">
        <w:rPr>
          <w:rFonts w:ascii="Verdana" w:hAnsi="Verdana" w:cs="Verdana"/>
          <w:sz w:val="20"/>
          <w:szCs w:val="20"/>
          <w:lang w:val="es-ES"/>
        </w:rPr>
        <w:t>existían algunos procesos pendientes relacionados con la aplicación de dicha ley como forma de amnistía en ese caso (</w:t>
      </w:r>
      <w:r w:rsidRPr="005E018A">
        <w:rPr>
          <w:rFonts w:ascii="Verdana" w:hAnsi="Verdana" w:cs="Verdana"/>
          <w:i/>
          <w:sz w:val="20"/>
          <w:szCs w:val="20"/>
          <w:lang w:val="es-ES"/>
        </w:rPr>
        <w:t>supra</w:t>
      </w:r>
      <w:r w:rsidR="005E018A" w:rsidRPr="005E018A">
        <w:rPr>
          <w:rFonts w:ascii="Verdana" w:hAnsi="Verdana" w:cs="Verdana"/>
          <w:sz w:val="20"/>
          <w:szCs w:val="20"/>
          <w:lang w:val="es-ES"/>
        </w:rPr>
        <w:t xml:space="preserve"> Considerando 119</w:t>
      </w:r>
      <w:r w:rsidRPr="005E018A">
        <w:rPr>
          <w:rFonts w:ascii="Verdana" w:hAnsi="Verdana" w:cs="Verdana"/>
          <w:sz w:val="20"/>
          <w:szCs w:val="20"/>
          <w:lang w:val="es-ES"/>
        </w:rPr>
        <w:t xml:space="preserve">). Adicionalmente, el </w:t>
      </w:r>
      <w:r w:rsidRPr="005E018A">
        <w:rPr>
          <w:rFonts w:ascii="Verdana" w:hAnsi="Verdana"/>
          <w:sz w:val="20"/>
          <w:szCs w:val="20"/>
          <w:lang w:val="es-CR"/>
        </w:rPr>
        <w:t xml:space="preserve">acuerdo legislativo “punto resolutivo No. 3-2014” prevé que el Estado está sujeto al cumplimiento de las normas de la mencionada ley </w:t>
      </w:r>
      <w:r w:rsidR="005E018A" w:rsidRPr="005E018A">
        <w:rPr>
          <w:rFonts w:ascii="Verdana" w:hAnsi="Verdana"/>
          <w:sz w:val="20"/>
          <w:szCs w:val="20"/>
          <w:lang w:val="es-CR"/>
        </w:rPr>
        <w:t xml:space="preserve">por sobre cualquier tratado </w:t>
      </w:r>
      <w:r w:rsidRPr="005E018A">
        <w:rPr>
          <w:rFonts w:ascii="Verdana" w:hAnsi="Verdana"/>
          <w:sz w:val="20"/>
          <w:szCs w:val="20"/>
          <w:lang w:val="es-CR"/>
        </w:rPr>
        <w:t>(</w:t>
      </w:r>
      <w:r w:rsidRPr="005E018A">
        <w:rPr>
          <w:rFonts w:ascii="Verdana" w:hAnsi="Verdana"/>
          <w:i/>
          <w:sz w:val="20"/>
          <w:szCs w:val="20"/>
          <w:lang w:val="es-CR"/>
        </w:rPr>
        <w:t xml:space="preserve">supra </w:t>
      </w:r>
      <w:r w:rsidR="005E018A" w:rsidRPr="005E018A">
        <w:rPr>
          <w:rFonts w:ascii="Verdana" w:hAnsi="Verdana"/>
          <w:sz w:val="20"/>
          <w:szCs w:val="20"/>
          <w:lang w:val="es-CR"/>
        </w:rPr>
        <w:t>Considerando 140</w:t>
      </w:r>
      <w:r w:rsidRPr="005E018A">
        <w:rPr>
          <w:rFonts w:ascii="Verdana" w:hAnsi="Verdana"/>
          <w:sz w:val="20"/>
          <w:szCs w:val="20"/>
          <w:lang w:val="es-CR"/>
        </w:rPr>
        <w:t>).</w:t>
      </w:r>
    </w:p>
    <w:p w14:paraId="0E47B388" w14:textId="77777777" w:rsidR="007061BA" w:rsidRPr="005E018A" w:rsidRDefault="007061BA" w:rsidP="007061BA">
      <w:pPr>
        <w:pStyle w:val="ListParagraph"/>
        <w:rPr>
          <w:rFonts w:ascii="Verdana" w:hAnsi="Verdana"/>
          <w:sz w:val="20"/>
          <w:szCs w:val="20"/>
          <w:lang w:val="es-CR"/>
        </w:rPr>
      </w:pPr>
    </w:p>
    <w:p w14:paraId="56F51A35" w14:textId="1B27C600" w:rsidR="007061BA" w:rsidRDefault="007061BA" w:rsidP="007061BA">
      <w:pPr>
        <w:pStyle w:val="ListParagraph"/>
        <w:numPr>
          <w:ilvl w:val="0"/>
          <w:numId w:val="2"/>
        </w:numPr>
        <w:tabs>
          <w:tab w:val="left" w:pos="720"/>
        </w:tabs>
        <w:spacing w:after="0" w:line="240" w:lineRule="auto"/>
        <w:ind w:left="0" w:right="1444" w:firstLine="0"/>
        <w:jc w:val="both"/>
        <w:rPr>
          <w:rFonts w:ascii="Verdana" w:hAnsi="Verdana"/>
          <w:sz w:val="20"/>
          <w:szCs w:val="20"/>
          <w:lang w:val="es-CR"/>
        </w:rPr>
      </w:pPr>
      <w:r w:rsidRPr="005E018A">
        <w:rPr>
          <w:rFonts w:ascii="Verdana" w:hAnsi="Verdana"/>
          <w:sz w:val="20"/>
          <w:szCs w:val="20"/>
          <w:lang w:val="es-CR"/>
        </w:rPr>
        <w:t>Al respecto, la Corte estima pertinente recordar la incompatibilidad con la Convención de aplicar de leyes de amnistía como eximentes de responsabilidad penal en casos de graves violaciones de derechos humanos (</w:t>
      </w:r>
      <w:r w:rsidRPr="005E018A">
        <w:rPr>
          <w:rFonts w:ascii="Verdana" w:hAnsi="Verdana"/>
          <w:i/>
          <w:sz w:val="20"/>
          <w:szCs w:val="20"/>
          <w:lang w:val="es-CR"/>
        </w:rPr>
        <w:t xml:space="preserve">supra </w:t>
      </w:r>
      <w:r w:rsidR="005E018A" w:rsidRPr="005E018A">
        <w:rPr>
          <w:rFonts w:ascii="Verdana" w:hAnsi="Verdana"/>
          <w:sz w:val="20"/>
          <w:szCs w:val="20"/>
          <w:lang w:val="es-CR"/>
        </w:rPr>
        <w:t>Considerando 40.b y 139</w:t>
      </w:r>
      <w:r w:rsidRPr="005E018A">
        <w:rPr>
          <w:rFonts w:ascii="Verdana" w:hAnsi="Verdana"/>
          <w:sz w:val="20"/>
          <w:szCs w:val="20"/>
          <w:lang w:val="es-CR"/>
        </w:rPr>
        <w:t>).</w:t>
      </w:r>
      <w:r w:rsidRPr="007061BA">
        <w:rPr>
          <w:rFonts w:ascii="Verdana" w:hAnsi="Verdana"/>
          <w:sz w:val="20"/>
          <w:szCs w:val="20"/>
          <w:lang w:val="es-CR"/>
        </w:rPr>
        <w:t xml:space="preserve"> </w:t>
      </w:r>
      <w:r w:rsidR="001A3F73">
        <w:rPr>
          <w:rFonts w:ascii="Verdana" w:hAnsi="Verdana"/>
          <w:sz w:val="20"/>
          <w:szCs w:val="20"/>
          <w:lang w:val="es-CR"/>
        </w:rPr>
        <w:t xml:space="preserve">La Corte </w:t>
      </w:r>
      <w:r w:rsidR="001B25DC">
        <w:rPr>
          <w:rFonts w:ascii="Verdana" w:hAnsi="Verdana"/>
          <w:sz w:val="20"/>
          <w:szCs w:val="20"/>
          <w:lang w:val="es-CR"/>
        </w:rPr>
        <w:t>reitera lo que ha destacado en otras oportunidades (</w:t>
      </w:r>
      <w:r w:rsidR="001B25DC" w:rsidRPr="001B25DC">
        <w:rPr>
          <w:rFonts w:ascii="Verdana" w:hAnsi="Verdana"/>
          <w:i/>
          <w:sz w:val="20"/>
          <w:szCs w:val="20"/>
          <w:lang w:val="es-CR"/>
        </w:rPr>
        <w:t>infra</w:t>
      </w:r>
      <w:r w:rsidR="001B25DC">
        <w:rPr>
          <w:rFonts w:ascii="Verdana" w:hAnsi="Verdana"/>
          <w:sz w:val="20"/>
          <w:szCs w:val="20"/>
          <w:lang w:val="es-CR"/>
        </w:rPr>
        <w:t xml:space="preserve"> Considerando 146) respecto a</w:t>
      </w:r>
      <w:r w:rsidR="001A3F73">
        <w:rPr>
          <w:rFonts w:ascii="Verdana" w:hAnsi="Verdana"/>
          <w:sz w:val="20"/>
          <w:szCs w:val="20"/>
          <w:lang w:val="es-CR"/>
        </w:rPr>
        <w:t xml:space="preserve"> que </w:t>
      </w:r>
      <w:r w:rsidRPr="007061BA">
        <w:rPr>
          <w:rFonts w:ascii="Verdana" w:hAnsi="Verdana"/>
          <w:sz w:val="20"/>
          <w:szCs w:val="20"/>
          <w:lang w:val="es-CR"/>
        </w:rPr>
        <w:t>la propia Ley de Reconciliación Nacional, en su artículo 8, establece que “[l]a extinción de la responsabilidad penal a que se refiere esta ley, no será aplicable a los delitos de genocidio, tortura y desaparición forzada, así como aquellos delitos que sean imprescriptibles o que no admitan extinción de responsabilidad penal de conformidad con el derecho interno y los tratados internacionales ratificados por Guatemala”.</w:t>
      </w:r>
    </w:p>
    <w:p w14:paraId="2A82DAF3" w14:textId="77777777" w:rsidR="007061BA" w:rsidRPr="007061BA" w:rsidRDefault="007061BA" w:rsidP="007061BA">
      <w:pPr>
        <w:pStyle w:val="ListParagraph"/>
        <w:rPr>
          <w:rFonts w:ascii="Verdana" w:hAnsi="Verdana"/>
          <w:sz w:val="20"/>
          <w:lang w:val="es-CR"/>
        </w:rPr>
      </w:pPr>
    </w:p>
    <w:p w14:paraId="0C4056AF" w14:textId="721EDF8D" w:rsidR="007061BA" w:rsidRPr="00E27713" w:rsidRDefault="007061BA" w:rsidP="00E27713">
      <w:pPr>
        <w:pStyle w:val="ListParagraph"/>
        <w:numPr>
          <w:ilvl w:val="0"/>
          <w:numId w:val="2"/>
        </w:numPr>
        <w:tabs>
          <w:tab w:val="left" w:pos="720"/>
        </w:tabs>
        <w:spacing w:after="0" w:line="240" w:lineRule="auto"/>
        <w:ind w:left="0" w:right="1444" w:firstLine="0"/>
        <w:jc w:val="both"/>
        <w:rPr>
          <w:rFonts w:ascii="Verdana" w:hAnsi="Verdana"/>
          <w:sz w:val="20"/>
          <w:szCs w:val="20"/>
          <w:lang w:val="es-CR"/>
        </w:rPr>
      </w:pPr>
      <w:r w:rsidRPr="007061BA">
        <w:rPr>
          <w:rFonts w:ascii="Verdana" w:hAnsi="Verdana"/>
          <w:sz w:val="20"/>
          <w:lang w:val="es-CR"/>
        </w:rPr>
        <w:t xml:space="preserve">Asimismo, en los casos </w:t>
      </w:r>
      <w:r w:rsidRPr="007061BA">
        <w:rPr>
          <w:rFonts w:ascii="Verdana" w:hAnsi="Verdana"/>
          <w:i/>
          <w:sz w:val="20"/>
          <w:lang w:val="es-CR"/>
        </w:rPr>
        <w:t>Masacre de las Dos Erres</w:t>
      </w:r>
      <w:r>
        <w:rPr>
          <w:rStyle w:val="FootnoteReference"/>
          <w:rFonts w:ascii="Verdana" w:hAnsi="Verdana"/>
          <w:i/>
          <w:sz w:val="20"/>
          <w:lang w:val="es-CR"/>
        </w:rPr>
        <w:footnoteReference w:id="157"/>
      </w:r>
      <w:r w:rsidRPr="007061BA">
        <w:rPr>
          <w:rFonts w:ascii="Verdana" w:hAnsi="Verdana"/>
          <w:i/>
          <w:sz w:val="20"/>
          <w:lang w:val="es-CR"/>
        </w:rPr>
        <w:t xml:space="preserve"> </w:t>
      </w:r>
      <w:r w:rsidRPr="007061BA">
        <w:rPr>
          <w:rFonts w:ascii="Verdana" w:hAnsi="Verdana"/>
          <w:sz w:val="20"/>
          <w:lang w:val="es-CR"/>
        </w:rPr>
        <w:t xml:space="preserve">y </w:t>
      </w:r>
      <w:r w:rsidRPr="007061BA">
        <w:rPr>
          <w:rFonts w:ascii="Verdana" w:hAnsi="Verdana"/>
          <w:i/>
          <w:sz w:val="20"/>
          <w:lang w:val="es-CR"/>
        </w:rPr>
        <w:t>Chitay Nech</w:t>
      </w:r>
      <w:r>
        <w:rPr>
          <w:rStyle w:val="FootnoteReference"/>
          <w:rFonts w:ascii="Verdana" w:hAnsi="Verdana"/>
          <w:i/>
          <w:sz w:val="20"/>
          <w:lang w:val="es-CR"/>
        </w:rPr>
        <w:footnoteReference w:id="158"/>
      </w:r>
      <w:r w:rsidRPr="007061BA">
        <w:rPr>
          <w:rFonts w:ascii="Verdana" w:hAnsi="Verdana"/>
          <w:sz w:val="20"/>
          <w:lang w:val="es-CR"/>
        </w:rPr>
        <w:t xml:space="preserve">, la Corte emitió consideraciones específicas en lo que respecta a una eventual aplicación de la Ley de Reconciliación Nacional de Guatemala. En la Sentencia del caso de la </w:t>
      </w:r>
      <w:r w:rsidRPr="007061BA">
        <w:rPr>
          <w:rFonts w:ascii="Verdana" w:hAnsi="Verdana"/>
          <w:i/>
          <w:sz w:val="20"/>
          <w:lang w:val="es-CR"/>
        </w:rPr>
        <w:t>Masacre de las Dos Erres</w:t>
      </w:r>
      <w:r w:rsidRPr="007061BA">
        <w:rPr>
          <w:rFonts w:ascii="Verdana" w:hAnsi="Verdana"/>
          <w:sz w:val="20"/>
          <w:lang w:val="es-CR"/>
        </w:rPr>
        <w:t xml:space="preserve"> indicó que</w:t>
      </w:r>
      <w:r w:rsidRPr="007061BA">
        <w:rPr>
          <w:rFonts w:ascii="Verdana" w:hAnsi="Verdana"/>
          <w:i/>
          <w:sz w:val="20"/>
          <w:lang w:val="es-CR"/>
        </w:rPr>
        <w:t xml:space="preserve"> “</w:t>
      </w:r>
      <w:r w:rsidRPr="007061BA">
        <w:rPr>
          <w:rFonts w:ascii="Verdana" w:hAnsi="Verdana"/>
          <w:sz w:val="20"/>
          <w:lang w:val="es-CR"/>
        </w:rPr>
        <w:t>la eventual aplicación de las disposiciones de amnistía de la LRN en [el] caso [de la masacre de 251 habitantes del Parcelamiento de las Dos Erres] contravendría las obligaciones derivadas de la Convención Americana [y e]n razón de [ello] el Estado [tiene] el deber de continuar sin mayor dilación con el proceso penal”</w:t>
      </w:r>
      <w:r w:rsidRPr="000479FD">
        <w:rPr>
          <w:rStyle w:val="FootnoteReference"/>
          <w:rFonts w:ascii="Verdana" w:hAnsi="Verdana"/>
          <w:sz w:val="20"/>
          <w:lang w:val="es-CR"/>
        </w:rPr>
        <w:footnoteReference w:id="159"/>
      </w:r>
      <w:r w:rsidRPr="007061BA">
        <w:rPr>
          <w:rFonts w:ascii="Verdana" w:hAnsi="Verdana"/>
          <w:sz w:val="20"/>
          <w:lang w:val="es-CR"/>
        </w:rPr>
        <w:t xml:space="preserve">. </w:t>
      </w:r>
      <w:r w:rsidR="00E27713" w:rsidRPr="00E27713">
        <w:rPr>
          <w:rFonts w:ascii="Verdana" w:hAnsi="Verdana"/>
          <w:sz w:val="20"/>
          <w:szCs w:val="20"/>
          <w:lang w:val="es-CR"/>
        </w:rPr>
        <w:t>Asimismo, en el caso Chitay Nech y otros, recordó al Estado lo que establece el propio artículo 8 de la Ley de Reconciliación Nacional (</w:t>
      </w:r>
      <w:r w:rsidR="00E27713" w:rsidRPr="00E27713">
        <w:rPr>
          <w:rFonts w:ascii="Verdana" w:hAnsi="Verdana"/>
          <w:i/>
          <w:sz w:val="20"/>
          <w:szCs w:val="20"/>
          <w:lang w:val="es-CR"/>
        </w:rPr>
        <w:t>supra</w:t>
      </w:r>
      <w:r w:rsidR="00E27713" w:rsidRPr="00E27713">
        <w:rPr>
          <w:rFonts w:ascii="Verdana" w:hAnsi="Verdana"/>
          <w:sz w:val="20"/>
          <w:szCs w:val="20"/>
          <w:lang w:val="es-CR"/>
        </w:rPr>
        <w:t xml:space="preserve"> Considerando 145) y le indicó que</w:t>
      </w:r>
      <w:r w:rsidR="00E27713">
        <w:rPr>
          <w:rFonts w:ascii="Verdana" w:hAnsi="Verdana"/>
          <w:sz w:val="20"/>
          <w:szCs w:val="20"/>
          <w:lang w:val="es-CR"/>
        </w:rPr>
        <w:t>, “[e]n virtud de ello,</w:t>
      </w:r>
      <w:r w:rsidR="00E27713" w:rsidRPr="00E27713">
        <w:rPr>
          <w:rFonts w:ascii="Verdana" w:hAnsi="Verdana"/>
          <w:sz w:val="20"/>
          <w:szCs w:val="20"/>
          <w:lang w:val="es-CR"/>
        </w:rPr>
        <w:t xml:space="preserve"> </w:t>
      </w:r>
      <w:r w:rsidR="00E27713">
        <w:rPr>
          <w:rFonts w:ascii="Verdana" w:hAnsi="Verdana"/>
          <w:sz w:val="20"/>
          <w:szCs w:val="20"/>
          <w:lang w:val="es-CR"/>
        </w:rPr>
        <w:t xml:space="preserve">[… </w:t>
      </w:r>
      <w:r w:rsidR="00E27713" w:rsidRPr="00E27713">
        <w:rPr>
          <w:rFonts w:ascii="Verdana" w:hAnsi="Verdana"/>
          <w:sz w:val="20"/>
          <w:szCs w:val="20"/>
          <w:lang w:val="es-CR"/>
        </w:rPr>
        <w:t>dicha ley</w:t>
      </w:r>
      <w:r w:rsidR="00E27713">
        <w:rPr>
          <w:rFonts w:ascii="Verdana" w:hAnsi="Verdana"/>
          <w:sz w:val="20"/>
          <w:szCs w:val="20"/>
          <w:lang w:val="es-CR"/>
        </w:rPr>
        <w:t>]</w:t>
      </w:r>
      <w:r w:rsidR="00E27713" w:rsidRPr="00E27713">
        <w:rPr>
          <w:rFonts w:ascii="Verdana" w:hAnsi="Verdana"/>
          <w:sz w:val="20"/>
          <w:szCs w:val="20"/>
          <w:lang w:val="es-CR"/>
        </w:rPr>
        <w:t xml:space="preserve"> no puede convertirse en un impedimento u obstáculo para continuar con las investigaciones de la desaparición forzada del señor Chitay Nech”.</w:t>
      </w:r>
    </w:p>
    <w:p w14:paraId="5318EE25" w14:textId="77777777" w:rsidR="00E27713" w:rsidRPr="00E27713" w:rsidRDefault="00E27713" w:rsidP="00E27713">
      <w:pPr>
        <w:pStyle w:val="ListParagraph"/>
        <w:tabs>
          <w:tab w:val="left" w:pos="720"/>
        </w:tabs>
        <w:spacing w:after="0" w:line="240" w:lineRule="auto"/>
        <w:ind w:left="0" w:right="1444"/>
        <w:jc w:val="both"/>
        <w:rPr>
          <w:rFonts w:ascii="Verdana" w:hAnsi="Verdana"/>
          <w:sz w:val="20"/>
          <w:szCs w:val="20"/>
          <w:lang w:val="es-CR"/>
        </w:rPr>
      </w:pPr>
    </w:p>
    <w:p w14:paraId="0B56F883" w14:textId="29C2DF8B" w:rsidR="007061BA" w:rsidRDefault="00D20B61" w:rsidP="007061BA">
      <w:pPr>
        <w:pStyle w:val="ListParagraph"/>
        <w:numPr>
          <w:ilvl w:val="0"/>
          <w:numId w:val="2"/>
        </w:numPr>
        <w:tabs>
          <w:tab w:val="left" w:pos="720"/>
        </w:tabs>
        <w:spacing w:after="0" w:line="240" w:lineRule="auto"/>
        <w:ind w:left="0" w:right="1444" w:firstLine="0"/>
        <w:jc w:val="both"/>
        <w:rPr>
          <w:rFonts w:ascii="Verdana" w:hAnsi="Verdana"/>
          <w:sz w:val="20"/>
          <w:szCs w:val="20"/>
          <w:lang w:val="es-CR"/>
        </w:rPr>
      </w:pPr>
      <w:r>
        <w:rPr>
          <w:rFonts w:ascii="Verdana" w:hAnsi="Verdana"/>
          <w:sz w:val="20"/>
          <w:lang w:val="es-CR"/>
        </w:rPr>
        <w:t xml:space="preserve">El Tribunal </w:t>
      </w:r>
      <w:r w:rsidR="007061BA" w:rsidRPr="007061BA">
        <w:rPr>
          <w:rFonts w:ascii="Verdana" w:hAnsi="Verdana"/>
          <w:sz w:val="20"/>
          <w:lang w:val="es-CR"/>
        </w:rPr>
        <w:t xml:space="preserve">considera que la falta de claridad respecto de la interpretación de la Ley de Reconciliación Nacional ha favorecido la interposición de recursos judiciales en el marco de la investigación de estos casos, los cuales han tenido el efecto de dilatar el proceso, en detrimento del acceso a la justicia y favoreciendo que permanezca la impunidad. En ese sentido, el Tribunal estima pertinente reiterar que la Ley de Reconciliación Nacional no puede convertirse en un impedimento u obstáculo para continuar con la investigación de </w:t>
      </w:r>
      <w:r>
        <w:rPr>
          <w:rFonts w:ascii="Verdana" w:hAnsi="Verdana"/>
          <w:sz w:val="20"/>
          <w:lang w:val="es-CR"/>
        </w:rPr>
        <w:t xml:space="preserve">graves violaciones a los derechos humanos como las relativas a </w:t>
      </w:r>
      <w:r w:rsidR="00D338B1">
        <w:rPr>
          <w:rFonts w:ascii="Verdana" w:hAnsi="Verdana"/>
          <w:sz w:val="20"/>
          <w:lang w:val="es-CR"/>
        </w:rPr>
        <w:t xml:space="preserve">los </w:t>
      </w:r>
      <w:r w:rsidR="007061BA" w:rsidRPr="00D338B1">
        <w:rPr>
          <w:rFonts w:ascii="Verdana" w:hAnsi="Verdana"/>
          <w:sz w:val="20"/>
          <w:lang w:val="es-CR"/>
        </w:rPr>
        <w:t>casos</w:t>
      </w:r>
      <w:r w:rsidR="00D338B1">
        <w:rPr>
          <w:rFonts w:ascii="Verdana" w:hAnsi="Verdana"/>
          <w:sz w:val="20"/>
          <w:lang w:val="es-CR"/>
        </w:rPr>
        <w:t xml:space="preserve"> supervisados</w:t>
      </w:r>
      <w:r w:rsidR="007061BA">
        <w:rPr>
          <w:rStyle w:val="FootnoteReference"/>
          <w:rFonts w:ascii="Verdana" w:hAnsi="Verdana"/>
          <w:i/>
          <w:sz w:val="20"/>
          <w:lang w:val="es-CR"/>
        </w:rPr>
        <w:footnoteReference w:id="160"/>
      </w:r>
      <w:r w:rsidR="007061BA" w:rsidRPr="007061BA">
        <w:rPr>
          <w:rFonts w:ascii="Verdana" w:hAnsi="Verdana"/>
          <w:sz w:val="20"/>
          <w:lang w:val="es-CR"/>
        </w:rPr>
        <w:t xml:space="preserve">. </w:t>
      </w:r>
    </w:p>
    <w:p w14:paraId="68DDDF0D" w14:textId="77777777" w:rsidR="007061BA" w:rsidRPr="007061BA" w:rsidRDefault="007061BA" w:rsidP="007061BA">
      <w:pPr>
        <w:pStyle w:val="ListParagraph"/>
        <w:rPr>
          <w:rFonts w:ascii="Verdana" w:hAnsi="Verdana"/>
          <w:sz w:val="20"/>
          <w:lang w:val="es-CR"/>
        </w:rPr>
      </w:pPr>
    </w:p>
    <w:p w14:paraId="74C94AA1" w14:textId="7BD85DB2" w:rsidR="007061BA" w:rsidRPr="00D20B61" w:rsidRDefault="007061BA" w:rsidP="00D338B1">
      <w:pPr>
        <w:pStyle w:val="ListParagraph"/>
        <w:numPr>
          <w:ilvl w:val="0"/>
          <w:numId w:val="2"/>
        </w:numPr>
        <w:tabs>
          <w:tab w:val="left" w:pos="720"/>
        </w:tabs>
        <w:spacing w:after="0" w:line="240" w:lineRule="auto"/>
        <w:ind w:left="0" w:right="1444" w:firstLine="0"/>
        <w:jc w:val="both"/>
        <w:rPr>
          <w:rFonts w:ascii="Verdana" w:hAnsi="Verdana"/>
          <w:sz w:val="20"/>
          <w:szCs w:val="20"/>
          <w:lang w:val="es-CR"/>
        </w:rPr>
      </w:pPr>
      <w:r w:rsidRPr="00D20B61">
        <w:rPr>
          <w:rFonts w:ascii="Verdana" w:hAnsi="Verdana"/>
          <w:sz w:val="20"/>
          <w:lang w:val="es-CR"/>
        </w:rPr>
        <w:t xml:space="preserve">Finalmente, la Corte nota que en el caso </w:t>
      </w:r>
      <w:r w:rsidRPr="00D20B61">
        <w:rPr>
          <w:rFonts w:ascii="Verdana" w:hAnsi="Verdana"/>
          <w:i/>
          <w:sz w:val="20"/>
          <w:lang w:val="es-CR"/>
        </w:rPr>
        <w:t>Chitay Nech y otros</w:t>
      </w:r>
      <w:r w:rsidRPr="00D20B61">
        <w:rPr>
          <w:rFonts w:ascii="Verdana" w:hAnsi="Verdana"/>
          <w:sz w:val="20"/>
          <w:lang w:val="es-CR"/>
        </w:rPr>
        <w:t xml:space="preserve"> el Estado alegó durante la etapa de supervisión de cumplimiento que </w:t>
      </w:r>
      <w:r w:rsidR="00D338B1" w:rsidRPr="00D20B61">
        <w:rPr>
          <w:rFonts w:ascii="Verdana" w:hAnsi="Verdana"/>
          <w:sz w:val="20"/>
          <w:lang w:val="es-CR"/>
        </w:rPr>
        <w:t xml:space="preserve">en la investigación y juzgamiento de </w:t>
      </w:r>
      <w:r w:rsidRPr="00D20B61">
        <w:rPr>
          <w:rFonts w:ascii="Verdana" w:hAnsi="Verdana"/>
          <w:sz w:val="20"/>
          <w:lang w:val="es-CR"/>
        </w:rPr>
        <w:t xml:space="preserve">los hechos del caso no podía </w:t>
      </w:r>
      <w:r w:rsidR="00D338B1" w:rsidRPr="00D20B61">
        <w:rPr>
          <w:rFonts w:ascii="Verdana" w:hAnsi="Verdana"/>
          <w:sz w:val="20"/>
          <w:lang w:val="es-CR"/>
        </w:rPr>
        <w:t xml:space="preserve">aplicarse el tipo penal de </w:t>
      </w:r>
      <w:r w:rsidRPr="00D20B61">
        <w:rPr>
          <w:rFonts w:ascii="Verdana" w:hAnsi="Verdana"/>
          <w:sz w:val="20"/>
          <w:lang w:val="es-CR"/>
        </w:rPr>
        <w:t xml:space="preserve">desaparición forzada puesto que dicho delito no </w:t>
      </w:r>
      <w:r w:rsidRPr="00D20B61">
        <w:rPr>
          <w:rFonts w:ascii="Verdana" w:hAnsi="Verdana"/>
          <w:sz w:val="20"/>
          <w:lang w:val="es-CR"/>
        </w:rPr>
        <w:lastRenderedPageBreak/>
        <w:t>se encontraba tipificado en su legislación para el momento en que ocurrieron los hechos (</w:t>
      </w:r>
      <w:r w:rsidRPr="00D20B61">
        <w:rPr>
          <w:rFonts w:ascii="Verdana" w:hAnsi="Verdana"/>
          <w:i/>
          <w:sz w:val="20"/>
          <w:lang w:val="es-CR"/>
        </w:rPr>
        <w:t>supra</w:t>
      </w:r>
      <w:r w:rsidR="00D20B61" w:rsidRPr="00D20B61">
        <w:rPr>
          <w:rFonts w:ascii="Verdana" w:hAnsi="Verdana"/>
          <w:sz w:val="20"/>
          <w:lang w:val="es-CR"/>
        </w:rPr>
        <w:t xml:space="preserve"> Considerando 115</w:t>
      </w:r>
      <w:r w:rsidRPr="00D20B61">
        <w:rPr>
          <w:rFonts w:ascii="Verdana" w:hAnsi="Verdana"/>
          <w:sz w:val="20"/>
          <w:lang w:val="es-CR"/>
        </w:rPr>
        <w:t xml:space="preserve">). Además, este mismo argumento fue sostenido por el Estado durante la </w:t>
      </w:r>
      <w:r w:rsidR="0043575D" w:rsidRPr="00D20B61">
        <w:rPr>
          <w:rFonts w:ascii="Verdana" w:hAnsi="Verdana"/>
          <w:sz w:val="20"/>
          <w:lang w:val="es-CR"/>
        </w:rPr>
        <w:t>audiencia privada celebra ante este Tribunal en</w:t>
      </w:r>
      <w:r w:rsidRPr="00D20B61">
        <w:rPr>
          <w:rFonts w:ascii="Verdana" w:hAnsi="Verdana"/>
          <w:sz w:val="20"/>
          <w:lang w:val="es-CR"/>
        </w:rPr>
        <w:t xml:space="preserve"> mayo de 2014, respecto de un mayor número de casos (</w:t>
      </w:r>
      <w:r w:rsidRPr="00D20B61">
        <w:rPr>
          <w:rFonts w:ascii="Verdana" w:hAnsi="Verdana"/>
          <w:i/>
          <w:sz w:val="20"/>
          <w:lang w:val="es-CR"/>
        </w:rPr>
        <w:t>supra</w:t>
      </w:r>
      <w:r w:rsidR="00D20B61" w:rsidRPr="00D20B61">
        <w:rPr>
          <w:rFonts w:ascii="Verdana" w:hAnsi="Verdana"/>
          <w:sz w:val="20"/>
          <w:lang w:val="es-CR"/>
        </w:rPr>
        <w:t xml:space="preserve"> Considerando 25</w:t>
      </w:r>
      <w:r w:rsidRPr="00D20B61">
        <w:rPr>
          <w:rFonts w:ascii="Verdana" w:hAnsi="Verdana"/>
          <w:sz w:val="20"/>
          <w:lang w:val="es-CR"/>
        </w:rPr>
        <w:t xml:space="preserve">). </w:t>
      </w:r>
    </w:p>
    <w:p w14:paraId="7EEB8837" w14:textId="77777777" w:rsidR="007061BA" w:rsidRPr="007061BA" w:rsidRDefault="007061BA" w:rsidP="007061BA">
      <w:pPr>
        <w:pStyle w:val="ListParagraph"/>
        <w:rPr>
          <w:rFonts w:ascii="Verdana" w:hAnsi="Verdana"/>
          <w:sz w:val="20"/>
          <w:lang w:val="es-CR"/>
        </w:rPr>
      </w:pPr>
    </w:p>
    <w:p w14:paraId="011E9663" w14:textId="3CFF562C" w:rsidR="007061BA" w:rsidRPr="007061BA" w:rsidRDefault="007061BA" w:rsidP="007061BA">
      <w:pPr>
        <w:pStyle w:val="ListParagraph"/>
        <w:numPr>
          <w:ilvl w:val="0"/>
          <w:numId w:val="2"/>
        </w:numPr>
        <w:tabs>
          <w:tab w:val="left" w:pos="720"/>
        </w:tabs>
        <w:spacing w:after="0" w:line="240" w:lineRule="auto"/>
        <w:ind w:left="0" w:right="1444" w:firstLine="0"/>
        <w:jc w:val="both"/>
        <w:rPr>
          <w:rFonts w:ascii="Verdana" w:hAnsi="Verdana"/>
          <w:sz w:val="20"/>
          <w:szCs w:val="20"/>
          <w:lang w:val="es-CR"/>
        </w:rPr>
      </w:pPr>
      <w:r w:rsidRPr="007061BA">
        <w:rPr>
          <w:rFonts w:ascii="Verdana" w:hAnsi="Verdana"/>
          <w:sz w:val="20"/>
          <w:lang w:val="es-CR"/>
        </w:rPr>
        <w:t>A pesar de que durante el 2015 Guatemala no reiteró dicha posición</w:t>
      </w:r>
      <w:r w:rsidR="00BD30F5">
        <w:rPr>
          <w:rStyle w:val="FootnoteReference"/>
          <w:rFonts w:ascii="Verdana" w:hAnsi="Verdana"/>
          <w:sz w:val="20"/>
          <w:lang w:val="es-CR"/>
        </w:rPr>
        <w:footnoteReference w:id="161"/>
      </w:r>
      <w:r w:rsidRPr="007061BA">
        <w:rPr>
          <w:rFonts w:ascii="Verdana" w:hAnsi="Verdana"/>
          <w:sz w:val="20"/>
          <w:lang w:val="es-CR"/>
        </w:rPr>
        <w:t xml:space="preserve">, este Tribunal estima pertinente recordar que </w:t>
      </w:r>
      <w:r w:rsidRPr="007061BA">
        <w:rPr>
          <w:rFonts w:ascii="Verdana" w:hAnsi="Verdana"/>
          <w:sz w:val="20"/>
          <w:szCs w:val="20"/>
          <w:lang w:val="es-CR"/>
        </w:rPr>
        <w:t>e</w:t>
      </w:r>
      <w:r w:rsidRPr="007061BA">
        <w:rPr>
          <w:rFonts w:ascii="Verdana" w:hAnsi="Verdana"/>
          <w:spacing w:val="-3"/>
          <w:sz w:val="20"/>
          <w:szCs w:val="20"/>
          <w:lang w:val="es-CR"/>
        </w:rPr>
        <w:t xml:space="preserve">n su </w:t>
      </w:r>
      <w:r w:rsidRPr="007061BA">
        <w:rPr>
          <w:rFonts w:ascii="Verdana" w:hAnsi="Verdana"/>
          <w:sz w:val="20"/>
          <w:szCs w:val="20"/>
          <w:lang w:val="es-CR"/>
        </w:rPr>
        <w:t>jurisprudencia</w:t>
      </w:r>
      <w:r w:rsidRPr="007061BA">
        <w:rPr>
          <w:rFonts w:ascii="Verdana" w:hAnsi="Verdana"/>
          <w:spacing w:val="-3"/>
          <w:sz w:val="20"/>
          <w:szCs w:val="20"/>
          <w:lang w:val="es-CR"/>
        </w:rPr>
        <w:t xml:space="preserve"> desde el año 1988</w:t>
      </w:r>
      <w:r w:rsidRPr="007061BA">
        <w:rPr>
          <w:rFonts w:ascii="Verdana" w:hAnsi="Verdana"/>
          <w:sz w:val="20"/>
          <w:szCs w:val="20"/>
          <w:lang w:val="es-CR"/>
        </w:rPr>
        <w:t>, ha establecido el carácter permanente o continuado de la desaparición forzada de personas, el cual ha sido reconocido de manera reiterada por el Derecho Internacional de los Derechos Humanos</w:t>
      </w:r>
      <w:r w:rsidRPr="005863BF">
        <w:rPr>
          <w:rStyle w:val="FootnoteReference"/>
          <w:rFonts w:ascii="Verdana" w:eastAsia="Times" w:hAnsi="Verdana"/>
          <w:sz w:val="20"/>
          <w:szCs w:val="20"/>
          <w:lang w:val="es-CR"/>
        </w:rPr>
        <w:footnoteReference w:id="162"/>
      </w:r>
      <w:r w:rsidRPr="007061BA">
        <w:rPr>
          <w:rFonts w:ascii="Verdana" w:hAnsi="Verdana"/>
          <w:sz w:val="20"/>
          <w:szCs w:val="20"/>
          <w:lang w:val="es-CR"/>
        </w:rPr>
        <w:t>.</w:t>
      </w:r>
      <w:r w:rsidRPr="007061BA">
        <w:rPr>
          <w:rFonts w:ascii="Verdana" w:hAnsi="Verdana" w:cs="Univers"/>
          <w:sz w:val="20"/>
          <w:szCs w:val="20"/>
          <w:lang w:val="es-CR"/>
        </w:rPr>
        <w:t xml:space="preserve"> Asimismo, </w:t>
      </w:r>
      <w:r w:rsidRPr="007061BA">
        <w:rPr>
          <w:rFonts w:ascii="Verdana" w:hAnsi="Verdana"/>
          <w:sz w:val="20"/>
          <w:szCs w:val="20"/>
          <w:lang w:val="es-CR"/>
        </w:rPr>
        <w:t>la jurisprudencia de este Tribunal ha sido precursora de la consolidación de una perspectiva comprensiva de la pluriofensividad de los derechos afectados y el carácter permanente de la figura de la desaparición forzada de personas</w:t>
      </w:r>
      <w:r w:rsidRPr="005863BF">
        <w:rPr>
          <w:rStyle w:val="FootnoteReference"/>
          <w:rFonts w:ascii="Verdana" w:eastAsia="Times" w:hAnsi="Verdana"/>
          <w:sz w:val="20"/>
          <w:szCs w:val="20"/>
          <w:lang w:val="es-CR"/>
        </w:rPr>
        <w:footnoteReference w:id="163"/>
      </w:r>
      <w:r w:rsidRPr="007061BA">
        <w:rPr>
          <w:rFonts w:ascii="Verdana" w:hAnsi="Verdana"/>
          <w:sz w:val="20"/>
          <w:szCs w:val="20"/>
          <w:lang w:val="es-CR"/>
        </w:rPr>
        <w:t>, en la cual el acto de desaparición y su ejecución inician con la privación de la libertad de la persona y la subsiguiente falta de información sobre su destino, y permanece mientras no se conozca el paradero de la persona desaparecida o se identifiquen con certeza sus restos</w:t>
      </w:r>
      <w:r w:rsidRPr="005863BF">
        <w:rPr>
          <w:rStyle w:val="FootnoteReference"/>
          <w:rFonts w:ascii="Verdana" w:eastAsia="Batang" w:hAnsi="Verdana"/>
          <w:sz w:val="20"/>
          <w:szCs w:val="20"/>
          <w:lang w:val="es-CR"/>
        </w:rPr>
        <w:footnoteReference w:id="164"/>
      </w:r>
      <w:r w:rsidRPr="007061BA">
        <w:rPr>
          <w:rFonts w:ascii="Verdana" w:hAnsi="Verdana"/>
          <w:sz w:val="20"/>
          <w:szCs w:val="20"/>
          <w:lang w:val="es-CR"/>
        </w:rPr>
        <w:t>. Ello implica que a pesar de que el delito de desaparición forzada entró en vigor en la legislación guatemalteca el año 1996, en aquellos casos en los que no se ha determinado el paradero de la persona desaparecida o se hubieren identificado sus restos, la conducta delictiva continúa y</w:t>
      </w:r>
      <w:r w:rsidR="00C87765">
        <w:rPr>
          <w:rFonts w:ascii="Verdana" w:hAnsi="Verdana"/>
          <w:sz w:val="20"/>
          <w:szCs w:val="20"/>
          <w:lang w:val="es-CR"/>
        </w:rPr>
        <w:t>,</w:t>
      </w:r>
      <w:r w:rsidRPr="007061BA">
        <w:rPr>
          <w:rFonts w:ascii="Verdana" w:hAnsi="Verdana"/>
          <w:sz w:val="20"/>
          <w:szCs w:val="20"/>
          <w:lang w:val="es-CR"/>
        </w:rPr>
        <w:t xml:space="preserve"> por ende, </w:t>
      </w:r>
      <w:r w:rsidR="00C87765">
        <w:rPr>
          <w:rFonts w:ascii="Verdana" w:hAnsi="Verdana"/>
          <w:sz w:val="20"/>
          <w:szCs w:val="20"/>
          <w:lang w:val="es-CR"/>
        </w:rPr>
        <w:t xml:space="preserve">el tipo penal </w:t>
      </w:r>
      <w:r w:rsidRPr="007061BA">
        <w:rPr>
          <w:rFonts w:ascii="Verdana" w:hAnsi="Verdana"/>
          <w:sz w:val="20"/>
          <w:szCs w:val="20"/>
          <w:lang w:val="es-CR"/>
        </w:rPr>
        <w:t>resulta aplicable</w:t>
      </w:r>
      <w:r w:rsidRPr="002C1017">
        <w:rPr>
          <w:rStyle w:val="FootnoteReference"/>
        </w:rPr>
        <w:footnoteReference w:id="165"/>
      </w:r>
      <w:r w:rsidRPr="007061BA">
        <w:rPr>
          <w:rFonts w:ascii="Verdana" w:hAnsi="Verdana"/>
          <w:sz w:val="20"/>
          <w:szCs w:val="20"/>
          <w:lang w:val="es-CR"/>
        </w:rPr>
        <w:t>. La Corte ya ha establecido que la aplicación del tipo penal de desaparición forzada bajo los supuestos señalados no vulnera el principio de legalidad, ni implica una aplicación retroactiva de la norma penal</w:t>
      </w:r>
      <w:r>
        <w:rPr>
          <w:rStyle w:val="FootnoteReference"/>
          <w:rFonts w:ascii="Verdana" w:hAnsi="Verdana"/>
          <w:sz w:val="20"/>
          <w:szCs w:val="20"/>
          <w:lang w:val="es-CR"/>
        </w:rPr>
        <w:footnoteReference w:id="166"/>
      </w:r>
      <w:r w:rsidRPr="007061BA">
        <w:rPr>
          <w:rFonts w:ascii="Verdana" w:hAnsi="Verdana"/>
          <w:sz w:val="20"/>
          <w:szCs w:val="20"/>
          <w:lang w:val="es-CR"/>
        </w:rPr>
        <w:t>.</w:t>
      </w:r>
    </w:p>
    <w:p w14:paraId="16C4957C" w14:textId="1B3E41B1" w:rsidR="001D1A7E" w:rsidRPr="0032068E" w:rsidRDefault="004942D8" w:rsidP="008A3B59">
      <w:pPr>
        <w:pStyle w:val="ListParagraph"/>
        <w:numPr>
          <w:ilvl w:val="1"/>
          <w:numId w:val="2"/>
        </w:numPr>
        <w:tabs>
          <w:tab w:val="left" w:pos="720"/>
        </w:tabs>
        <w:spacing w:after="0" w:line="240" w:lineRule="auto"/>
        <w:ind w:right="1444"/>
        <w:jc w:val="both"/>
        <w:rPr>
          <w:rFonts w:ascii="Verdana" w:hAnsi="Verdana"/>
          <w:sz w:val="20"/>
          <w:szCs w:val="20"/>
          <w:lang w:val="es-CR"/>
        </w:rPr>
      </w:pPr>
      <w:r w:rsidRPr="0032068E">
        <w:rPr>
          <w:rFonts w:ascii="Verdana" w:hAnsi="Verdana"/>
          <w:sz w:val="20"/>
          <w:szCs w:val="20"/>
          <w:lang w:val="es-CR"/>
        </w:rPr>
        <w:t>A)</w:t>
      </w:r>
    </w:p>
    <w:p w14:paraId="51213CA9" w14:textId="50E4CCD4" w:rsidR="00C02A57" w:rsidRPr="0032068E" w:rsidRDefault="00C02A57" w:rsidP="00AD5701">
      <w:pPr>
        <w:pStyle w:val="Heading3"/>
      </w:pPr>
      <w:bookmarkStart w:id="131" w:name="_Toc435778542"/>
      <w:bookmarkStart w:id="132" w:name="_Toc439248800"/>
      <w:r w:rsidRPr="0032068E">
        <w:t xml:space="preserve">Falta de </w:t>
      </w:r>
      <w:r w:rsidR="00567C84" w:rsidRPr="0032068E">
        <w:t xml:space="preserve">apoyo en la </w:t>
      </w:r>
      <w:r w:rsidRPr="0032068E">
        <w:t>ejecución de las órdenes de aprehensión</w:t>
      </w:r>
      <w:bookmarkEnd w:id="131"/>
      <w:bookmarkEnd w:id="132"/>
    </w:p>
    <w:p w14:paraId="687418C3" w14:textId="77777777" w:rsidR="006A03DA" w:rsidRPr="0032068E" w:rsidRDefault="006A03DA" w:rsidP="006A03DA">
      <w:pPr>
        <w:spacing w:after="0" w:line="240" w:lineRule="auto"/>
        <w:ind w:right="1444"/>
        <w:jc w:val="both"/>
        <w:rPr>
          <w:rFonts w:ascii="Verdana" w:hAnsi="Verdana" w:cs="Verdana"/>
          <w:i/>
          <w:sz w:val="20"/>
          <w:szCs w:val="20"/>
          <w:lang w:val="es-ES"/>
        </w:rPr>
      </w:pPr>
    </w:p>
    <w:p w14:paraId="48E6EC52" w14:textId="5C30A55E" w:rsidR="006A03DA" w:rsidRPr="00894F9E" w:rsidRDefault="00393478" w:rsidP="00393478">
      <w:pPr>
        <w:pStyle w:val="ListParagraph"/>
        <w:numPr>
          <w:ilvl w:val="0"/>
          <w:numId w:val="2"/>
        </w:numPr>
        <w:spacing w:after="0" w:line="240" w:lineRule="auto"/>
        <w:ind w:left="0" w:right="1444" w:firstLine="0"/>
        <w:jc w:val="both"/>
        <w:rPr>
          <w:rFonts w:ascii="Verdana" w:hAnsi="Verdana"/>
          <w:sz w:val="20"/>
          <w:szCs w:val="20"/>
          <w:lang w:val="es-CR"/>
        </w:rPr>
      </w:pPr>
      <w:bookmarkStart w:id="133" w:name="_Ref437858327"/>
      <w:bookmarkStart w:id="134" w:name="_Ref437964301"/>
      <w:r w:rsidRPr="00393478">
        <w:rPr>
          <w:rFonts w:ascii="Verdana" w:hAnsi="Verdana"/>
          <w:sz w:val="20"/>
          <w:szCs w:val="20"/>
          <w:lang w:val="es-CR"/>
        </w:rPr>
        <w:t>En el informe del Ministerio Público de mayo de 2014 se establece como otro obstáculo a la investigación la “[f]alta de apoyo de la Policía Nacional Civil para ejecutar las órdenes de aprehensión” de presuntos responsables, cuando se trata de la investigación de “hecho</w:t>
      </w:r>
      <w:r w:rsidR="00894F9E">
        <w:rPr>
          <w:rFonts w:ascii="Verdana" w:hAnsi="Verdana"/>
          <w:sz w:val="20"/>
          <w:szCs w:val="20"/>
          <w:lang w:val="es-CR"/>
        </w:rPr>
        <w:t xml:space="preserve">s </w:t>
      </w:r>
      <w:r w:rsidRPr="00393478">
        <w:rPr>
          <w:rFonts w:ascii="Verdana" w:hAnsi="Verdana"/>
          <w:sz w:val="20"/>
          <w:szCs w:val="20"/>
          <w:lang w:val="es-CR"/>
        </w:rPr>
        <w:t xml:space="preserve">derivados del conflicto armado interno”, especialmente en lo atinente al caso </w:t>
      </w:r>
      <w:r w:rsidRPr="00393478">
        <w:rPr>
          <w:rFonts w:ascii="Verdana" w:hAnsi="Verdana"/>
          <w:i/>
          <w:sz w:val="20"/>
          <w:szCs w:val="20"/>
          <w:lang w:val="es-CR"/>
        </w:rPr>
        <w:t>Masacre de las Dos Erres</w:t>
      </w:r>
      <w:r w:rsidRPr="00894F9E">
        <w:rPr>
          <w:rFonts w:ascii="Verdana" w:hAnsi="Verdana"/>
          <w:sz w:val="20"/>
          <w:szCs w:val="20"/>
          <w:lang w:val="es-CR"/>
        </w:rPr>
        <w:t>.</w:t>
      </w:r>
      <w:bookmarkEnd w:id="133"/>
      <w:r w:rsidR="00894F9E">
        <w:rPr>
          <w:rFonts w:ascii="Verdana" w:hAnsi="Verdana"/>
          <w:sz w:val="20"/>
          <w:szCs w:val="20"/>
          <w:lang w:val="es-CR"/>
        </w:rPr>
        <w:t xml:space="preserve"> De acuerdo a dicho</w:t>
      </w:r>
      <w:r w:rsidR="006A03DA" w:rsidRPr="00894F9E">
        <w:rPr>
          <w:rFonts w:ascii="Verdana" w:hAnsi="Verdana"/>
          <w:sz w:val="20"/>
          <w:szCs w:val="20"/>
          <w:lang w:val="es-CR"/>
        </w:rPr>
        <w:t xml:space="preserve"> informe y lo señalado por el Estado en sus informes de abril y octubre de 2015, existen órdenes de aprehensión en contra de imputados en los casos </w:t>
      </w:r>
      <w:r w:rsidR="006A03DA" w:rsidRPr="00894F9E">
        <w:rPr>
          <w:rFonts w:ascii="Verdana" w:hAnsi="Verdana"/>
          <w:i/>
          <w:sz w:val="20"/>
          <w:szCs w:val="20"/>
          <w:lang w:val="es-CR"/>
        </w:rPr>
        <w:t>Blake (supra</w:t>
      </w:r>
      <w:r w:rsidR="006A03DA" w:rsidRPr="00894F9E">
        <w:rPr>
          <w:rFonts w:ascii="Verdana" w:hAnsi="Verdana"/>
          <w:sz w:val="20"/>
          <w:szCs w:val="20"/>
          <w:lang w:val="es-CR"/>
        </w:rPr>
        <w:t xml:space="preserve"> Considerando </w:t>
      </w:r>
      <w:r w:rsidR="006A03DA" w:rsidRPr="00894F9E">
        <w:rPr>
          <w:rFonts w:ascii="Verdana" w:hAnsi="Verdana"/>
          <w:sz w:val="20"/>
          <w:szCs w:val="20"/>
          <w:lang w:val="es-CR"/>
        </w:rPr>
        <w:fldChar w:fldCharType="begin"/>
      </w:r>
      <w:r w:rsidR="006A03DA" w:rsidRPr="00894F9E">
        <w:rPr>
          <w:rFonts w:ascii="Verdana" w:hAnsi="Verdana"/>
          <w:sz w:val="20"/>
          <w:szCs w:val="20"/>
          <w:lang w:val="es-CR"/>
        </w:rPr>
        <w:instrText xml:space="preserve"> REF _Ref437867866 \r \h </w:instrText>
      </w:r>
      <w:r w:rsidR="004A422E" w:rsidRPr="00894F9E">
        <w:rPr>
          <w:rFonts w:ascii="Verdana" w:hAnsi="Verdana"/>
          <w:sz w:val="20"/>
          <w:szCs w:val="20"/>
          <w:lang w:val="es-CR"/>
        </w:rPr>
        <w:instrText xml:space="preserve"> \* MERGEFORMAT </w:instrText>
      </w:r>
      <w:r w:rsidR="006A03DA" w:rsidRPr="00894F9E">
        <w:rPr>
          <w:rFonts w:ascii="Verdana" w:hAnsi="Verdana"/>
          <w:sz w:val="20"/>
          <w:szCs w:val="20"/>
          <w:lang w:val="es-CR"/>
        </w:rPr>
      </w:r>
      <w:r w:rsidR="006A03DA" w:rsidRPr="00894F9E">
        <w:rPr>
          <w:rFonts w:ascii="Verdana" w:hAnsi="Verdana"/>
          <w:sz w:val="20"/>
          <w:szCs w:val="20"/>
          <w:lang w:val="es-CR"/>
        </w:rPr>
        <w:fldChar w:fldCharType="separate"/>
      </w:r>
      <w:r w:rsidR="007E3C4B">
        <w:rPr>
          <w:rFonts w:ascii="Verdana" w:hAnsi="Verdana"/>
          <w:sz w:val="20"/>
          <w:szCs w:val="20"/>
          <w:lang w:val="es-CR"/>
        </w:rPr>
        <w:t>50</w:t>
      </w:r>
      <w:r w:rsidR="006A03DA" w:rsidRPr="00894F9E">
        <w:rPr>
          <w:rFonts w:ascii="Verdana" w:hAnsi="Verdana"/>
          <w:sz w:val="20"/>
          <w:szCs w:val="20"/>
          <w:lang w:val="es-CR"/>
        </w:rPr>
        <w:fldChar w:fldCharType="end"/>
      </w:r>
      <w:r w:rsidR="006A03DA" w:rsidRPr="00894F9E">
        <w:rPr>
          <w:rFonts w:ascii="Verdana" w:hAnsi="Verdana"/>
          <w:sz w:val="20"/>
          <w:szCs w:val="20"/>
          <w:lang w:val="es-CR"/>
        </w:rPr>
        <w:t xml:space="preserve">), </w:t>
      </w:r>
      <w:r w:rsidR="006A03DA" w:rsidRPr="00894F9E">
        <w:rPr>
          <w:rFonts w:ascii="Verdana" w:hAnsi="Verdana"/>
          <w:i/>
          <w:sz w:val="20"/>
          <w:szCs w:val="20"/>
          <w:lang w:val="es-CR"/>
        </w:rPr>
        <w:t xml:space="preserve">Mack Chang </w:t>
      </w:r>
      <w:r w:rsidR="006A03DA" w:rsidRPr="00894F9E">
        <w:rPr>
          <w:rFonts w:ascii="Verdana" w:hAnsi="Verdana"/>
          <w:sz w:val="20"/>
          <w:szCs w:val="20"/>
          <w:lang w:val="es-CR"/>
        </w:rPr>
        <w:t>(</w:t>
      </w:r>
      <w:r w:rsidR="006A03DA" w:rsidRPr="00894F9E">
        <w:rPr>
          <w:rFonts w:ascii="Verdana" w:hAnsi="Verdana"/>
          <w:i/>
          <w:sz w:val="20"/>
          <w:szCs w:val="20"/>
          <w:lang w:val="es-CR"/>
        </w:rPr>
        <w:t xml:space="preserve">supra </w:t>
      </w:r>
      <w:r w:rsidR="006A03DA" w:rsidRPr="00894F9E">
        <w:rPr>
          <w:rFonts w:ascii="Verdana" w:hAnsi="Verdana"/>
          <w:sz w:val="20"/>
          <w:szCs w:val="20"/>
          <w:lang w:val="es-CR"/>
        </w:rPr>
        <w:t xml:space="preserve">Considerando 73), </w:t>
      </w:r>
      <w:r w:rsidR="006A03DA" w:rsidRPr="00894F9E">
        <w:rPr>
          <w:rFonts w:ascii="Verdana" w:hAnsi="Verdana"/>
          <w:i/>
          <w:sz w:val="20"/>
          <w:szCs w:val="20"/>
          <w:lang w:val="es-CR"/>
        </w:rPr>
        <w:t>Masacre Plan de Sánchez (supra</w:t>
      </w:r>
      <w:r w:rsidR="006A03DA" w:rsidRPr="00894F9E">
        <w:rPr>
          <w:rFonts w:ascii="Verdana" w:hAnsi="Verdana"/>
          <w:sz w:val="20"/>
          <w:szCs w:val="20"/>
          <w:lang w:val="es-CR"/>
        </w:rPr>
        <w:t xml:space="preserve"> Considerando </w:t>
      </w:r>
      <w:r w:rsidR="006A03DA" w:rsidRPr="00894F9E">
        <w:rPr>
          <w:rFonts w:ascii="Verdana" w:hAnsi="Verdana"/>
          <w:sz w:val="20"/>
          <w:szCs w:val="20"/>
          <w:lang w:val="es-CR"/>
        </w:rPr>
        <w:fldChar w:fldCharType="begin"/>
      </w:r>
      <w:r w:rsidR="006A03DA" w:rsidRPr="00894F9E">
        <w:rPr>
          <w:rFonts w:ascii="Verdana" w:hAnsi="Verdana"/>
          <w:sz w:val="20"/>
          <w:szCs w:val="20"/>
          <w:lang w:val="es-CR"/>
        </w:rPr>
        <w:instrText xml:space="preserve"> REF _Ref437867960 \r \h </w:instrText>
      </w:r>
      <w:r w:rsidR="0020670D" w:rsidRPr="00894F9E">
        <w:rPr>
          <w:rFonts w:ascii="Verdana" w:hAnsi="Verdana"/>
          <w:sz w:val="20"/>
          <w:szCs w:val="20"/>
          <w:lang w:val="es-CR"/>
        </w:rPr>
        <w:instrText xml:space="preserve"> \* MERGEFORMAT </w:instrText>
      </w:r>
      <w:r w:rsidR="006A03DA" w:rsidRPr="00894F9E">
        <w:rPr>
          <w:rFonts w:ascii="Verdana" w:hAnsi="Verdana"/>
          <w:sz w:val="20"/>
          <w:szCs w:val="20"/>
          <w:lang w:val="es-CR"/>
        </w:rPr>
      </w:r>
      <w:r w:rsidR="006A03DA" w:rsidRPr="00894F9E">
        <w:rPr>
          <w:rFonts w:ascii="Verdana" w:hAnsi="Verdana"/>
          <w:sz w:val="20"/>
          <w:szCs w:val="20"/>
          <w:lang w:val="es-CR"/>
        </w:rPr>
        <w:fldChar w:fldCharType="separate"/>
      </w:r>
      <w:r w:rsidR="007E3C4B">
        <w:rPr>
          <w:rFonts w:ascii="Verdana" w:hAnsi="Verdana"/>
          <w:sz w:val="20"/>
          <w:szCs w:val="20"/>
          <w:lang w:val="es-CR"/>
        </w:rPr>
        <w:t>91</w:t>
      </w:r>
      <w:r w:rsidR="006A03DA" w:rsidRPr="00894F9E">
        <w:rPr>
          <w:rFonts w:ascii="Verdana" w:hAnsi="Verdana"/>
          <w:sz w:val="20"/>
          <w:szCs w:val="20"/>
          <w:lang w:val="es-CR"/>
        </w:rPr>
        <w:fldChar w:fldCharType="end"/>
      </w:r>
      <w:r w:rsidR="006A03DA" w:rsidRPr="00894F9E">
        <w:rPr>
          <w:rFonts w:ascii="Verdana" w:hAnsi="Verdana"/>
          <w:sz w:val="20"/>
          <w:szCs w:val="20"/>
          <w:lang w:val="es-CR"/>
        </w:rPr>
        <w:t xml:space="preserve">) y </w:t>
      </w:r>
      <w:r w:rsidR="006A03DA" w:rsidRPr="00894F9E">
        <w:rPr>
          <w:rFonts w:ascii="Verdana" w:hAnsi="Verdana"/>
          <w:i/>
          <w:sz w:val="20"/>
          <w:szCs w:val="20"/>
          <w:lang w:val="es-CR"/>
        </w:rPr>
        <w:t>Masacre de las Dos Erres (supra</w:t>
      </w:r>
      <w:r w:rsidR="006A03DA" w:rsidRPr="00894F9E">
        <w:rPr>
          <w:rFonts w:ascii="Verdana" w:hAnsi="Verdana"/>
          <w:sz w:val="20"/>
          <w:szCs w:val="20"/>
          <w:lang w:val="es-CR"/>
        </w:rPr>
        <w:t xml:space="preserve"> Considerando </w:t>
      </w:r>
      <w:r w:rsidR="00625E2D" w:rsidRPr="00894F9E">
        <w:rPr>
          <w:rFonts w:ascii="Verdana" w:hAnsi="Verdana"/>
          <w:sz w:val="20"/>
          <w:szCs w:val="20"/>
          <w:lang w:val="es-CR"/>
        </w:rPr>
        <w:t>110</w:t>
      </w:r>
      <w:r w:rsidR="006A03DA" w:rsidRPr="00894F9E">
        <w:rPr>
          <w:rFonts w:ascii="Verdana" w:hAnsi="Verdana"/>
          <w:sz w:val="20"/>
          <w:szCs w:val="20"/>
          <w:lang w:val="es-CR"/>
        </w:rPr>
        <w:t>)</w:t>
      </w:r>
      <w:r w:rsidR="006A03DA" w:rsidRPr="00894F9E">
        <w:rPr>
          <w:rFonts w:ascii="Verdana" w:hAnsi="Verdana"/>
          <w:i/>
          <w:sz w:val="20"/>
          <w:szCs w:val="20"/>
          <w:lang w:val="es-CR"/>
        </w:rPr>
        <w:t xml:space="preserve"> </w:t>
      </w:r>
      <w:r w:rsidR="006A03DA" w:rsidRPr="00894F9E">
        <w:rPr>
          <w:rFonts w:ascii="Verdana" w:hAnsi="Verdana"/>
          <w:sz w:val="20"/>
          <w:szCs w:val="20"/>
          <w:lang w:val="es-CR"/>
        </w:rPr>
        <w:t>que no han sido ejecutadas</w:t>
      </w:r>
      <w:r w:rsidR="006A03DA" w:rsidRPr="0020670D">
        <w:rPr>
          <w:rStyle w:val="FootnoteReference"/>
          <w:rFonts w:ascii="Verdana" w:hAnsi="Verdana"/>
          <w:sz w:val="20"/>
          <w:szCs w:val="20"/>
          <w:lang w:val="es-CR"/>
        </w:rPr>
        <w:footnoteReference w:id="167"/>
      </w:r>
      <w:r w:rsidR="006A03DA" w:rsidRPr="00894F9E">
        <w:rPr>
          <w:rFonts w:ascii="Verdana" w:hAnsi="Verdana"/>
          <w:sz w:val="20"/>
          <w:szCs w:val="20"/>
          <w:lang w:val="es-CR"/>
        </w:rPr>
        <w:t>.</w:t>
      </w:r>
      <w:bookmarkEnd w:id="134"/>
    </w:p>
    <w:p w14:paraId="5E04ECD0" w14:textId="77777777" w:rsidR="006A03DA" w:rsidRPr="0032068E" w:rsidRDefault="006A03DA" w:rsidP="006A03DA">
      <w:pPr>
        <w:pStyle w:val="ListParagraph"/>
        <w:spacing w:after="0" w:line="240" w:lineRule="auto"/>
        <w:ind w:left="0" w:right="1444"/>
        <w:jc w:val="both"/>
        <w:rPr>
          <w:rFonts w:ascii="Verdana" w:hAnsi="Verdana"/>
          <w:sz w:val="20"/>
          <w:szCs w:val="20"/>
          <w:lang w:val="es-CR"/>
        </w:rPr>
      </w:pPr>
    </w:p>
    <w:p w14:paraId="7DFDDE65" w14:textId="796F69DC" w:rsidR="006A03DA" w:rsidRPr="00894F9E" w:rsidRDefault="006A03DA" w:rsidP="006A03DA">
      <w:pPr>
        <w:pStyle w:val="ListParagraph"/>
        <w:numPr>
          <w:ilvl w:val="0"/>
          <w:numId w:val="2"/>
        </w:numPr>
        <w:spacing w:after="0" w:line="240" w:lineRule="auto"/>
        <w:ind w:left="0" w:right="1444" w:firstLine="0"/>
        <w:jc w:val="both"/>
        <w:rPr>
          <w:rFonts w:ascii="Verdana" w:hAnsi="Verdana"/>
          <w:sz w:val="20"/>
          <w:szCs w:val="20"/>
          <w:lang w:val="es-CR"/>
        </w:rPr>
      </w:pPr>
      <w:r w:rsidRPr="00894F9E">
        <w:rPr>
          <w:rFonts w:ascii="Verdana" w:hAnsi="Verdana"/>
          <w:sz w:val="20"/>
          <w:szCs w:val="20"/>
          <w:lang w:val="es-CR"/>
        </w:rPr>
        <w:t xml:space="preserve">Además, ni del Informe del Ministerio Público </w:t>
      </w:r>
      <w:r w:rsidRPr="00894F9E">
        <w:rPr>
          <w:rFonts w:ascii="Verdana" w:hAnsi="Verdana" w:cs="Verdana"/>
          <w:sz w:val="20"/>
          <w:szCs w:val="20"/>
          <w:lang w:val="es-ES"/>
        </w:rPr>
        <w:t>de mayo de 2014</w:t>
      </w:r>
      <w:r w:rsidRPr="00894F9E">
        <w:rPr>
          <w:rFonts w:ascii="Verdana" w:hAnsi="Verdana"/>
          <w:sz w:val="20"/>
          <w:szCs w:val="20"/>
          <w:lang w:val="es-CR"/>
        </w:rPr>
        <w:t xml:space="preserve"> ni de los informes estatales de 2015 se acredita información sobre las actuaciones que estaría realizando la Policía Nacional Civil para hacer cumplir dichas órdenes de aprehensión</w:t>
      </w:r>
      <w:r w:rsidR="00894F9E">
        <w:rPr>
          <w:rFonts w:ascii="Verdana" w:hAnsi="Verdana"/>
          <w:sz w:val="20"/>
          <w:szCs w:val="20"/>
          <w:lang w:val="es-CR"/>
        </w:rPr>
        <w:t xml:space="preserve">, y </w:t>
      </w:r>
      <w:r w:rsidRPr="00894F9E">
        <w:rPr>
          <w:rFonts w:ascii="Verdana" w:hAnsi="Verdana"/>
          <w:sz w:val="20"/>
          <w:szCs w:val="20"/>
          <w:lang w:val="es-CR"/>
        </w:rPr>
        <w:t>parecieran existir indicios de que algunas de las personas señaladas se encuentran fuera de Guatemala (</w:t>
      </w:r>
      <w:r w:rsidRPr="00894F9E">
        <w:rPr>
          <w:rFonts w:ascii="Verdana" w:hAnsi="Verdana"/>
          <w:i/>
          <w:sz w:val="20"/>
          <w:szCs w:val="20"/>
          <w:lang w:val="es-CR"/>
        </w:rPr>
        <w:t>supra</w:t>
      </w:r>
      <w:r w:rsidRPr="00894F9E">
        <w:rPr>
          <w:rFonts w:ascii="Verdana" w:hAnsi="Verdana"/>
          <w:sz w:val="20"/>
          <w:szCs w:val="20"/>
          <w:lang w:val="es-CR"/>
        </w:rPr>
        <w:t xml:space="preserve"> Considerando</w:t>
      </w:r>
      <w:r w:rsidR="00894F9E">
        <w:rPr>
          <w:rFonts w:ascii="Verdana" w:hAnsi="Verdana"/>
          <w:sz w:val="20"/>
          <w:szCs w:val="20"/>
          <w:lang w:val="es-CR"/>
        </w:rPr>
        <w:t xml:space="preserve"> 110</w:t>
      </w:r>
      <w:r w:rsidRPr="00894F9E">
        <w:rPr>
          <w:rFonts w:ascii="Verdana" w:hAnsi="Verdana"/>
          <w:sz w:val="20"/>
          <w:szCs w:val="20"/>
          <w:lang w:val="es-CR"/>
        </w:rPr>
        <w:t xml:space="preserve">). </w:t>
      </w:r>
    </w:p>
    <w:p w14:paraId="0F49CC0B" w14:textId="77777777" w:rsidR="006A03DA" w:rsidRPr="0032068E" w:rsidRDefault="006A03DA" w:rsidP="006A03DA">
      <w:pPr>
        <w:pStyle w:val="ListParagraph"/>
        <w:rPr>
          <w:rFonts w:ascii="Verdana" w:hAnsi="Verdana"/>
          <w:sz w:val="20"/>
          <w:szCs w:val="20"/>
          <w:lang w:val="es-CR"/>
        </w:rPr>
      </w:pPr>
    </w:p>
    <w:p w14:paraId="1D258582" w14:textId="19375A79" w:rsidR="006A03DA" w:rsidRPr="0032068E" w:rsidRDefault="006A03DA" w:rsidP="006A03DA">
      <w:pPr>
        <w:pStyle w:val="ListParagraph"/>
        <w:numPr>
          <w:ilvl w:val="0"/>
          <w:numId w:val="2"/>
        </w:numPr>
        <w:spacing w:after="0" w:line="240" w:lineRule="auto"/>
        <w:ind w:left="0" w:right="1444" w:firstLine="0"/>
        <w:jc w:val="both"/>
        <w:rPr>
          <w:rFonts w:ascii="Verdana" w:hAnsi="Verdana"/>
          <w:sz w:val="20"/>
          <w:szCs w:val="20"/>
          <w:lang w:val="es-CR"/>
        </w:rPr>
      </w:pPr>
      <w:bookmarkStart w:id="135" w:name="_Ref437872239"/>
      <w:r w:rsidRPr="0032068E">
        <w:rPr>
          <w:rFonts w:ascii="Verdana" w:hAnsi="Verdana"/>
          <w:sz w:val="20"/>
          <w:szCs w:val="20"/>
          <w:lang w:val="es-CR"/>
        </w:rPr>
        <w:t xml:space="preserve">Si bien la Corte ha establecido que el deber de investigar es de medios y no de resultado, ello no significa, sin embargo, que la investigación pueda ser emprendida como "una simple formalidad condenada de antemano a ser infructuosa”. La Corte, </w:t>
      </w:r>
      <w:r>
        <w:rPr>
          <w:rFonts w:ascii="Verdana" w:hAnsi="Verdana"/>
          <w:sz w:val="20"/>
          <w:szCs w:val="20"/>
          <w:lang w:val="es-CR"/>
        </w:rPr>
        <w:t>en la sentencia del caso</w:t>
      </w:r>
      <w:r w:rsidRPr="0032068E">
        <w:rPr>
          <w:rFonts w:ascii="Verdana" w:hAnsi="Verdana"/>
          <w:sz w:val="20"/>
          <w:szCs w:val="20"/>
          <w:lang w:val="es-CR"/>
        </w:rPr>
        <w:t xml:space="preserve"> </w:t>
      </w:r>
      <w:r w:rsidRPr="0032068E">
        <w:rPr>
          <w:rFonts w:ascii="Verdana" w:hAnsi="Verdana"/>
          <w:i/>
          <w:sz w:val="20"/>
          <w:szCs w:val="20"/>
          <w:lang w:val="es-CR"/>
        </w:rPr>
        <w:t xml:space="preserve">Masacres de Río Negro </w:t>
      </w:r>
      <w:r w:rsidRPr="0032068E">
        <w:rPr>
          <w:rFonts w:ascii="Verdana" w:hAnsi="Verdana"/>
          <w:sz w:val="20"/>
          <w:szCs w:val="20"/>
          <w:lang w:val="es-CR"/>
        </w:rPr>
        <w:t xml:space="preserve">en Guatemala, </w:t>
      </w:r>
      <w:r>
        <w:rPr>
          <w:rFonts w:ascii="Verdana" w:hAnsi="Verdana"/>
          <w:sz w:val="20"/>
          <w:szCs w:val="20"/>
          <w:lang w:val="es-CR"/>
        </w:rPr>
        <w:t>enfatizó</w:t>
      </w:r>
      <w:r w:rsidRPr="0032068E">
        <w:rPr>
          <w:rFonts w:ascii="Verdana" w:hAnsi="Verdana"/>
          <w:sz w:val="20"/>
          <w:szCs w:val="20"/>
          <w:lang w:val="es-CR"/>
        </w:rPr>
        <w:t xml:space="preserve"> que es responsabilidad de las autoridades estatales realizar una investigación seria, imparcial y efectiva por todos los medios legales disponibles y orientada a la determinación de la verdad y a la persecución, captura, enjuiciamiento y eventual castigo de los autores de los hechos, especialmente en un caso como el presente en el cual estaban involucrados agentes estatales</w:t>
      </w:r>
      <w:r w:rsidRPr="0032068E">
        <w:rPr>
          <w:rStyle w:val="FootnoteReference"/>
          <w:rFonts w:ascii="Verdana" w:hAnsi="Verdana"/>
          <w:sz w:val="20"/>
          <w:szCs w:val="20"/>
          <w:lang w:val="es-CR"/>
        </w:rPr>
        <w:footnoteReference w:id="168"/>
      </w:r>
      <w:r w:rsidRPr="0032068E">
        <w:rPr>
          <w:rFonts w:ascii="Verdana" w:hAnsi="Verdana"/>
          <w:sz w:val="20"/>
          <w:szCs w:val="20"/>
          <w:lang w:val="es-CR"/>
        </w:rPr>
        <w:t xml:space="preserve">. </w:t>
      </w:r>
      <w:r>
        <w:rPr>
          <w:rFonts w:ascii="Verdana" w:hAnsi="Verdana"/>
          <w:sz w:val="20"/>
          <w:szCs w:val="20"/>
          <w:lang w:val="es-CR"/>
        </w:rPr>
        <w:t>También este Tribunal ha señalado que Guatemala “debe adoptar medidas concretas dirigidas a fortalecer su capacidad investigativa”</w:t>
      </w:r>
      <w:r>
        <w:rPr>
          <w:rStyle w:val="FootnoteReference"/>
          <w:rFonts w:ascii="Verdana" w:hAnsi="Verdana"/>
          <w:sz w:val="20"/>
          <w:szCs w:val="20"/>
          <w:lang w:val="es-CR"/>
        </w:rPr>
        <w:footnoteReference w:id="169"/>
      </w:r>
      <w:r>
        <w:rPr>
          <w:rFonts w:ascii="Verdana" w:hAnsi="Verdana"/>
          <w:sz w:val="20"/>
          <w:szCs w:val="20"/>
          <w:lang w:val="es-CR"/>
        </w:rPr>
        <w:t>, teniendo además una “debida diligencia en la investigación [lo cual] implica que todas las autoridades estatales están obligadas a colaborar”</w:t>
      </w:r>
      <w:r>
        <w:rPr>
          <w:rStyle w:val="FootnoteReference"/>
          <w:rFonts w:ascii="Verdana" w:hAnsi="Verdana"/>
          <w:sz w:val="20"/>
          <w:szCs w:val="20"/>
          <w:lang w:val="es-CR"/>
        </w:rPr>
        <w:footnoteReference w:id="170"/>
      </w:r>
      <w:r w:rsidR="00AA6A15">
        <w:rPr>
          <w:rFonts w:ascii="Verdana" w:hAnsi="Verdana"/>
          <w:sz w:val="20"/>
          <w:szCs w:val="20"/>
          <w:lang w:val="es-CR"/>
        </w:rPr>
        <w:t xml:space="preserve">. </w:t>
      </w:r>
      <w:bookmarkEnd w:id="135"/>
      <w:r w:rsidR="004F3B0B" w:rsidRPr="004F3B0B">
        <w:rPr>
          <w:rFonts w:ascii="Verdana" w:hAnsi="Verdana"/>
          <w:iCs/>
          <w:color w:val="000000"/>
          <w:sz w:val="20"/>
          <w:szCs w:val="20"/>
          <w:lang w:val="es-CR"/>
        </w:rPr>
        <w:t>Todas las instituciones del Estado, incluyendo la Policía Nacional Civil, deben realizar las acciones que, dentro de sus competencias, se requieran para cooperar o coadyuvar efectivamente en la investigación, juzgamiento y sanción de los hechos que corresponde efectuar a los órganos competentes</w:t>
      </w:r>
      <w:r w:rsidR="004F3B0B">
        <w:rPr>
          <w:rStyle w:val="FootnoteReference"/>
          <w:rFonts w:ascii="Verdana" w:hAnsi="Verdana"/>
          <w:iCs/>
          <w:color w:val="000000"/>
          <w:sz w:val="20"/>
          <w:szCs w:val="20"/>
          <w:lang w:val="es-CR"/>
        </w:rPr>
        <w:footnoteReference w:id="171"/>
      </w:r>
      <w:r w:rsidR="004F3B0B" w:rsidRPr="004F3B0B">
        <w:rPr>
          <w:rFonts w:ascii="Verdana" w:hAnsi="Verdana"/>
          <w:iCs/>
          <w:color w:val="000000"/>
          <w:sz w:val="20"/>
          <w:szCs w:val="20"/>
          <w:lang w:val="es-CR"/>
        </w:rPr>
        <w:t>. Sus omisiones, falta de diligencia y obstaculización tendrán un impacto negativo en el cumplimiento del Estado de la obligación de investigar, juzgar y sancionar.</w:t>
      </w:r>
    </w:p>
    <w:p w14:paraId="437F98F4" w14:textId="77777777" w:rsidR="006A03DA" w:rsidRPr="0032068E" w:rsidRDefault="006A03DA" w:rsidP="006A03DA">
      <w:pPr>
        <w:pStyle w:val="ListParagraph"/>
        <w:spacing w:after="0" w:line="240" w:lineRule="auto"/>
        <w:ind w:left="0" w:right="1444"/>
        <w:jc w:val="both"/>
        <w:rPr>
          <w:rFonts w:ascii="Verdana" w:hAnsi="Verdana"/>
          <w:sz w:val="20"/>
          <w:szCs w:val="20"/>
          <w:lang w:val="es-CR"/>
        </w:rPr>
      </w:pPr>
    </w:p>
    <w:p w14:paraId="111BA27C" w14:textId="57C18100" w:rsidR="006A03DA" w:rsidRPr="00A56D64" w:rsidRDefault="006A03DA" w:rsidP="006A03DA">
      <w:pPr>
        <w:pStyle w:val="ListParagraph"/>
        <w:numPr>
          <w:ilvl w:val="0"/>
          <w:numId w:val="2"/>
        </w:numPr>
        <w:spacing w:after="0" w:line="240" w:lineRule="auto"/>
        <w:ind w:left="0" w:right="1444" w:firstLine="0"/>
        <w:jc w:val="both"/>
        <w:rPr>
          <w:rFonts w:ascii="Verdana" w:hAnsi="Verdana"/>
          <w:sz w:val="20"/>
          <w:szCs w:val="20"/>
          <w:lang w:val="es-ES_tradnl"/>
        </w:rPr>
      </w:pPr>
      <w:r w:rsidRPr="00A56D64">
        <w:rPr>
          <w:rFonts w:ascii="Verdana" w:hAnsi="Verdana"/>
          <w:sz w:val="20"/>
          <w:szCs w:val="20"/>
          <w:lang w:val="es-ES_tradnl"/>
        </w:rPr>
        <w:t>La Corte además recuerda que en el cumplimiento de esta obligación</w:t>
      </w:r>
      <w:r>
        <w:rPr>
          <w:rFonts w:ascii="Verdana" w:hAnsi="Verdana"/>
          <w:sz w:val="20"/>
          <w:szCs w:val="20"/>
          <w:lang w:val="es-ES_tradnl"/>
        </w:rPr>
        <w:t xml:space="preserve"> en aquellos casos donde existan órdenes de aprehensión contra imputados sobre los cuales hay indicios de estar fuera del país</w:t>
      </w:r>
      <w:r w:rsidRPr="00A56D64">
        <w:rPr>
          <w:rFonts w:ascii="Verdana" w:hAnsi="Verdana"/>
          <w:sz w:val="20"/>
          <w:szCs w:val="20"/>
          <w:lang w:val="es-ES_tradnl"/>
        </w:rPr>
        <w:t xml:space="preserve">, los Estados </w:t>
      </w:r>
      <w:r>
        <w:rPr>
          <w:rFonts w:ascii="Verdana" w:hAnsi="Verdana"/>
          <w:sz w:val="20"/>
          <w:szCs w:val="20"/>
          <w:lang w:val="es-ES_tradnl"/>
        </w:rPr>
        <w:t>pueden solicitar</w:t>
      </w:r>
      <w:r w:rsidRPr="00A56D64">
        <w:rPr>
          <w:rFonts w:ascii="Verdana" w:hAnsi="Verdana"/>
          <w:sz w:val="20"/>
          <w:szCs w:val="20"/>
          <w:lang w:val="es-ES_tradnl"/>
        </w:rPr>
        <w:t xml:space="preserve"> c</w:t>
      </w:r>
      <w:r>
        <w:rPr>
          <w:rFonts w:ascii="Verdana" w:hAnsi="Verdana"/>
          <w:sz w:val="20"/>
          <w:szCs w:val="20"/>
          <w:lang w:val="es-ES_tradnl"/>
        </w:rPr>
        <w:t>ooperación de otros Estados</w:t>
      </w:r>
      <w:r w:rsidRPr="00A56D64">
        <w:rPr>
          <w:rFonts w:ascii="Verdana" w:hAnsi="Verdana"/>
          <w:sz w:val="20"/>
          <w:szCs w:val="20"/>
          <w:lang w:val="es-ES_tradnl"/>
        </w:rPr>
        <w:t xml:space="preserve"> para cumplir </w:t>
      </w:r>
      <w:r>
        <w:rPr>
          <w:rFonts w:ascii="Verdana" w:hAnsi="Verdana"/>
          <w:sz w:val="20"/>
          <w:szCs w:val="20"/>
          <w:lang w:val="es-ES_tradnl"/>
        </w:rPr>
        <w:t xml:space="preserve">con </w:t>
      </w:r>
      <w:r w:rsidRPr="00A56D64">
        <w:rPr>
          <w:rFonts w:ascii="Verdana" w:hAnsi="Verdana"/>
          <w:sz w:val="20"/>
          <w:szCs w:val="20"/>
          <w:lang w:val="es-ES_tradnl"/>
        </w:rPr>
        <w:t xml:space="preserve">sus obligaciones convencionales. Por ejemplo, el Tribunal ha indicado </w:t>
      </w:r>
      <w:r>
        <w:rPr>
          <w:rFonts w:ascii="Verdana" w:hAnsi="Verdana"/>
          <w:sz w:val="20"/>
          <w:szCs w:val="20"/>
          <w:lang w:val="es-ES_tradnl"/>
        </w:rPr>
        <w:t xml:space="preserve">anteriormente </w:t>
      </w:r>
      <w:r w:rsidRPr="00A56D64">
        <w:rPr>
          <w:rFonts w:ascii="Verdana" w:hAnsi="Verdana"/>
          <w:sz w:val="20"/>
          <w:szCs w:val="20"/>
          <w:lang w:val="es-ES_tradnl"/>
        </w:rPr>
        <w:t>que “[l]a solicitud de colaboración internacional a través de la extradición para juzgar a personas procesadas penalmente por graves violaciones a los derechos humanos constituye un importante instrumento para erradicar la impunidad</w:t>
      </w:r>
      <w:r>
        <w:rPr>
          <w:rFonts w:ascii="Verdana" w:hAnsi="Verdana"/>
          <w:sz w:val="20"/>
          <w:szCs w:val="20"/>
          <w:lang w:val="es-ES_tradnl"/>
        </w:rPr>
        <w:t xml:space="preserve">”. </w:t>
      </w:r>
      <w:r w:rsidRPr="00072ACC">
        <w:rPr>
          <w:rFonts w:ascii="Verdana" w:hAnsi="Verdana"/>
          <w:sz w:val="20"/>
          <w:szCs w:val="20"/>
          <w:lang w:val="es-CR"/>
        </w:rPr>
        <w:t xml:space="preserve">En consecuencia, </w:t>
      </w:r>
      <w:r>
        <w:rPr>
          <w:rFonts w:ascii="Verdana" w:hAnsi="Verdana"/>
          <w:sz w:val="20"/>
          <w:szCs w:val="20"/>
          <w:lang w:val="es-CR"/>
        </w:rPr>
        <w:t xml:space="preserve">los Estados </w:t>
      </w:r>
      <w:r w:rsidRPr="00072ACC">
        <w:rPr>
          <w:rFonts w:ascii="Verdana" w:hAnsi="Verdana"/>
          <w:sz w:val="20"/>
          <w:szCs w:val="20"/>
          <w:lang w:val="es-CR"/>
        </w:rPr>
        <w:t>debe</w:t>
      </w:r>
      <w:r>
        <w:rPr>
          <w:rFonts w:ascii="Verdana" w:hAnsi="Verdana"/>
          <w:sz w:val="20"/>
          <w:szCs w:val="20"/>
          <w:lang w:val="es-CR"/>
        </w:rPr>
        <w:t>n</w:t>
      </w:r>
      <w:r w:rsidRPr="00072ACC">
        <w:rPr>
          <w:rFonts w:ascii="Verdana" w:hAnsi="Verdana"/>
          <w:sz w:val="20"/>
          <w:szCs w:val="20"/>
          <w:lang w:val="es-CR"/>
        </w:rPr>
        <w:t xml:space="preserve"> impulsar </w:t>
      </w:r>
      <w:r>
        <w:rPr>
          <w:rFonts w:ascii="Verdana" w:hAnsi="Verdana"/>
          <w:sz w:val="20"/>
          <w:szCs w:val="20"/>
          <w:lang w:val="es-CR"/>
        </w:rPr>
        <w:t>“</w:t>
      </w:r>
      <w:r w:rsidRPr="00072ACC">
        <w:rPr>
          <w:rFonts w:ascii="Verdana" w:hAnsi="Verdana"/>
          <w:sz w:val="20"/>
          <w:szCs w:val="20"/>
          <w:lang w:val="es-CR"/>
        </w:rPr>
        <w:t>con la mayor diligencia las gestiones</w:t>
      </w:r>
      <w:r>
        <w:rPr>
          <w:rFonts w:ascii="Verdana" w:hAnsi="Verdana"/>
          <w:sz w:val="20"/>
          <w:szCs w:val="20"/>
          <w:lang w:val="es-CR"/>
        </w:rPr>
        <w:t xml:space="preserve"> </w:t>
      </w:r>
      <w:r w:rsidRPr="00072ACC">
        <w:rPr>
          <w:rFonts w:ascii="Verdana" w:hAnsi="Verdana"/>
          <w:sz w:val="20"/>
          <w:szCs w:val="20"/>
          <w:lang w:val="es-CR"/>
        </w:rPr>
        <w:t xml:space="preserve">pertinentes con el fin de plantear la solicitud de </w:t>
      </w:r>
      <w:r>
        <w:rPr>
          <w:rFonts w:ascii="Verdana" w:hAnsi="Verdana"/>
          <w:sz w:val="20"/>
          <w:szCs w:val="20"/>
          <w:lang w:val="es-CR"/>
        </w:rPr>
        <w:t xml:space="preserve">[…] </w:t>
      </w:r>
      <w:r w:rsidRPr="00072ACC">
        <w:rPr>
          <w:rFonts w:ascii="Verdana" w:hAnsi="Verdana"/>
          <w:sz w:val="20"/>
          <w:szCs w:val="20"/>
          <w:lang w:val="es-CR"/>
        </w:rPr>
        <w:t xml:space="preserve">extradición </w:t>
      </w:r>
      <w:r>
        <w:rPr>
          <w:rFonts w:ascii="Verdana" w:hAnsi="Verdana"/>
          <w:sz w:val="20"/>
          <w:szCs w:val="20"/>
          <w:lang w:val="es-CR"/>
        </w:rPr>
        <w:t xml:space="preserve">[…] </w:t>
      </w:r>
      <w:r w:rsidRPr="00072ACC">
        <w:rPr>
          <w:rFonts w:ascii="Verdana" w:hAnsi="Verdana"/>
          <w:sz w:val="20"/>
          <w:szCs w:val="20"/>
          <w:lang w:val="es-CR"/>
        </w:rPr>
        <w:t>y debe asegurar que la circunstancia de que ello se encuentre pendiente no</w:t>
      </w:r>
      <w:r>
        <w:rPr>
          <w:rFonts w:ascii="Verdana" w:hAnsi="Verdana"/>
          <w:sz w:val="20"/>
          <w:szCs w:val="20"/>
          <w:lang w:val="es-CR"/>
        </w:rPr>
        <w:t xml:space="preserve"> </w:t>
      </w:r>
      <w:r w:rsidRPr="00072ACC">
        <w:rPr>
          <w:rFonts w:ascii="Verdana" w:hAnsi="Verdana"/>
          <w:sz w:val="20"/>
          <w:szCs w:val="20"/>
          <w:lang w:val="es-CR"/>
        </w:rPr>
        <w:t xml:space="preserve">constituya un obstáculo en la continuación de la investigación y determinación de </w:t>
      </w:r>
      <w:r>
        <w:rPr>
          <w:rFonts w:ascii="Verdana" w:hAnsi="Verdana"/>
          <w:sz w:val="20"/>
          <w:szCs w:val="20"/>
          <w:lang w:val="es-CR"/>
        </w:rPr>
        <w:t xml:space="preserve">[…] </w:t>
      </w:r>
      <w:r w:rsidRPr="00072ACC">
        <w:rPr>
          <w:rFonts w:ascii="Verdana" w:hAnsi="Verdana"/>
          <w:sz w:val="20"/>
          <w:szCs w:val="20"/>
          <w:lang w:val="es-CR"/>
        </w:rPr>
        <w:t>responsabilidades penales</w:t>
      </w:r>
      <w:r>
        <w:rPr>
          <w:rFonts w:ascii="Verdana" w:hAnsi="Verdana"/>
          <w:sz w:val="20"/>
          <w:szCs w:val="20"/>
          <w:lang w:val="es-CR"/>
        </w:rPr>
        <w:t>”</w:t>
      </w:r>
      <w:r w:rsidRPr="00A56D64">
        <w:rPr>
          <w:rStyle w:val="FootnoteReference"/>
          <w:rFonts w:ascii="Verdana" w:hAnsi="Verdana"/>
          <w:sz w:val="20"/>
          <w:szCs w:val="20"/>
          <w:lang w:val="es-ES_tradnl"/>
        </w:rPr>
        <w:footnoteReference w:id="172"/>
      </w:r>
      <w:r w:rsidRPr="00A56D64">
        <w:rPr>
          <w:rFonts w:ascii="Verdana" w:hAnsi="Verdana"/>
          <w:sz w:val="20"/>
          <w:szCs w:val="20"/>
          <w:lang w:val="es-ES_tradnl"/>
        </w:rPr>
        <w:t>.</w:t>
      </w:r>
    </w:p>
    <w:p w14:paraId="6C351A5A" w14:textId="77777777" w:rsidR="006A03DA" w:rsidRPr="0032068E" w:rsidRDefault="006A03DA" w:rsidP="006A03DA">
      <w:pPr>
        <w:pStyle w:val="ListParagraph"/>
        <w:spacing w:after="0" w:line="240" w:lineRule="auto"/>
        <w:ind w:right="1444"/>
        <w:jc w:val="both"/>
        <w:rPr>
          <w:rFonts w:ascii="Verdana" w:hAnsi="Verdana"/>
          <w:sz w:val="20"/>
          <w:szCs w:val="20"/>
          <w:lang w:val="es-CR"/>
        </w:rPr>
      </w:pPr>
    </w:p>
    <w:p w14:paraId="4C40EE73" w14:textId="6E88CA61" w:rsidR="006A03DA" w:rsidRPr="0032068E" w:rsidRDefault="006A03DA" w:rsidP="006A03DA">
      <w:pPr>
        <w:pStyle w:val="ListParagraph"/>
        <w:numPr>
          <w:ilvl w:val="0"/>
          <w:numId w:val="2"/>
        </w:numPr>
        <w:spacing w:after="0" w:line="240" w:lineRule="auto"/>
        <w:ind w:left="0" w:right="1444" w:firstLine="0"/>
        <w:jc w:val="both"/>
        <w:rPr>
          <w:rFonts w:ascii="Verdana" w:hAnsi="Verdana"/>
          <w:sz w:val="20"/>
          <w:szCs w:val="20"/>
          <w:lang w:val="es-CR"/>
        </w:rPr>
      </w:pPr>
      <w:r w:rsidRPr="0032068E">
        <w:rPr>
          <w:rFonts w:ascii="Verdana" w:hAnsi="Verdana"/>
          <w:sz w:val="20"/>
          <w:szCs w:val="20"/>
          <w:lang w:val="es-CR"/>
        </w:rPr>
        <w:t xml:space="preserve">Por otra parte, existe una orden de aprehensión sin ejecutar en el caso </w:t>
      </w:r>
      <w:r w:rsidRPr="0032068E">
        <w:rPr>
          <w:rFonts w:ascii="Verdana" w:hAnsi="Verdana"/>
          <w:i/>
          <w:sz w:val="20"/>
          <w:szCs w:val="20"/>
          <w:lang w:val="es-CR"/>
        </w:rPr>
        <w:t>Mack Chang</w:t>
      </w:r>
      <w:r w:rsidRPr="0032068E">
        <w:rPr>
          <w:rFonts w:ascii="Verdana" w:hAnsi="Verdana"/>
          <w:sz w:val="20"/>
          <w:szCs w:val="20"/>
          <w:lang w:val="es-CR"/>
        </w:rPr>
        <w:t xml:space="preserve"> contra el señor Juan </w:t>
      </w:r>
      <w:r w:rsidRPr="0032068E">
        <w:rPr>
          <w:rFonts w:ascii="Verdana" w:hAnsi="Verdana"/>
          <w:color w:val="000000"/>
          <w:spacing w:val="-3"/>
          <w:sz w:val="20"/>
          <w:szCs w:val="20"/>
          <w:lang w:val="es-CR"/>
        </w:rPr>
        <w:t>Valencia</w:t>
      </w:r>
      <w:r w:rsidRPr="0032068E">
        <w:rPr>
          <w:rFonts w:ascii="Verdana" w:hAnsi="Verdana"/>
          <w:sz w:val="20"/>
          <w:szCs w:val="20"/>
          <w:lang w:val="es-CR"/>
        </w:rPr>
        <w:t xml:space="preserve"> Osorio, para que cumpla su condena penal como </w:t>
      </w:r>
      <w:r>
        <w:rPr>
          <w:rFonts w:ascii="Verdana" w:hAnsi="Verdana"/>
          <w:sz w:val="20"/>
          <w:szCs w:val="20"/>
          <w:lang w:val="es-CR"/>
        </w:rPr>
        <w:t>autor</w:t>
      </w:r>
      <w:r w:rsidR="00211763">
        <w:rPr>
          <w:rFonts w:ascii="Verdana" w:hAnsi="Verdana"/>
          <w:sz w:val="20"/>
          <w:szCs w:val="20"/>
          <w:lang w:val="es-CR"/>
        </w:rPr>
        <w:t xml:space="preserve"> intelectual del </w:t>
      </w:r>
      <w:r w:rsidRPr="0032068E">
        <w:rPr>
          <w:rFonts w:ascii="Verdana" w:hAnsi="Verdana"/>
          <w:sz w:val="20"/>
          <w:szCs w:val="20"/>
          <w:lang w:val="es-CR"/>
        </w:rPr>
        <w:t>de</w:t>
      </w:r>
      <w:r w:rsidR="00211763">
        <w:rPr>
          <w:rFonts w:ascii="Verdana" w:hAnsi="Verdana"/>
          <w:sz w:val="20"/>
          <w:szCs w:val="20"/>
          <w:lang w:val="es-CR"/>
        </w:rPr>
        <w:t>lito de asesinato de</w:t>
      </w:r>
      <w:r w:rsidRPr="0032068E">
        <w:rPr>
          <w:rFonts w:ascii="Verdana" w:hAnsi="Verdana"/>
          <w:sz w:val="20"/>
          <w:szCs w:val="20"/>
          <w:lang w:val="es-CR"/>
        </w:rPr>
        <w:t xml:space="preserve"> la señora Myrna Mack. Al respecto, en la Resolución de 2009 correspondiente al caso </w:t>
      </w:r>
      <w:r w:rsidRPr="0032068E">
        <w:rPr>
          <w:rFonts w:ascii="Verdana" w:hAnsi="Verdana"/>
          <w:i/>
          <w:sz w:val="20"/>
          <w:szCs w:val="20"/>
          <w:lang w:val="es-CR"/>
        </w:rPr>
        <w:t>Mack Chang</w:t>
      </w:r>
      <w:r w:rsidRPr="0032068E">
        <w:rPr>
          <w:rFonts w:ascii="Verdana" w:hAnsi="Verdana"/>
          <w:sz w:val="20"/>
          <w:szCs w:val="20"/>
          <w:lang w:val="es-CR"/>
        </w:rPr>
        <w:t>, la Corte consideró que “</w:t>
      </w:r>
      <w:r w:rsidRPr="0032068E">
        <w:rPr>
          <w:rFonts w:ascii="Verdana" w:eastAsia="Calibri" w:hAnsi="Verdana" w:cs="Times New Roman"/>
          <w:sz w:val="20"/>
          <w:lang w:val="es-CR"/>
        </w:rPr>
        <w:t xml:space="preserve">la falta de captura de los responsables, además de perpetuar la incertidumbre de riesgo de las víctimas, evidencia en </w:t>
      </w:r>
      <w:r w:rsidRPr="0032068E">
        <w:rPr>
          <w:rFonts w:ascii="Verdana" w:eastAsia="Calibri" w:hAnsi="Verdana" w:cs="Times New Roman"/>
          <w:sz w:val="20"/>
          <w:lang w:val="es-CR"/>
        </w:rPr>
        <w:lastRenderedPageBreak/>
        <w:t>este caso que el Estado no ha adoptado las medidas adecuadas para hacer valer sus propias decisiones</w:t>
      </w:r>
      <w:r w:rsidRPr="0032068E">
        <w:rPr>
          <w:rFonts w:ascii="Verdana" w:hAnsi="Verdana"/>
          <w:sz w:val="20"/>
          <w:lang w:val="es-CR"/>
        </w:rPr>
        <w:t>”</w:t>
      </w:r>
      <w:r>
        <w:rPr>
          <w:rStyle w:val="FootnoteReference"/>
          <w:rFonts w:ascii="Verdana" w:hAnsi="Verdana"/>
          <w:sz w:val="20"/>
          <w:lang w:val="es-CR"/>
        </w:rPr>
        <w:footnoteReference w:id="173"/>
      </w:r>
      <w:r w:rsidRPr="0032068E">
        <w:rPr>
          <w:rFonts w:ascii="Verdana" w:hAnsi="Verdana"/>
          <w:sz w:val="20"/>
          <w:lang w:val="es-CR"/>
        </w:rPr>
        <w:t>.</w:t>
      </w:r>
    </w:p>
    <w:p w14:paraId="72088013" w14:textId="77777777" w:rsidR="006A03DA" w:rsidRPr="0032068E" w:rsidRDefault="006A03DA" w:rsidP="006A03DA">
      <w:pPr>
        <w:pStyle w:val="ListParagraph"/>
        <w:rPr>
          <w:rFonts w:ascii="Verdana" w:hAnsi="Verdana"/>
          <w:sz w:val="20"/>
          <w:szCs w:val="20"/>
          <w:lang w:val="es-CR"/>
        </w:rPr>
      </w:pPr>
    </w:p>
    <w:p w14:paraId="4B2651FC" w14:textId="3A5B482C" w:rsidR="006A03DA" w:rsidRDefault="006A03DA" w:rsidP="006A03DA">
      <w:pPr>
        <w:pStyle w:val="ListParagraph"/>
        <w:numPr>
          <w:ilvl w:val="0"/>
          <w:numId w:val="2"/>
        </w:numPr>
        <w:spacing w:after="0" w:line="240" w:lineRule="auto"/>
        <w:ind w:left="0" w:right="1444" w:firstLine="0"/>
        <w:jc w:val="both"/>
        <w:rPr>
          <w:rFonts w:ascii="Verdana" w:hAnsi="Verdana"/>
          <w:sz w:val="20"/>
          <w:szCs w:val="20"/>
          <w:lang w:val="es-CR"/>
        </w:rPr>
      </w:pPr>
      <w:bookmarkStart w:id="136" w:name="_Ref437953119"/>
      <w:r w:rsidRPr="0032068E">
        <w:rPr>
          <w:rFonts w:ascii="Verdana" w:hAnsi="Verdana"/>
          <w:sz w:val="20"/>
          <w:szCs w:val="20"/>
          <w:lang w:val="es-CR"/>
        </w:rPr>
        <w:t xml:space="preserve">En este sentido, la Corte considera que, al no presentar información sobre las diligencias que realiza el Estado mediante sus distintas instituciones para la ejecución </w:t>
      </w:r>
      <w:r w:rsidR="00211763">
        <w:rPr>
          <w:rFonts w:ascii="Verdana" w:hAnsi="Verdana"/>
          <w:sz w:val="20"/>
          <w:szCs w:val="20"/>
          <w:lang w:val="es-CR"/>
        </w:rPr>
        <w:t xml:space="preserve">efectiva </w:t>
      </w:r>
      <w:r w:rsidRPr="0032068E">
        <w:rPr>
          <w:rFonts w:ascii="Verdana" w:hAnsi="Verdana"/>
          <w:sz w:val="20"/>
          <w:szCs w:val="20"/>
          <w:lang w:val="es-CR"/>
        </w:rPr>
        <w:t>de las órdenes de aprehensión, tanto dentro de su territorio como las que requieren cooperación inter-estatal, y ante los señalamientos que constan en el Informe del Ministerio Público</w:t>
      </w:r>
      <w:r>
        <w:rPr>
          <w:rFonts w:ascii="Verdana" w:hAnsi="Verdana"/>
          <w:sz w:val="20"/>
          <w:szCs w:val="20"/>
          <w:lang w:val="es-CR"/>
        </w:rPr>
        <w:t xml:space="preserve"> </w:t>
      </w:r>
      <w:r w:rsidRPr="009041CF">
        <w:rPr>
          <w:rFonts w:ascii="Verdana" w:hAnsi="Verdana" w:cs="Verdana"/>
          <w:sz w:val="20"/>
          <w:szCs w:val="20"/>
          <w:lang w:val="es-ES"/>
        </w:rPr>
        <w:t>de mayo de 2014</w:t>
      </w:r>
      <w:r w:rsidRPr="0032068E">
        <w:rPr>
          <w:rFonts w:ascii="Verdana" w:hAnsi="Verdana"/>
          <w:sz w:val="20"/>
          <w:szCs w:val="20"/>
          <w:lang w:val="es-CR"/>
        </w:rPr>
        <w:t>,</w:t>
      </w:r>
      <w:r>
        <w:rPr>
          <w:rFonts w:ascii="Verdana" w:hAnsi="Verdana"/>
          <w:sz w:val="20"/>
          <w:szCs w:val="20"/>
          <w:lang w:val="es-CR"/>
        </w:rPr>
        <w:t xml:space="preserve"> así como en los escritos de las partes,</w:t>
      </w:r>
      <w:r w:rsidRPr="0032068E">
        <w:rPr>
          <w:rFonts w:ascii="Verdana" w:hAnsi="Verdana"/>
          <w:sz w:val="20"/>
          <w:szCs w:val="20"/>
          <w:lang w:val="es-CR"/>
        </w:rPr>
        <w:t xml:space="preserve"> se evidencia un obstáculo adicional al cumplimiento de la ob</w:t>
      </w:r>
      <w:r w:rsidR="00211763">
        <w:rPr>
          <w:rFonts w:ascii="Verdana" w:hAnsi="Verdana"/>
          <w:sz w:val="20"/>
          <w:szCs w:val="20"/>
          <w:lang w:val="es-CR"/>
        </w:rPr>
        <w:t>ligación de investigar ordenada</w:t>
      </w:r>
      <w:r w:rsidRPr="0032068E">
        <w:rPr>
          <w:rFonts w:ascii="Verdana" w:hAnsi="Verdana"/>
          <w:sz w:val="20"/>
          <w:szCs w:val="20"/>
          <w:lang w:val="es-CR"/>
        </w:rPr>
        <w:t xml:space="preserve"> en las Sentencias correspondientes. Por lo tanto, la Corte requiere al Estado que informe sobre las acciones que tomarán las instituciones del Estado con competencia para ejecutar las órdenes de aprehensión</w:t>
      </w:r>
      <w:r>
        <w:rPr>
          <w:rFonts w:ascii="Verdana" w:hAnsi="Verdana"/>
          <w:sz w:val="20"/>
          <w:szCs w:val="20"/>
          <w:lang w:val="es-CR"/>
        </w:rPr>
        <w:t>, vigentes y futuras,</w:t>
      </w:r>
      <w:r w:rsidRPr="0032068E">
        <w:rPr>
          <w:rFonts w:ascii="Verdana" w:hAnsi="Verdana"/>
          <w:sz w:val="20"/>
          <w:szCs w:val="20"/>
          <w:lang w:val="es-CR"/>
        </w:rPr>
        <w:t xml:space="preserve"> con relación a los </w:t>
      </w:r>
      <w:r w:rsidRPr="0032068E">
        <w:rPr>
          <w:rFonts w:ascii="Verdana" w:hAnsi="Verdana"/>
          <w:i/>
          <w:sz w:val="20"/>
          <w:szCs w:val="20"/>
          <w:lang w:val="es-CR"/>
        </w:rPr>
        <w:t>12 Casos</w:t>
      </w:r>
      <w:r w:rsidRPr="0032068E">
        <w:rPr>
          <w:rFonts w:ascii="Verdana" w:hAnsi="Verdana"/>
          <w:sz w:val="20"/>
          <w:szCs w:val="20"/>
          <w:lang w:val="es-CR"/>
        </w:rPr>
        <w:t>.</w:t>
      </w:r>
      <w:bookmarkEnd w:id="136"/>
    </w:p>
    <w:p w14:paraId="6253E3F6" w14:textId="77777777" w:rsidR="003C1F80" w:rsidRPr="0032068E" w:rsidRDefault="003C1F80" w:rsidP="003C1F80">
      <w:pPr>
        <w:pStyle w:val="ListParagraph"/>
        <w:spacing w:after="0" w:line="240" w:lineRule="auto"/>
        <w:ind w:left="0" w:right="1444"/>
        <w:jc w:val="both"/>
        <w:rPr>
          <w:rFonts w:ascii="Verdana" w:hAnsi="Verdana"/>
          <w:sz w:val="20"/>
          <w:szCs w:val="20"/>
          <w:lang w:val="es-CR"/>
        </w:rPr>
      </w:pPr>
    </w:p>
    <w:p w14:paraId="09F84A3A" w14:textId="77777777" w:rsidR="005362EA" w:rsidRPr="0032068E" w:rsidRDefault="005362EA" w:rsidP="00AD5701">
      <w:pPr>
        <w:pStyle w:val="Heading3"/>
      </w:pPr>
      <w:bookmarkStart w:id="137" w:name="_Toc435778543"/>
      <w:bookmarkStart w:id="138" w:name="_Toc439248801"/>
      <w:r w:rsidRPr="0032068E">
        <w:t>Falta de claridad sobre las líneas lógicas de investigación</w:t>
      </w:r>
      <w:bookmarkEnd w:id="137"/>
      <w:bookmarkEnd w:id="138"/>
    </w:p>
    <w:p w14:paraId="154451A3" w14:textId="77777777" w:rsidR="005362EA" w:rsidRPr="0032068E" w:rsidRDefault="005362EA" w:rsidP="005362EA">
      <w:pPr>
        <w:spacing w:after="0" w:line="240" w:lineRule="auto"/>
        <w:ind w:right="1444"/>
        <w:jc w:val="both"/>
        <w:rPr>
          <w:rFonts w:ascii="Verdana" w:hAnsi="Verdana" w:cs="Verdana"/>
          <w:i/>
          <w:sz w:val="20"/>
          <w:szCs w:val="20"/>
          <w:lang w:val="es-ES"/>
        </w:rPr>
      </w:pPr>
    </w:p>
    <w:p w14:paraId="1F30241B" w14:textId="29078150" w:rsidR="00567C84" w:rsidRPr="0032068E" w:rsidRDefault="00567C84" w:rsidP="00567C84">
      <w:pPr>
        <w:pStyle w:val="ListParagraph"/>
        <w:numPr>
          <w:ilvl w:val="0"/>
          <w:numId w:val="2"/>
        </w:numPr>
        <w:spacing w:line="240" w:lineRule="auto"/>
        <w:ind w:left="0" w:right="1444" w:firstLine="0"/>
        <w:jc w:val="both"/>
        <w:rPr>
          <w:rFonts w:ascii="Verdana" w:hAnsi="Verdana"/>
          <w:sz w:val="20"/>
          <w:szCs w:val="20"/>
          <w:lang w:val="es-CR"/>
        </w:rPr>
      </w:pPr>
      <w:r w:rsidRPr="0032068E">
        <w:rPr>
          <w:rFonts w:ascii="Verdana" w:hAnsi="Verdana"/>
          <w:sz w:val="20"/>
          <w:szCs w:val="20"/>
          <w:lang w:val="es-CR"/>
        </w:rPr>
        <w:t>A pesar de que</w:t>
      </w:r>
      <w:r w:rsidR="004E245F">
        <w:rPr>
          <w:rFonts w:ascii="Verdana" w:hAnsi="Verdana"/>
          <w:sz w:val="20"/>
          <w:szCs w:val="20"/>
          <w:lang w:val="es-CR"/>
        </w:rPr>
        <w:t xml:space="preserve"> la Corte verificó que </w:t>
      </w:r>
      <w:r w:rsidR="00601FCE">
        <w:rPr>
          <w:rFonts w:ascii="Verdana" w:hAnsi="Verdana"/>
          <w:sz w:val="20"/>
          <w:szCs w:val="20"/>
          <w:lang w:val="es-CR"/>
        </w:rPr>
        <w:t>10</w:t>
      </w:r>
      <w:r w:rsidR="004E245F">
        <w:rPr>
          <w:rFonts w:ascii="Verdana" w:hAnsi="Verdana"/>
          <w:sz w:val="20"/>
          <w:szCs w:val="20"/>
          <w:lang w:val="es-CR"/>
        </w:rPr>
        <w:t xml:space="preserve"> de </w:t>
      </w:r>
      <w:r w:rsidRPr="0032068E">
        <w:rPr>
          <w:rFonts w:ascii="Verdana" w:hAnsi="Verdana"/>
          <w:sz w:val="20"/>
          <w:szCs w:val="20"/>
          <w:lang w:val="es-CR"/>
        </w:rPr>
        <w:t>las</w:t>
      </w:r>
      <w:r w:rsidR="004E245F">
        <w:rPr>
          <w:rFonts w:ascii="Verdana" w:hAnsi="Verdana"/>
          <w:sz w:val="20"/>
          <w:szCs w:val="20"/>
          <w:lang w:val="es-CR"/>
        </w:rPr>
        <w:t xml:space="preserve"> 11</w:t>
      </w:r>
      <w:r w:rsidRPr="0032068E">
        <w:rPr>
          <w:rFonts w:ascii="Verdana" w:hAnsi="Verdana"/>
          <w:sz w:val="20"/>
          <w:szCs w:val="20"/>
          <w:lang w:val="es-CR"/>
        </w:rPr>
        <w:t xml:space="preserve"> investigaciones</w:t>
      </w:r>
      <w:r w:rsidR="00222B8F">
        <w:rPr>
          <w:rFonts w:ascii="Verdana" w:hAnsi="Verdana"/>
          <w:sz w:val="20"/>
          <w:szCs w:val="20"/>
          <w:lang w:val="es-CR"/>
        </w:rPr>
        <w:t xml:space="preserve"> en proceso</w:t>
      </w:r>
      <w:r w:rsidRPr="0032068E">
        <w:rPr>
          <w:rFonts w:ascii="Verdana" w:hAnsi="Verdana"/>
          <w:sz w:val="20"/>
          <w:szCs w:val="20"/>
          <w:lang w:val="es-CR"/>
        </w:rPr>
        <w:t xml:space="preserve"> son conocidas por </w:t>
      </w:r>
      <w:r w:rsidR="004E245F">
        <w:rPr>
          <w:rFonts w:ascii="Verdana" w:hAnsi="Verdana"/>
          <w:sz w:val="20"/>
          <w:szCs w:val="20"/>
          <w:lang w:val="es-CR"/>
        </w:rPr>
        <w:t>unidades especializadas de la Fiscalía</w:t>
      </w:r>
      <w:r w:rsidR="007C6A5E">
        <w:rPr>
          <w:rStyle w:val="FootnoteReference"/>
          <w:rFonts w:ascii="Verdana" w:hAnsi="Verdana"/>
          <w:sz w:val="20"/>
          <w:szCs w:val="20"/>
          <w:lang w:val="es-CR"/>
        </w:rPr>
        <w:footnoteReference w:id="174"/>
      </w:r>
      <w:r w:rsidR="004E245F">
        <w:rPr>
          <w:rFonts w:ascii="Verdana" w:hAnsi="Verdana"/>
          <w:sz w:val="20"/>
          <w:szCs w:val="20"/>
          <w:lang w:val="es-CR"/>
        </w:rPr>
        <w:t xml:space="preserve">, </w:t>
      </w:r>
      <w:r w:rsidR="004E245F" w:rsidRPr="0032068E">
        <w:rPr>
          <w:rFonts w:ascii="Verdana" w:hAnsi="Verdana"/>
          <w:sz w:val="20"/>
          <w:szCs w:val="20"/>
          <w:lang w:val="es-CR"/>
        </w:rPr>
        <w:t xml:space="preserve">no se pudo constatar </w:t>
      </w:r>
      <w:r w:rsidR="004E245F">
        <w:rPr>
          <w:rFonts w:ascii="Verdana" w:hAnsi="Verdana"/>
          <w:sz w:val="20"/>
          <w:szCs w:val="20"/>
          <w:lang w:val="es-CR"/>
        </w:rPr>
        <w:t xml:space="preserve">de la información presentada en los 11 casos en proceso de investigación, que tales investigaciones tuvieran </w:t>
      </w:r>
      <w:r w:rsidR="004E245F" w:rsidRPr="0032068E">
        <w:rPr>
          <w:rFonts w:ascii="Verdana" w:hAnsi="Verdana"/>
          <w:sz w:val="20"/>
          <w:szCs w:val="20"/>
          <w:lang w:val="es-CR"/>
        </w:rPr>
        <w:t xml:space="preserve">una estrategia </w:t>
      </w:r>
      <w:r w:rsidR="004E245F">
        <w:rPr>
          <w:rFonts w:ascii="Verdana" w:hAnsi="Verdana"/>
          <w:sz w:val="20"/>
          <w:szCs w:val="20"/>
          <w:lang w:val="es-CR"/>
        </w:rPr>
        <w:t xml:space="preserve">o metodología </w:t>
      </w:r>
      <w:r w:rsidR="004E245F" w:rsidRPr="0032068E">
        <w:rPr>
          <w:rFonts w:ascii="Verdana" w:hAnsi="Verdana"/>
          <w:sz w:val="20"/>
          <w:szCs w:val="20"/>
          <w:lang w:val="es-CR"/>
        </w:rPr>
        <w:t>clara dirigida a la identificación y enjuiciamiento de los perpetradores de las violaciones a derechos humanos determinadas en cada una de las sentencias</w:t>
      </w:r>
      <w:r w:rsidR="004E245F">
        <w:rPr>
          <w:rFonts w:ascii="Verdana" w:hAnsi="Verdana"/>
          <w:sz w:val="20"/>
          <w:szCs w:val="20"/>
          <w:lang w:val="es-CR"/>
        </w:rPr>
        <w:t>. Si bien en la información proporcionada por el Ministerio Público y las partes se pueden observar una serie de diligencias</w:t>
      </w:r>
      <w:r w:rsidR="007C6A5E">
        <w:rPr>
          <w:rFonts w:ascii="Verdana" w:hAnsi="Verdana"/>
          <w:sz w:val="20"/>
          <w:szCs w:val="20"/>
          <w:lang w:val="es-CR"/>
        </w:rPr>
        <w:t xml:space="preserve"> realizadas en </w:t>
      </w:r>
      <w:r w:rsidR="002F2E16">
        <w:rPr>
          <w:rFonts w:ascii="Verdana" w:hAnsi="Verdana"/>
          <w:sz w:val="20"/>
          <w:szCs w:val="20"/>
          <w:lang w:val="es-CR"/>
        </w:rPr>
        <w:t xml:space="preserve">los </w:t>
      </w:r>
      <w:r w:rsidR="007C6A5E">
        <w:rPr>
          <w:rFonts w:ascii="Verdana" w:hAnsi="Verdana"/>
          <w:sz w:val="20"/>
          <w:szCs w:val="20"/>
          <w:lang w:val="es-CR"/>
        </w:rPr>
        <w:t>distintos casos</w:t>
      </w:r>
      <w:r w:rsidR="004E245F">
        <w:rPr>
          <w:rFonts w:ascii="Verdana" w:hAnsi="Verdana"/>
          <w:sz w:val="20"/>
          <w:szCs w:val="20"/>
          <w:lang w:val="es-CR"/>
        </w:rPr>
        <w:t xml:space="preserve">, </w:t>
      </w:r>
      <w:r w:rsidR="002F2E16">
        <w:rPr>
          <w:rFonts w:ascii="Verdana" w:hAnsi="Verdana"/>
          <w:sz w:val="20"/>
          <w:szCs w:val="20"/>
          <w:lang w:val="es-CR"/>
        </w:rPr>
        <w:t>tales actuaciones</w:t>
      </w:r>
      <w:r w:rsidR="007C6A5E">
        <w:rPr>
          <w:rFonts w:ascii="Verdana" w:hAnsi="Verdana"/>
          <w:sz w:val="20"/>
          <w:szCs w:val="20"/>
          <w:lang w:val="es-CR"/>
        </w:rPr>
        <w:t xml:space="preserve"> no son presentadas de forma sistemática en </w:t>
      </w:r>
      <w:r w:rsidR="002F2E16">
        <w:rPr>
          <w:rFonts w:ascii="Verdana" w:hAnsi="Verdana"/>
          <w:sz w:val="20"/>
          <w:szCs w:val="20"/>
          <w:lang w:val="es-CR"/>
        </w:rPr>
        <w:t>los</w:t>
      </w:r>
      <w:r w:rsidR="007C6A5E">
        <w:rPr>
          <w:rFonts w:ascii="Verdana" w:hAnsi="Verdana"/>
          <w:sz w:val="20"/>
          <w:szCs w:val="20"/>
          <w:lang w:val="es-CR"/>
        </w:rPr>
        <w:t xml:space="preserve"> informe</w:t>
      </w:r>
      <w:r w:rsidR="002F2E16">
        <w:rPr>
          <w:rFonts w:ascii="Verdana" w:hAnsi="Verdana"/>
          <w:sz w:val="20"/>
          <w:szCs w:val="20"/>
          <w:lang w:val="es-CR"/>
        </w:rPr>
        <w:t>s</w:t>
      </w:r>
      <w:r w:rsidR="007C6A5E">
        <w:rPr>
          <w:rFonts w:ascii="Verdana" w:hAnsi="Verdana"/>
          <w:sz w:val="20"/>
          <w:szCs w:val="20"/>
          <w:lang w:val="es-CR"/>
        </w:rPr>
        <w:t xml:space="preserve"> y, además,</w:t>
      </w:r>
      <w:r w:rsidR="007C6A5E" w:rsidRPr="007C6A5E">
        <w:rPr>
          <w:rFonts w:ascii="Verdana" w:hAnsi="Verdana"/>
          <w:sz w:val="20"/>
          <w:szCs w:val="20"/>
          <w:lang w:val="es-CR"/>
        </w:rPr>
        <w:t xml:space="preserve"> </w:t>
      </w:r>
      <w:r w:rsidR="007C6A5E" w:rsidRPr="0032068E">
        <w:rPr>
          <w:rFonts w:ascii="Verdana" w:hAnsi="Verdana"/>
          <w:sz w:val="20"/>
          <w:szCs w:val="20"/>
          <w:lang w:val="es-CR"/>
        </w:rPr>
        <w:t>no se desprenden con claridad las fechas de las actuaciones realizadas en varios casos</w:t>
      </w:r>
      <w:r w:rsidR="007C6A5E" w:rsidRPr="0032068E">
        <w:rPr>
          <w:rStyle w:val="FootnoteReference"/>
          <w:rFonts w:ascii="Verdana" w:hAnsi="Verdana"/>
          <w:sz w:val="20"/>
          <w:szCs w:val="20"/>
          <w:lang w:val="es-CR"/>
        </w:rPr>
        <w:footnoteReference w:id="175"/>
      </w:r>
      <w:r w:rsidR="007C6A5E" w:rsidRPr="0032068E">
        <w:rPr>
          <w:rFonts w:ascii="Verdana" w:hAnsi="Verdana"/>
          <w:sz w:val="20"/>
          <w:szCs w:val="20"/>
          <w:lang w:val="es-CR"/>
        </w:rPr>
        <w:t>, lo cual dificulta la valoración sobre si existe una secuencia lógica en la investigación.</w:t>
      </w:r>
      <w:r w:rsidR="00222B8F">
        <w:rPr>
          <w:rFonts w:ascii="Verdana" w:hAnsi="Verdana"/>
          <w:sz w:val="20"/>
          <w:szCs w:val="20"/>
          <w:lang w:val="es-CR"/>
        </w:rPr>
        <w:t xml:space="preserve"> </w:t>
      </w:r>
    </w:p>
    <w:p w14:paraId="14E5ECC3" w14:textId="77777777" w:rsidR="00567C84" w:rsidRPr="0032068E" w:rsidRDefault="00567C84" w:rsidP="00567C84">
      <w:pPr>
        <w:pStyle w:val="ListParagraph"/>
        <w:spacing w:line="240" w:lineRule="auto"/>
        <w:ind w:left="0" w:right="1444"/>
        <w:jc w:val="both"/>
        <w:rPr>
          <w:rFonts w:ascii="Verdana" w:hAnsi="Verdana"/>
          <w:sz w:val="20"/>
          <w:szCs w:val="20"/>
          <w:lang w:val="es-CR"/>
        </w:rPr>
      </w:pPr>
    </w:p>
    <w:p w14:paraId="53B8BD38" w14:textId="7983D9EB" w:rsidR="00567C84" w:rsidRPr="0032068E" w:rsidRDefault="00F33785" w:rsidP="00567C84">
      <w:pPr>
        <w:pStyle w:val="ListParagraph"/>
        <w:numPr>
          <w:ilvl w:val="0"/>
          <w:numId w:val="2"/>
        </w:numPr>
        <w:spacing w:line="240" w:lineRule="auto"/>
        <w:ind w:left="0" w:right="1444" w:firstLine="0"/>
        <w:jc w:val="both"/>
        <w:rPr>
          <w:rFonts w:ascii="Verdana" w:hAnsi="Verdana"/>
          <w:sz w:val="20"/>
          <w:szCs w:val="20"/>
          <w:lang w:val="es-CR"/>
        </w:rPr>
      </w:pPr>
      <w:r>
        <w:rPr>
          <w:rFonts w:ascii="Verdana" w:hAnsi="Verdana"/>
          <w:sz w:val="20"/>
          <w:szCs w:val="20"/>
          <w:lang w:val="es-CR"/>
        </w:rPr>
        <w:t>E</w:t>
      </w:r>
      <w:r w:rsidR="00567C84" w:rsidRPr="0032068E">
        <w:rPr>
          <w:rFonts w:ascii="Verdana" w:hAnsi="Verdana"/>
          <w:sz w:val="20"/>
          <w:szCs w:val="20"/>
          <w:lang w:val="es-CR"/>
        </w:rPr>
        <w:t xml:space="preserve">n el </w:t>
      </w:r>
      <w:r>
        <w:rPr>
          <w:rFonts w:ascii="Verdana" w:hAnsi="Verdana"/>
          <w:sz w:val="20"/>
          <w:szCs w:val="20"/>
          <w:lang w:val="es-CR"/>
        </w:rPr>
        <w:t>informe del Estado del año 2011</w:t>
      </w:r>
      <w:r w:rsidR="00567C84" w:rsidRPr="0032068E">
        <w:rPr>
          <w:rFonts w:ascii="Verdana" w:hAnsi="Verdana"/>
          <w:sz w:val="20"/>
          <w:szCs w:val="20"/>
          <w:lang w:val="es-CR"/>
        </w:rPr>
        <w:t xml:space="preserve"> se hace referencia expresa al establecimiento de líneas o de un plan de investigación, tanto en el caso </w:t>
      </w:r>
      <w:r w:rsidR="00567C84" w:rsidRPr="0032068E">
        <w:rPr>
          <w:rFonts w:ascii="Verdana" w:hAnsi="Verdana"/>
          <w:i/>
          <w:sz w:val="20"/>
          <w:szCs w:val="20"/>
          <w:lang w:val="es-CR"/>
        </w:rPr>
        <w:t xml:space="preserve">Niños de la Calle </w:t>
      </w:r>
      <w:r w:rsidR="00567C84" w:rsidRPr="0032068E">
        <w:rPr>
          <w:rFonts w:ascii="Verdana" w:hAnsi="Verdana"/>
          <w:sz w:val="20"/>
          <w:szCs w:val="20"/>
          <w:lang w:val="es-CR"/>
        </w:rPr>
        <w:t xml:space="preserve">como </w:t>
      </w:r>
      <w:r w:rsidR="00567C84" w:rsidRPr="0032068E">
        <w:rPr>
          <w:rFonts w:ascii="Verdana" w:hAnsi="Verdana"/>
          <w:i/>
          <w:sz w:val="20"/>
          <w:szCs w:val="20"/>
          <w:lang w:val="es-CR"/>
        </w:rPr>
        <w:t>Carpio Nicolle</w:t>
      </w:r>
      <w:r w:rsidR="00567C84" w:rsidRPr="00040DA0">
        <w:rPr>
          <w:rFonts w:ascii="Verdana" w:hAnsi="Verdana"/>
          <w:sz w:val="20"/>
          <w:szCs w:val="20"/>
          <w:lang w:val="es-CR"/>
        </w:rPr>
        <w:t>,</w:t>
      </w:r>
      <w:r w:rsidR="00567C84" w:rsidRPr="0032068E">
        <w:rPr>
          <w:rFonts w:ascii="Verdana" w:hAnsi="Verdana"/>
          <w:b/>
          <w:sz w:val="20"/>
          <w:szCs w:val="20"/>
          <w:lang w:val="es-CR"/>
        </w:rPr>
        <w:t xml:space="preserve"> </w:t>
      </w:r>
      <w:r w:rsidR="00567C84" w:rsidRPr="0032068E">
        <w:rPr>
          <w:rFonts w:ascii="Verdana" w:hAnsi="Verdana"/>
          <w:sz w:val="20"/>
          <w:szCs w:val="20"/>
          <w:lang w:val="es-CR"/>
        </w:rPr>
        <w:t>donde nombró cada una de las diligencias llevadas a cabo para cumplir con dichas líneas de investigación. Al respecto, la Comisión, en su escrito del año 2011, afirmó “que las líneas de investigación referidas por el Estado se tratan de diligencias pendientes dentr</w:t>
      </w:r>
      <w:r w:rsidR="00040DA0">
        <w:rPr>
          <w:rFonts w:ascii="Verdana" w:hAnsi="Verdana"/>
          <w:sz w:val="20"/>
          <w:szCs w:val="20"/>
          <w:lang w:val="es-CR"/>
        </w:rPr>
        <w:t>o del proceso de investigación”.</w:t>
      </w:r>
    </w:p>
    <w:p w14:paraId="713FF903" w14:textId="77777777" w:rsidR="00567C84" w:rsidRPr="0032068E" w:rsidRDefault="00567C84" w:rsidP="00567C84">
      <w:pPr>
        <w:pStyle w:val="ListParagraph"/>
        <w:ind w:left="0"/>
        <w:rPr>
          <w:rFonts w:ascii="Verdana" w:hAnsi="Verdana" w:cs="Verdana"/>
          <w:sz w:val="20"/>
          <w:szCs w:val="20"/>
          <w:lang w:val="es-ES"/>
        </w:rPr>
      </w:pPr>
    </w:p>
    <w:p w14:paraId="3E40E8F8" w14:textId="75BCEA80" w:rsidR="00567C84" w:rsidRPr="0032068E" w:rsidRDefault="00567C84" w:rsidP="00567C84">
      <w:pPr>
        <w:pStyle w:val="ListParagraph"/>
        <w:numPr>
          <w:ilvl w:val="0"/>
          <w:numId w:val="2"/>
        </w:numPr>
        <w:spacing w:after="0" w:line="240" w:lineRule="auto"/>
        <w:ind w:left="0" w:right="1444" w:firstLine="0"/>
        <w:jc w:val="both"/>
        <w:rPr>
          <w:rFonts w:ascii="Verdana" w:hAnsi="Verdana"/>
          <w:sz w:val="20"/>
          <w:szCs w:val="20"/>
          <w:lang w:val="es-CR"/>
        </w:rPr>
      </w:pPr>
      <w:r w:rsidRPr="0032068E">
        <w:rPr>
          <w:rFonts w:ascii="Verdana" w:hAnsi="Verdana"/>
          <w:sz w:val="20"/>
          <w:szCs w:val="20"/>
          <w:lang w:val="es-CR"/>
        </w:rPr>
        <w:t xml:space="preserve">Esta Corte ha establecido que una debida diligencia en investigaciones como las presentes exigen que éstas sean conducidas tomando en cuenta la complejidad de los hechos, el contexto en que ocurrieron y los patrones que explican su comisión, evitando omisiones en la recaudación de prueba y en el seguimiento de líneas lógicas de </w:t>
      </w:r>
      <w:r w:rsidRPr="00CA51F5">
        <w:rPr>
          <w:rFonts w:ascii="Verdana" w:hAnsi="Verdana"/>
          <w:sz w:val="20"/>
          <w:szCs w:val="20"/>
          <w:lang w:val="es-CR"/>
        </w:rPr>
        <w:t>investigación (</w:t>
      </w:r>
      <w:r w:rsidRPr="00CA51F5">
        <w:rPr>
          <w:rFonts w:ascii="Verdana" w:hAnsi="Verdana"/>
          <w:i/>
          <w:sz w:val="20"/>
          <w:szCs w:val="20"/>
          <w:lang w:val="es-CR"/>
        </w:rPr>
        <w:t>supra</w:t>
      </w:r>
      <w:r w:rsidRPr="00CA51F5">
        <w:rPr>
          <w:rFonts w:ascii="Verdana" w:hAnsi="Verdana"/>
          <w:sz w:val="20"/>
          <w:szCs w:val="20"/>
          <w:lang w:val="es-CR"/>
        </w:rPr>
        <w:t xml:space="preserve"> </w:t>
      </w:r>
      <w:r w:rsidRPr="00CA51F5">
        <w:rPr>
          <w:rFonts w:ascii="Verdana" w:hAnsi="Verdana"/>
          <w:sz w:val="20"/>
          <w:szCs w:val="20"/>
          <w:lang w:val="es-CR"/>
        </w:rPr>
        <w:lastRenderedPageBreak/>
        <w:t xml:space="preserve">Considerando </w:t>
      </w:r>
      <w:r w:rsidR="00040DA0" w:rsidRPr="00CA51F5">
        <w:rPr>
          <w:rFonts w:ascii="Verdana" w:hAnsi="Verdana"/>
          <w:sz w:val="20"/>
          <w:szCs w:val="20"/>
          <w:lang w:val="es-CR"/>
        </w:rPr>
        <w:fldChar w:fldCharType="begin"/>
      </w:r>
      <w:r w:rsidR="00040DA0" w:rsidRPr="00CA51F5">
        <w:rPr>
          <w:rFonts w:ascii="Verdana" w:hAnsi="Verdana"/>
          <w:sz w:val="20"/>
          <w:szCs w:val="20"/>
          <w:lang w:val="es-CR"/>
        </w:rPr>
        <w:instrText xml:space="preserve"> REF _Ref437846304 \r \h </w:instrText>
      </w:r>
      <w:r w:rsidR="008353BF" w:rsidRPr="00CA51F5">
        <w:rPr>
          <w:rFonts w:ascii="Verdana" w:hAnsi="Verdana"/>
          <w:sz w:val="20"/>
          <w:szCs w:val="20"/>
          <w:lang w:val="es-CR"/>
        </w:rPr>
        <w:instrText xml:space="preserve"> \* MERGEFORMAT </w:instrText>
      </w:r>
      <w:r w:rsidR="00040DA0" w:rsidRPr="00CA51F5">
        <w:rPr>
          <w:rFonts w:ascii="Verdana" w:hAnsi="Verdana"/>
          <w:sz w:val="20"/>
          <w:szCs w:val="20"/>
          <w:lang w:val="es-CR"/>
        </w:rPr>
      </w:r>
      <w:r w:rsidR="00040DA0" w:rsidRPr="00CA51F5">
        <w:rPr>
          <w:rFonts w:ascii="Verdana" w:hAnsi="Verdana"/>
          <w:sz w:val="20"/>
          <w:szCs w:val="20"/>
          <w:lang w:val="es-CR"/>
        </w:rPr>
        <w:fldChar w:fldCharType="separate"/>
      </w:r>
      <w:r w:rsidR="007E3C4B">
        <w:rPr>
          <w:rFonts w:ascii="Verdana" w:hAnsi="Verdana"/>
          <w:sz w:val="20"/>
          <w:szCs w:val="20"/>
          <w:lang w:val="es-CR"/>
        </w:rPr>
        <w:t>40</w:t>
      </w:r>
      <w:r w:rsidR="00040DA0" w:rsidRPr="00CA51F5">
        <w:rPr>
          <w:rFonts w:ascii="Verdana" w:hAnsi="Verdana"/>
          <w:sz w:val="20"/>
          <w:szCs w:val="20"/>
          <w:lang w:val="es-CR"/>
        </w:rPr>
        <w:fldChar w:fldCharType="end"/>
      </w:r>
      <w:r w:rsidRPr="00CA51F5">
        <w:rPr>
          <w:rFonts w:ascii="Verdana" w:hAnsi="Verdana"/>
          <w:sz w:val="20"/>
          <w:szCs w:val="20"/>
          <w:lang w:val="es-CR"/>
        </w:rPr>
        <w:t>)</w:t>
      </w:r>
      <w:r w:rsidRPr="00CA51F5">
        <w:rPr>
          <w:rStyle w:val="FootnoteReference"/>
          <w:rFonts w:ascii="Verdana" w:hAnsi="Verdana"/>
          <w:sz w:val="20"/>
          <w:szCs w:val="20"/>
          <w:lang w:val="es-CR"/>
        </w:rPr>
        <w:footnoteReference w:id="176"/>
      </w:r>
      <w:r w:rsidRPr="00CA51F5">
        <w:rPr>
          <w:rFonts w:ascii="Verdana" w:hAnsi="Verdana"/>
          <w:sz w:val="20"/>
          <w:szCs w:val="20"/>
          <w:lang w:val="es-CR"/>
        </w:rPr>
        <w:t>.</w:t>
      </w:r>
      <w:r w:rsidRPr="0032068E">
        <w:rPr>
          <w:rFonts w:ascii="Verdana" w:hAnsi="Verdana"/>
          <w:sz w:val="20"/>
          <w:szCs w:val="20"/>
          <w:lang w:val="es-CR"/>
        </w:rPr>
        <w:t xml:space="preserve"> </w:t>
      </w:r>
      <w:r w:rsidR="005678B7">
        <w:rPr>
          <w:rFonts w:ascii="Verdana" w:hAnsi="Verdana"/>
          <w:sz w:val="20"/>
          <w:szCs w:val="20"/>
          <w:lang w:val="es-CR"/>
        </w:rPr>
        <w:t xml:space="preserve">En otros casos en que </w:t>
      </w:r>
      <w:r w:rsidRPr="0032068E">
        <w:rPr>
          <w:rFonts w:ascii="Verdana" w:hAnsi="Verdana"/>
          <w:sz w:val="20"/>
          <w:szCs w:val="20"/>
          <w:lang w:val="es-CR"/>
        </w:rPr>
        <w:t xml:space="preserve">esta Corte ha </w:t>
      </w:r>
      <w:r w:rsidR="005678B7">
        <w:rPr>
          <w:rFonts w:ascii="Verdana" w:hAnsi="Verdana"/>
          <w:sz w:val="20"/>
          <w:szCs w:val="20"/>
          <w:lang w:val="es-CR"/>
        </w:rPr>
        <w:t>valorado</w:t>
      </w:r>
      <w:r w:rsidRPr="0032068E">
        <w:rPr>
          <w:rFonts w:ascii="Verdana" w:hAnsi="Verdana"/>
          <w:sz w:val="20"/>
          <w:szCs w:val="20"/>
          <w:lang w:val="es-CR"/>
        </w:rPr>
        <w:t xml:space="preserve"> la falta de una “estrategia de investigación y decidida, que conduzca a la identificación y juzgamiento de los presuntos responsables” de la desaparición de las víctimas, determinó que corresponde al Estado hacer uso pleno de sus potestades investigativas con el fin de evitar toda omisión en la recaudación de prueba y en el seguimiento de líneas lógicas de investigación, a fin de lograr una eficaz determinación de los responsables y su posible sanción</w:t>
      </w:r>
      <w:r w:rsidRPr="0032068E">
        <w:rPr>
          <w:rStyle w:val="FootnoteReference"/>
          <w:rFonts w:ascii="Verdana" w:hAnsi="Verdana"/>
          <w:sz w:val="20"/>
          <w:szCs w:val="20"/>
          <w:lang w:val="es-CR"/>
        </w:rPr>
        <w:footnoteReference w:id="177"/>
      </w:r>
      <w:r w:rsidRPr="0032068E">
        <w:rPr>
          <w:rFonts w:ascii="Verdana" w:hAnsi="Verdana"/>
          <w:sz w:val="20"/>
          <w:szCs w:val="20"/>
          <w:lang w:val="es-CR"/>
        </w:rPr>
        <w:t xml:space="preserve">. </w:t>
      </w:r>
    </w:p>
    <w:p w14:paraId="5B3635C1" w14:textId="77777777" w:rsidR="00567C84" w:rsidRPr="0032068E" w:rsidRDefault="00567C84" w:rsidP="00567C84">
      <w:pPr>
        <w:pStyle w:val="ListParagraph"/>
        <w:rPr>
          <w:rFonts w:ascii="Verdana" w:hAnsi="Verdana"/>
          <w:sz w:val="20"/>
          <w:szCs w:val="20"/>
          <w:lang w:val="es-CR"/>
        </w:rPr>
      </w:pPr>
    </w:p>
    <w:p w14:paraId="49B907C7" w14:textId="77777777" w:rsidR="00567C84" w:rsidRPr="0032068E" w:rsidRDefault="00567C84" w:rsidP="00567C84">
      <w:pPr>
        <w:pStyle w:val="ListParagraph"/>
        <w:numPr>
          <w:ilvl w:val="0"/>
          <w:numId w:val="2"/>
        </w:numPr>
        <w:spacing w:after="0" w:line="240" w:lineRule="auto"/>
        <w:ind w:left="0" w:right="1444" w:firstLine="0"/>
        <w:jc w:val="both"/>
        <w:rPr>
          <w:rFonts w:ascii="Verdana" w:hAnsi="Verdana"/>
          <w:sz w:val="20"/>
          <w:szCs w:val="20"/>
          <w:lang w:val="es-CR"/>
        </w:rPr>
      </w:pPr>
      <w:r w:rsidRPr="0032068E">
        <w:rPr>
          <w:rFonts w:ascii="Verdana" w:hAnsi="Verdana"/>
          <w:sz w:val="20"/>
          <w:szCs w:val="20"/>
          <w:lang w:val="es-CR"/>
        </w:rPr>
        <w:t xml:space="preserve">En los casos bajo análisis, la Corte no cuenta con elementos suficientes para considerar que las actuaciones realizadas por el Estado para la identificación de los responsables de las violaciones a derechos humanos señaladas en las sentencias, y su posterior juzgamiento y sanción, siguen líneas lógicas de investigación.  </w:t>
      </w:r>
    </w:p>
    <w:p w14:paraId="5A6C2EE3" w14:textId="77777777" w:rsidR="00567C84" w:rsidRPr="0032068E" w:rsidRDefault="00567C84" w:rsidP="00567C84">
      <w:pPr>
        <w:pStyle w:val="ListParagraph"/>
        <w:rPr>
          <w:rFonts w:ascii="Verdana" w:hAnsi="Verdana"/>
          <w:sz w:val="20"/>
          <w:szCs w:val="20"/>
          <w:lang w:val="es-CR"/>
        </w:rPr>
      </w:pPr>
    </w:p>
    <w:p w14:paraId="7741262E" w14:textId="6B7D2F6D" w:rsidR="00001D43" w:rsidRPr="0032068E" w:rsidRDefault="00567C84" w:rsidP="00567C84">
      <w:pPr>
        <w:pStyle w:val="ListParagraph"/>
        <w:numPr>
          <w:ilvl w:val="0"/>
          <w:numId w:val="2"/>
        </w:numPr>
        <w:spacing w:after="0" w:line="240" w:lineRule="auto"/>
        <w:ind w:left="0" w:right="1444" w:firstLine="0"/>
        <w:jc w:val="both"/>
        <w:rPr>
          <w:rFonts w:ascii="Verdana" w:hAnsi="Verdana"/>
          <w:sz w:val="20"/>
          <w:szCs w:val="20"/>
          <w:lang w:val="es-CR"/>
        </w:rPr>
      </w:pPr>
      <w:r w:rsidRPr="0032068E">
        <w:rPr>
          <w:rFonts w:ascii="Verdana" w:hAnsi="Verdana"/>
          <w:sz w:val="20"/>
          <w:szCs w:val="20"/>
          <w:lang w:val="es-CR"/>
        </w:rPr>
        <w:t>En efecto, la Corte toma nota de las actuaciones enunciadas por el Estado, al igual que de la existencia de una Unidad Especializada dentro del Ministerio Público para la investigación de los hechos ocurridos durante el conflicto armado interno</w:t>
      </w:r>
      <w:r w:rsidR="00A435A5" w:rsidRPr="0032068E">
        <w:rPr>
          <w:rStyle w:val="FootnoteReference"/>
          <w:rFonts w:ascii="Verdana" w:hAnsi="Verdana"/>
          <w:sz w:val="20"/>
          <w:szCs w:val="20"/>
          <w:lang w:val="es-CR"/>
        </w:rPr>
        <w:footnoteReference w:id="178"/>
      </w:r>
      <w:r w:rsidR="00001D43" w:rsidRPr="0032068E">
        <w:rPr>
          <w:rFonts w:ascii="Verdana" w:hAnsi="Verdana"/>
          <w:sz w:val="20"/>
          <w:szCs w:val="20"/>
          <w:lang w:val="es-CR"/>
        </w:rPr>
        <w:t xml:space="preserve">. </w:t>
      </w:r>
      <w:r w:rsidR="00001D43" w:rsidRPr="0032068E">
        <w:rPr>
          <w:rFonts w:ascii="Verdana" w:hAnsi="Verdana"/>
          <w:sz w:val="20"/>
          <w:szCs w:val="20"/>
          <w:lang w:val="es-ES"/>
        </w:rPr>
        <w:t xml:space="preserve">El Tribunal considera que la misma puede </w:t>
      </w:r>
      <w:r w:rsidR="00001D43" w:rsidRPr="0032068E">
        <w:rPr>
          <w:rFonts w:ascii="Verdana" w:hAnsi="Verdana"/>
          <w:sz w:val="20"/>
          <w:szCs w:val="20"/>
          <w:lang w:val="es-ES_tradnl"/>
        </w:rPr>
        <w:t>contribuir positivamente a la efectividad en la investigación de los hechos si va acompañado de otros factores determinantes para la debida diligencia de la investigación. La atención de estos casos por una unidad de la fiscalía debería coadyuvar a tener mejores capacidades y conocimientos sobre las líneas lógicas de investigación que se deben desarrollar para estos casos, partiendo de un estudio de los diferentes elementos probatorios que tomen en cuenta, entre otros aspectos, las estrategias y métodos de operación de fuerzas estatales de seguridad durante el conflicto armado y sean capaces de identificar las unidades policiales y militares involucradas en las violaciones</w:t>
      </w:r>
      <w:r w:rsidR="005678B7">
        <w:rPr>
          <w:rFonts w:ascii="Verdana" w:hAnsi="Verdana"/>
          <w:sz w:val="20"/>
          <w:szCs w:val="20"/>
          <w:lang w:val="es-ES_tradnl"/>
        </w:rPr>
        <w:t>.</w:t>
      </w:r>
    </w:p>
    <w:p w14:paraId="1AD7D1F6" w14:textId="77777777" w:rsidR="00001D43" w:rsidRPr="0032068E" w:rsidRDefault="00001D43" w:rsidP="00001D43">
      <w:pPr>
        <w:pStyle w:val="ListParagraph"/>
        <w:rPr>
          <w:rFonts w:ascii="Verdana" w:hAnsi="Verdana"/>
          <w:sz w:val="20"/>
          <w:szCs w:val="20"/>
          <w:lang w:val="es-CR"/>
        </w:rPr>
      </w:pPr>
    </w:p>
    <w:p w14:paraId="034FB341" w14:textId="27FDE819" w:rsidR="00567C84" w:rsidRPr="0032068E" w:rsidRDefault="00567C84" w:rsidP="00567C84">
      <w:pPr>
        <w:pStyle w:val="ListParagraph"/>
        <w:numPr>
          <w:ilvl w:val="0"/>
          <w:numId w:val="2"/>
        </w:numPr>
        <w:spacing w:after="0" w:line="240" w:lineRule="auto"/>
        <w:ind w:left="0" w:right="1444" w:firstLine="0"/>
        <w:jc w:val="both"/>
        <w:rPr>
          <w:rFonts w:ascii="Verdana" w:hAnsi="Verdana"/>
          <w:sz w:val="20"/>
          <w:szCs w:val="20"/>
          <w:lang w:val="es-CR"/>
        </w:rPr>
      </w:pPr>
      <w:r w:rsidRPr="0032068E">
        <w:rPr>
          <w:rFonts w:ascii="Verdana" w:hAnsi="Verdana"/>
          <w:sz w:val="20"/>
          <w:szCs w:val="20"/>
          <w:lang w:val="es-CR"/>
        </w:rPr>
        <w:t xml:space="preserve">No obstante, la Corte resalta: (i) la existencia de recurrentes e infructuosas solicitudes de información, las cuales son uno de los pocos medios de investigación utilizados por el Estado según la información proporcionada; (ii) la ausencia de alternativas proporcionadas por el Estado para resolver las dificultades en la recaudación de la prueba; (iii) la ausencia de identificación en una secuencia lógica de las actuaciones correspondientes a la investigación; y, (iv) en general, la falta de información detallada brindada por el Estado en sus informes sobre los pasos a seguir para la determinación de los hechos e identificación, juzgamiento y sanción de los responsables. </w:t>
      </w:r>
    </w:p>
    <w:p w14:paraId="239C7099" w14:textId="77777777" w:rsidR="00567C84" w:rsidRPr="0032068E" w:rsidRDefault="00567C84" w:rsidP="00567C84">
      <w:pPr>
        <w:pStyle w:val="ListParagraph"/>
        <w:rPr>
          <w:rFonts w:ascii="Verdana" w:hAnsi="Verdana"/>
          <w:sz w:val="20"/>
          <w:szCs w:val="20"/>
          <w:lang w:val="es-CR"/>
        </w:rPr>
      </w:pPr>
    </w:p>
    <w:p w14:paraId="439868F6" w14:textId="30D6F9FD" w:rsidR="00567C84" w:rsidRPr="005678B7" w:rsidRDefault="00567C84" w:rsidP="00567C84">
      <w:pPr>
        <w:pStyle w:val="ListParagraph"/>
        <w:numPr>
          <w:ilvl w:val="0"/>
          <w:numId w:val="2"/>
        </w:numPr>
        <w:spacing w:after="0" w:line="240" w:lineRule="auto"/>
        <w:ind w:left="0" w:right="1444" w:firstLine="0"/>
        <w:jc w:val="both"/>
        <w:rPr>
          <w:rFonts w:ascii="Verdana" w:hAnsi="Verdana"/>
          <w:sz w:val="20"/>
          <w:szCs w:val="20"/>
          <w:lang w:val="es-CR"/>
        </w:rPr>
      </w:pPr>
      <w:r w:rsidRPr="005678B7">
        <w:rPr>
          <w:rFonts w:ascii="Verdana" w:hAnsi="Verdana"/>
          <w:sz w:val="20"/>
          <w:szCs w:val="20"/>
          <w:lang w:val="es-CR"/>
        </w:rPr>
        <w:t xml:space="preserve">En este sentido, la Corte hace notar lo señalado por los representantes en la audiencia celebrada en </w:t>
      </w:r>
      <w:r w:rsidR="005678B7" w:rsidRPr="005678B7">
        <w:rPr>
          <w:rFonts w:ascii="Verdana" w:hAnsi="Verdana"/>
          <w:sz w:val="20"/>
          <w:szCs w:val="20"/>
          <w:lang w:val="es-CR"/>
        </w:rPr>
        <w:t xml:space="preserve">el </w:t>
      </w:r>
      <w:r w:rsidRPr="005678B7">
        <w:rPr>
          <w:rFonts w:ascii="Verdana" w:hAnsi="Verdana"/>
          <w:sz w:val="20"/>
          <w:szCs w:val="20"/>
          <w:lang w:val="es-CR"/>
        </w:rPr>
        <w:t>2014, al afirmar que las investigaciones se han caracterizado “por la ausencia de un plan adecuado de investigación</w:t>
      </w:r>
      <w:r w:rsidR="005678B7" w:rsidRPr="005678B7">
        <w:rPr>
          <w:rFonts w:ascii="Verdana" w:hAnsi="Verdana"/>
          <w:sz w:val="20"/>
          <w:szCs w:val="20"/>
          <w:lang w:val="es-CR"/>
        </w:rPr>
        <w:t>” y que</w:t>
      </w:r>
      <w:r w:rsidRPr="005678B7">
        <w:rPr>
          <w:rFonts w:ascii="Verdana" w:hAnsi="Verdana"/>
          <w:sz w:val="20"/>
          <w:szCs w:val="20"/>
          <w:lang w:val="es-CR"/>
        </w:rPr>
        <w:t xml:space="preserve"> </w:t>
      </w:r>
      <w:r w:rsidR="005678B7" w:rsidRPr="005678B7">
        <w:rPr>
          <w:rFonts w:ascii="Verdana" w:hAnsi="Verdana"/>
          <w:sz w:val="20"/>
          <w:szCs w:val="20"/>
          <w:lang w:val="es-CR"/>
        </w:rPr>
        <w:t>“generalmente</w:t>
      </w:r>
      <w:r w:rsidRPr="005678B7">
        <w:rPr>
          <w:rFonts w:ascii="Verdana" w:hAnsi="Verdana"/>
          <w:sz w:val="20"/>
          <w:szCs w:val="20"/>
          <w:lang w:val="es-CR"/>
        </w:rPr>
        <w:t xml:space="preserve"> el Ministerio Público se ha limitado a plantear una serie de diligencias formales que no se adecuan a las particularidades de cada caso, al contexto y a los hechos y la forma como fueron ocurridas las situaciones que co</w:t>
      </w:r>
      <w:r w:rsidR="005678B7" w:rsidRPr="005678B7">
        <w:rPr>
          <w:rFonts w:ascii="Verdana" w:hAnsi="Verdana"/>
          <w:sz w:val="20"/>
          <w:szCs w:val="20"/>
          <w:lang w:val="es-CR"/>
        </w:rPr>
        <w:t>rresponden  a cada uno de ellos;</w:t>
      </w:r>
      <w:r w:rsidRPr="005678B7">
        <w:rPr>
          <w:rFonts w:ascii="Verdana" w:hAnsi="Verdana"/>
          <w:sz w:val="20"/>
          <w:szCs w:val="20"/>
          <w:lang w:val="es-CR"/>
        </w:rPr>
        <w:t xml:space="preserve"> es decir</w:t>
      </w:r>
      <w:r w:rsidR="005678B7" w:rsidRPr="005678B7">
        <w:rPr>
          <w:rFonts w:ascii="Verdana" w:hAnsi="Verdana"/>
          <w:sz w:val="20"/>
          <w:szCs w:val="20"/>
          <w:lang w:val="es-CR"/>
        </w:rPr>
        <w:t>,</w:t>
      </w:r>
      <w:r w:rsidRPr="005678B7">
        <w:rPr>
          <w:rFonts w:ascii="Verdana" w:hAnsi="Verdana"/>
          <w:sz w:val="20"/>
          <w:szCs w:val="20"/>
          <w:lang w:val="es-CR"/>
        </w:rPr>
        <w:t xml:space="preserve"> no se establecen hipótesis claras de investigación vinculadas con patrones sistemáticos de violaciones en el marco de los cuales se perpetraron los hechos”</w:t>
      </w:r>
      <w:r w:rsidR="00B15B5C" w:rsidRPr="005678B7">
        <w:rPr>
          <w:rFonts w:ascii="Verdana" w:hAnsi="Verdana"/>
          <w:sz w:val="20"/>
          <w:szCs w:val="20"/>
          <w:lang w:val="es-CR"/>
        </w:rPr>
        <w:t>.</w:t>
      </w:r>
      <w:r w:rsidRPr="005678B7">
        <w:rPr>
          <w:rFonts w:ascii="Verdana" w:hAnsi="Verdana"/>
          <w:sz w:val="20"/>
          <w:szCs w:val="20"/>
          <w:lang w:val="es-CR"/>
        </w:rPr>
        <w:t xml:space="preserve"> Igualmente, la Corte toma nota de que la Comisión </w:t>
      </w:r>
      <w:r w:rsidR="005678B7" w:rsidRPr="005678B7">
        <w:rPr>
          <w:rFonts w:ascii="Verdana" w:hAnsi="Verdana"/>
          <w:sz w:val="20"/>
          <w:szCs w:val="20"/>
          <w:lang w:val="es-CR"/>
        </w:rPr>
        <w:t xml:space="preserve">expresó que el </w:t>
      </w:r>
      <w:r w:rsidRPr="005678B7">
        <w:rPr>
          <w:rFonts w:ascii="Verdana" w:hAnsi="Verdana"/>
          <w:sz w:val="20"/>
          <w:szCs w:val="20"/>
          <w:lang w:val="es-CR"/>
        </w:rPr>
        <w:t xml:space="preserve">Estado </w:t>
      </w:r>
      <w:r w:rsidR="005678B7" w:rsidRPr="005678B7">
        <w:rPr>
          <w:rFonts w:ascii="Verdana" w:hAnsi="Verdana"/>
          <w:sz w:val="20"/>
          <w:szCs w:val="20"/>
          <w:lang w:val="es-CR"/>
        </w:rPr>
        <w:t>debería brindar</w:t>
      </w:r>
      <w:r w:rsidRPr="005678B7">
        <w:rPr>
          <w:rFonts w:ascii="Verdana" w:hAnsi="Verdana"/>
          <w:sz w:val="20"/>
          <w:szCs w:val="20"/>
          <w:lang w:val="es-CR"/>
        </w:rPr>
        <w:t xml:space="preserve"> una explicación sobre las líneas de investigación existentes.</w:t>
      </w:r>
    </w:p>
    <w:p w14:paraId="48FF8BDE" w14:textId="77777777" w:rsidR="00567C84" w:rsidRPr="008353BF" w:rsidRDefault="00567C84" w:rsidP="00567C84">
      <w:pPr>
        <w:pStyle w:val="ListParagraph"/>
        <w:rPr>
          <w:rFonts w:ascii="Verdana" w:hAnsi="Verdana"/>
          <w:sz w:val="20"/>
          <w:szCs w:val="20"/>
          <w:highlight w:val="yellow"/>
          <w:lang w:val="es-CR"/>
        </w:rPr>
      </w:pPr>
    </w:p>
    <w:p w14:paraId="0EA5B013" w14:textId="77777777" w:rsidR="00567C84" w:rsidRDefault="00567C84" w:rsidP="00567C84">
      <w:pPr>
        <w:pStyle w:val="ListParagraph"/>
        <w:numPr>
          <w:ilvl w:val="0"/>
          <w:numId w:val="2"/>
        </w:numPr>
        <w:spacing w:after="0" w:line="240" w:lineRule="auto"/>
        <w:ind w:left="0" w:right="1444" w:firstLine="0"/>
        <w:jc w:val="both"/>
        <w:rPr>
          <w:rFonts w:ascii="Verdana" w:hAnsi="Verdana"/>
          <w:sz w:val="20"/>
          <w:szCs w:val="20"/>
          <w:lang w:val="es-CR"/>
        </w:rPr>
      </w:pPr>
      <w:r w:rsidRPr="0032068E">
        <w:rPr>
          <w:rFonts w:ascii="Verdana" w:hAnsi="Verdana"/>
          <w:sz w:val="20"/>
          <w:szCs w:val="20"/>
          <w:lang w:val="es-CR"/>
        </w:rPr>
        <w:t xml:space="preserve">Así, la información proporcionada por el Estado tan sólo constituye referencias a las actuaciones que han tenido hasta la presente fecha, y no son evidencia de la existencia de líneas de investigación.  Por lo tanto, la Corte solicita al Estado que, en su próximo informe </w:t>
      </w:r>
      <w:r w:rsidRPr="0032068E">
        <w:rPr>
          <w:rFonts w:ascii="Verdana" w:hAnsi="Verdana"/>
          <w:sz w:val="20"/>
          <w:szCs w:val="20"/>
          <w:lang w:val="es-CR"/>
        </w:rPr>
        <w:lastRenderedPageBreak/>
        <w:t xml:space="preserve">sobre el cumplimiento de las Sentencias referidas, presente información actualizada, detallada y completa sobre las líneas de investigación que seguirá el Estado en la continuación de las investigaciones y enjuiciamientos correspondientes. </w:t>
      </w:r>
    </w:p>
    <w:p w14:paraId="27053A0A" w14:textId="77777777" w:rsidR="00186119" w:rsidRPr="0032068E" w:rsidRDefault="00186119" w:rsidP="00186119">
      <w:pPr>
        <w:pStyle w:val="ListParagraph"/>
        <w:spacing w:after="0" w:line="240" w:lineRule="auto"/>
        <w:ind w:left="0" w:right="1444"/>
        <w:jc w:val="both"/>
        <w:rPr>
          <w:rFonts w:ascii="Verdana" w:hAnsi="Verdana"/>
          <w:sz w:val="20"/>
          <w:szCs w:val="20"/>
          <w:lang w:val="es-CR"/>
        </w:rPr>
      </w:pPr>
    </w:p>
    <w:p w14:paraId="5DE27B39" w14:textId="77777777" w:rsidR="00AD5701" w:rsidRPr="0032068E" w:rsidRDefault="00AD5701" w:rsidP="00D901B8">
      <w:pPr>
        <w:spacing w:after="0" w:line="240" w:lineRule="auto"/>
        <w:ind w:right="1444"/>
        <w:jc w:val="both"/>
        <w:rPr>
          <w:rFonts w:ascii="Verdana" w:hAnsi="Verdana" w:cs="Verdana"/>
          <w:i/>
          <w:sz w:val="20"/>
          <w:szCs w:val="20"/>
          <w:lang w:val="es-ES"/>
        </w:rPr>
      </w:pPr>
    </w:p>
    <w:p w14:paraId="0BE09720" w14:textId="5A77C621" w:rsidR="0016079C" w:rsidRPr="0032068E" w:rsidRDefault="0016079C" w:rsidP="0016079C">
      <w:pPr>
        <w:pStyle w:val="Heading3"/>
      </w:pPr>
      <w:bookmarkStart w:id="139" w:name="_Toc435778544"/>
      <w:bookmarkStart w:id="140" w:name="_Toc439248802"/>
      <w:r w:rsidRPr="0032068E">
        <w:t>Otros obstáculos alegados</w:t>
      </w:r>
      <w:bookmarkEnd w:id="139"/>
      <w:bookmarkEnd w:id="140"/>
      <w:r w:rsidRPr="0032068E">
        <w:t xml:space="preserve"> </w:t>
      </w:r>
    </w:p>
    <w:p w14:paraId="5AE4703C" w14:textId="77777777" w:rsidR="0016079C" w:rsidRPr="0032068E" w:rsidRDefault="0016079C" w:rsidP="0016079C">
      <w:pPr>
        <w:rPr>
          <w:lang w:val="es-CR"/>
        </w:rPr>
      </w:pPr>
    </w:p>
    <w:p w14:paraId="211BF69E" w14:textId="77777777" w:rsidR="00C02A57" w:rsidRPr="0032068E" w:rsidRDefault="003C5E4C" w:rsidP="0016079C">
      <w:pPr>
        <w:pStyle w:val="Heading4"/>
      </w:pPr>
      <w:r w:rsidRPr="0032068E">
        <w:t>Alegado h</w:t>
      </w:r>
      <w:r w:rsidR="00C02A57" w:rsidRPr="0032068E">
        <w:t>ostigamiento contra los operadores de justicia</w:t>
      </w:r>
    </w:p>
    <w:p w14:paraId="48D0BC67" w14:textId="77777777" w:rsidR="00C02A57" w:rsidRPr="0032068E" w:rsidRDefault="00C02A57" w:rsidP="00C02A57">
      <w:pPr>
        <w:spacing w:after="0" w:line="240" w:lineRule="auto"/>
        <w:ind w:right="1444"/>
        <w:jc w:val="both"/>
        <w:rPr>
          <w:rFonts w:ascii="Verdana" w:hAnsi="Verdana" w:cs="Verdana"/>
          <w:i/>
          <w:sz w:val="20"/>
          <w:szCs w:val="20"/>
          <w:lang w:val="es-ES"/>
        </w:rPr>
      </w:pPr>
    </w:p>
    <w:p w14:paraId="04910515" w14:textId="66B65319" w:rsidR="0016079C" w:rsidRPr="0032068E" w:rsidRDefault="0016079C" w:rsidP="0016079C">
      <w:pPr>
        <w:pStyle w:val="ListParagraph"/>
        <w:numPr>
          <w:ilvl w:val="0"/>
          <w:numId w:val="2"/>
        </w:numPr>
        <w:spacing w:after="0" w:line="240" w:lineRule="auto"/>
        <w:ind w:left="0" w:right="1444" w:firstLine="0"/>
        <w:jc w:val="both"/>
        <w:rPr>
          <w:rFonts w:ascii="Verdana" w:hAnsi="Verdana"/>
          <w:sz w:val="20"/>
          <w:szCs w:val="20"/>
          <w:lang w:val="es-CR"/>
        </w:rPr>
      </w:pPr>
      <w:bookmarkStart w:id="141" w:name="_Ref437858719"/>
      <w:r w:rsidRPr="0032068E">
        <w:rPr>
          <w:rFonts w:ascii="Verdana" w:hAnsi="Verdana"/>
          <w:sz w:val="20"/>
          <w:szCs w:val="20"/>
          <w:lang w:val="es-CR"/>
        </w:rPr>
        <w:t>En el informe del Ministerio Público</w:t>
      </w:r>
      <w:r w:rsidR="009041CF">
        <w:rPr>
          <w:rFonts w:ascii="Verdana" w:hAnsi="Verdana"/>
          <w:sz w:val="20"/>
          <w:szCs w:val="20"/>
          <w:lang w:val="es-CR"/>
        </w:rPr>
        <w:t xml:space="preserve"> </w:t>
      </w:r>
      <w:r w:rsidR="009041CF" w:rsidRPr="009041CF">
        <w:rPr>
          <w:rFonts w:ascii="Verdana" w:hAnsi="Verdana" w:cs="Verdana"/>
          <w:sz w:val="20"/>
          <w:szCs w:val="20"/>
          <w:lang w:val="es-ES"/>
        </w:rPr>
        <w:t>de mayo de 2014</w:t>
      </w:r>
      <w:r w:rsidRPr="0032068E">
        <w:rPr>
          <w:rFonts w:ascii="Verdana" w:hAnsi="Verdana"/>
          <w:i/>
          <w:sz w:val="20"/>
          <w:szCs w:val="20"/>
          <w:lang w:val="es-CR"/>
        </w:rPr>
        <w:t xml:space="preserve"> </w:t>
      </w:r>
      <w:r w:rsidRPr="0032068E">
        <w:rPr>
          <w:rFonts w:ascii="Verdana" w:hAnsi="Verdana"/>
          <w:sz w:val="20"/>
          <w:szCs w:val="20"/>
          <w:lang w:val="es-CR"/>
        </w:rPr>
        <w:t>se ha hecho referen</w:t>
      </w:r>
      <w:r w:rsidR="001C731E">
        <w:rPr>
          <w:rFonts w:ascii="Verdana" w:hAnsi="Verdana"/>
          <w:sz w:val="20"/>
          <w:szCs w:val="20"/>
          <w:lang w:val="es-CR"/>
        </w:rPr>
        <w:t>cia a situaciones que considera</w:t>
      </w:r>
      <w:r w:rsidRPr="0032068E">
        <w:rPr>
          <w:rFonts w:ascii="Verdana" w:hAnsi="Verdana"/>
          <w:sz w:val="20"/>
          <w:szCs w:val="20"/>
          <w:lang w:val="es-CR"/>
        </w:rPr>
        <w:t xml:space="preserve"> que atentan contra la independencia judicial que no se refieren directamente a los 12 casos bajo supervisión de cumplimiento</w:t>
      </w:r>
      <w:r w:rsidRPr="0032068E">
        <w:rPr>
          <w:rStyle w:val="FootnoteReference"/>
          <w:rFonts w:ascii="Verdana" w:hAnsi="Verdana"/>
          <w:sz w:val="20"/>
          <w:szCs w:val="20"/>
          <w:lang w:val="es-CR"/>
        </w:rPr>
        <w:footnoteReference w:id="179"/>
      </w:r>
      <w:r w:rsidRPr="001C731E">
        <w:rPr>
          <w:rFonts w:ascii="Verdana" w:hAnsi="Verdana"/>
          <w:sz w:val="20"/>
          <w:szCs w:val="20"/>
          <w:lang w:val="es-CR"/>
        </w:rPr>
        <w:t>.</w:t>
      </w:r>
      <w:bookmarkEnd w:id="141"/>
      <w:r w:rsidR="00282B70" w:rsidRPr="001C731E">
        <w:rPr>
          <w:rFonts w:ascii="Verdana" w:hAnsi="Verdana"/>
          <w:sz w:val="20"/>
          <w:szCs w:val="20"/>
          <w:lang w:val="es-CR"/>
        </w:rPr>
        <w:t xml:space="preserve"> </w:t>
      </w:r>
    </w:p>
    <w:p w14:paraId="30B2245C" w14:textId="77777777" w:rsidR="003209CA" w:rsidRPr="0032068E" w:rsidRDefault="003209CA" w:rsidP="003209CA">
      <w:pPr>
        <w:pStyle w:val="ListParagraph"/>
        <w:spacing w:after="0" w:line="240" w:lineRule="auto"/>
        <w:ind w:left="0" w:right="1444"/>
        <w:jc w:val="both"/>
        <w:rPr>
          <w:rFonts w:ascii="Verdana" w:hAnsi="Verdana"/>
          <w:i/>
          <w:sz w:val="20"/>
          <w:szCs w:val="20"/>
          <w:lang w:val="es-CR"/>
        </w:rPr>
      </w:pPr>
    </w:p>
    <w:p w14:paraId="6E01611B" w14:textId="173ACF9F" w:rsidR="0016079C" w:rsidRPr="0032068E" w:rsidRDefault="0016079C" w:rsidP="0016079C">
      <w:pPr>
        <w:pStyle w:val="ListParagraph"/>
        <w:numPr>
          <w:ilvl w:val="0"/>
          <w:numId w:val="2"/>
        </w:numPr>
        <w:spacing w:after="0" w:line="240" w:lineRule="auto"/>
        <w:ind w:left="0" w:right="1444" w:firstLine="0"/>
        <w:jc w:val="both"/>
        <w:rPr>
          <w:rFonts w:ascii="Verdana" w:hAnsi="Verdana"/>
          <w:i/>
          <w:sz w:val="20"/>
          <w:szCs w:val="20"/>
          <w:lang w:val="es-CR"/>
        </w:rPr>
      </w:pPr>
      <w:r w:rsidRPr="0032068E">
        <w:rPr>
          <w:rFonts w:ascii="Verdana" w:hAnsi="Verdana"/>
          <w:sz w:val="20"/>
          <w:szCs w:val="20"/>
          <w:lang w:val="es-CR"/>
        </w:rPr>
        <w:t>No obstante</w:t>
      </w:r>
      <w:r w:rsidR="00282B70" w:rsidRPr="0032068E">
        <w:rPr>
          <w:rFonts w:ascii="Verdana" w:hAnsi="Verdana"/>
          <w:sz w:val="20"/>
          <w:szCs w:val="20"/>
          <w:lang w:val="es-CR"/>
        </w:rPr>
        <w:t xml:space="preserve"> ello</w:t>
      </w:r>
      <w:r w:rsidRPr="0032068E">
        <w:rPr>
          <w:rFonts w:ascii="Verdana" w:hAnsi="Verdana"/>
          <w:sz w:val="20"/>
          <w:szCs w:val="20"/>
          <w:lang w:val="es-CR"/>
        </w:rPr>
        <w:t>, en las observaciones a dicho informe del Ministerio Público</w:t>
      </w:r>
      <w:r w:rsidR="009041CF">
        <w:rPr>
          <w:rFonts w:ascii="Verdana" w:hAnsi="Verdana"/>
          <w:sz w:val="20"/>
          <w:szCs w:val="20"/>
          <w:lang w:val="es-CR"/>
        </w:rPr>
        <w:t xml:space="preserve"> </w:t>
      </w:r>
      <w:r w:rsidR="009041CF" w:rsidRPr="009041CF">
        <w:rPr>
          <w:rFonts w:ascii="Verdana" w:hAnsi="Verdana" w:cs="Verdana"/>
          <w:sz w:val="20"/>
          <w:szCs w:val="20"/>
          <w:lang w:val="es-ES"/>
        </w:rPr>
        <w:t>de mayo de 2014</w:t>
      </w:r>
      <w:r w:rsidRPr="009041CF">
        <w:rPr>
          <w:rFonts w:ascii="Verdana" w:hAnsi="Verdana"/>
          <w:sz w:val="20"/>
          <w:szCs w:val="20"/>
          <w:lang w:val="es-CR"/>
        </w:rPr>
        <w:t xml:space="preserve"> </w:t>
      </w:r>
      <w:r w:rsidRPr="0032068E">
        <w:rPr>
          <w:rFonts w:ascii="Verdana" w:hAnsi="Verdana"/>
          <w:sz w:val="20"/>
          <w:szCs w:val="20"/>
          <w:lang w:val="es-CR"/>
        </w:rPr>
        <w:t xml:space="preserve">presentadas por los representantes de los casos </w:t>
      </w:r>
      <w:r w:rsidRPr="0032068E">
        <w:rPr>
          <w:rFonts w:ascii="Verdana" w:hAnsi="Verdana"/>
          <w:i/>
          <w:sz w:val="20"/>
          <w:szCs w:val="20"/>
          <w:lang w:val="es-CR"/>
        </w:rPr>
        <w:t>Bámaca Velásquez</w:t>
      </w:r>
      <w:r w:rsidR="00A4452F">
        <w:rPr>
          <w:rFonts w:ascii="Verdana" w:hAnsi="Verdana"/>
          <w:i/>
          <w:sz w:val="20"/>
          <w:szCs w:val="20"/>
          <w:lang w:val="es-CR"/>
        </w:rPr>
        <w:t>,</w:t>
      </w:r>
      <w:r w:rsidRPr="0032068E">
        <w:rPr>
          <w:rFonts w:ascii="Verdana" w:hAnsi="Verdana"/>
          <w:i/>
          <w:sz w:val="20"/>
          <w:szCs w:val="20"/>
          <w:lang w:val="es-CR"/>
        </w:rPr>
        <w:t xml:space="preserve"> Masacre de las Dos Erres, Molina Theissen </w:t>
      </w:r>
      <w:r w:rsidRPr="0032068E">
        <w:rPr>
          <w:rFonts w:ascii="Verdana" w:hAnsi="Verdana"/>
          <w:sz w:val="20"/>
          <w:szCs w:val="20"/>
          <w:lang w:val="es-CR"/>
        </w:rPr>
        <w:t xml:space="preserve">y </w:t>
      </w:r>
      <w:r w:rsidRPr="0032068E">
        <w:rPr>
          <w:rFonts w:ascii="Verdana" w:hAnsi="Verdana"/>
          <w:i/>
          <w:sz w:val="20"/>
          <w:szCs w:val="20"/>
          <w:lang w:val="es-CR"/>
        </w:rPr>
        <w:t>Niños de la Calle</w:t>
      </w:r>
      <w:r w:rsidRPr="0032068E">
        <w:rPr>
          <w:rFonts w:ascii="Verdana" w:hAnsi="Verdana"/>
          <w:sz w:val="20"/>
          <w:szCs w:val="20"/>
          <w:lang w:val="es-CR"/>
        </w:rPr>
        <w:t xml:space="preserve"> se destacan ejemplos de </w:t>
      </w:r>
      <w:r w:rsidR="001C731E">
        <w:rPr>
          <w:rFonts w:ascii="Verdana" w:hAnsi="Verdana"/>
          <w:sz w:val="20"/>
          <w:szCs w:val="20"/>
          <w:lang w:val="es-CR"/>
        </w:rPr>
        <w:t xml:space="preserve">alegados </w:t>
      </w:r>
      <w:r w:rsidRPr="0032068E">
        <w:rPr>
          <w:rFonts w:ascii="Verdana" w:hAnsi="Verdana"/>
          <w:sz w:val="20"/>
          <w:szCs w:val="20"/>
          <w:lang w:val="es-CR"/>
        </w:rPr>
        <w:t>actos de intimidación, acciones judiciales, y campañas de desprestigio y estigmatización en contra de jueces y fiscales que habrían afectado las investigaciones y enjuiciamientos llevados a cabo</w:t>
      </w:r>
      <w:r w:rsidRPr="0032068E">
        <w:rPr>
          <w:rFonts w:ascii="Verdana" w:hAnsi="Verdana"/>
          <w:i/>
          <w:sz w:val="20"/>
          <w:szCs w:val="20"/>
          <w:lang w:val="es-CR"/>
        </w:rPr>
        <w:t xml:space="preserve">, </w:t>
      </w:r>
      <w:r w:rsidRPr="0032068E">
        <w:rPr>
          <w:rFonts w:ascii="Verdana" w:hAnsi="Verdana"/>
          <w:sz w:val="20"/>
          <w:szCs w:val="20"/>
          <w:lang w:val="es-CR"/>
        </w:rPr>
        <w:t xml:space="preserve">principalmente, en los casos </w:t>
      </w:r>
      <w:r w:rsidRPr="0032068E">
        <w:rPr>
          <w:rFonts w:ascii="Verdana" w:hAnsi="Verdana"/>
          <w:i/>
          <w:sz w:val="20"/>
          <w:szCs w:val="20"/>
          <w:lang w:val="es-CR"/>
        </w:rPr>
        <w:t xml:space="preserve">Masacre Plan de Sánchez, Masacre de las Dos Erres </w:t>
      </w:r>
      <w:r w:rsidRPr="0032068E">
        <w:rPr>
          <w:rFonts w:ascii="Verdana" w:hAnsi="Verdana"/>
          <w:sz w:val="20"/>
          <w:szCs w:val="20"/>
          <w:lang w:val="es-CR"/>
        </w:rPr>
        <w:t>y</w:t>
      </w:r>
      <w:r w:rsidR="00A4452F">
        <w:rPr>
          <w:rFonts w:ascii="Verdana" w:hAnsi="Verdana"/>
          <w:i/>
          <w:sz w:val="20"/>
          <w:szCs w:val="20"/>
          <w:lang w:val="es-CR"/>
        </w:rPr>
        <w:t xml:space="preserve"> Bámaca Velásquez</w:t>
      </w:r>
      <w:r w:rsidRPr="0032068E">
        <w:rPr>
          <w:rStyle w:val="FootnoteReference"/>
          <w:rFonts w:ascii="Verdana" w:hAnsi="Verdana"/>
          <w:sz w:val="20"/>
          <w:szCs w:val="20"/>
          <w:lang w:val="es-CR"/>
        </w:rPr>
        <w:footnoteReference w:id="180"/>
      </w:r>
      <w:r w:rsidRPr="0032068E">
        <w:rPr>
          <w:rFonts w:ascii="Verdana" w:hAnsi="Verdana"/>
          <w:sz w:val="20"/>
          <w:szCs w:val="20"/>
          <w:lang w:val="es-CR"/>
        </w:rPr>
        <w:t xml:space="preserve">. En efecto, dichos representantes identifican como ejemplos de los alegados hostigamientos el de la jueza Yassmín Barrios, quien conoce de investigaciones y juicios correspondientes a los casos </w:t>
      </w:r>
      <w:r w:rsidRPr="0032068E">
        <w:rPr>
          <w:rFonts w:ascii="Verdana" w:hAnsi="Verdana"/>
          <w:i/>
          <w:sz w:val="20"/>
          <w:szCs w:val="20"/>
          <w:lang w:val="es-CR"/>
        </w:rPr>
        <w:t>Masacre de las Dos Erres y Masacre Plan de Sánchez</w:t>
      </w:r>
      <w:r w:rsidRPr="0032068E">
        <w:rPr>
          <w:rFonts w:ascii="Verdana" w:hAnsi="Verdana"/>
          <w:sz w:val="20"/>
          <w:szCs w:val="20"/>
          <w:lang w:val="es-CR"/>
        </w:rPr>
        <w:t xml:space="preserve">, y que habría sido objeto de un proceso disciplinario que le acarreó una amonestación, y que habría sido objeto de “una intensa campaña de desprestigio y estigmatización por parte de algunos sectores de la sociedad y de diversos medios de comunicación”, y el de la </w:t>
      </w:r>
      <w:r w:rsidR="001C731E">
        <w:rPr>
          <w:rFonts w:ascii="Verdana" w:hAnsi="Verdana"/>
          <w:sz w:val="20"/>
          <w:szCs w:val="20"/>
          <w:lang w:val="es-CR"/>
        </w:rPr>
        <w:t xml:space="preserve">anterior </w:t>
      </w:r>
      <w:r w:rsidRPr="0032068E">
        <w:rPr>
          <w:rFonts w:ascii="Verdana" w:hAnsi="Verdana"/>
          <w:sz w:val="20"/>
          <w:szCs w:val="20"/>
          <w:lang w:val="es-CR"/>
        </w:rPr>
        <w:t>Fiscal General Claudia Paz y Paz, quien presentó el Informe del Ministerio Público</w:t>
      </w:r>
      <w:r w:rsidR="009041CF">
        <w:rPr>
          <w:rFonts w:ascii="Verdana" w:hAnsi="Verdana"/>
          <w:sz w:val="20"/>
          <w:szCs w:val="20"/>
          <w:lang w:val="es-CR"/>
        </w:rPr>
        <w:t xml:space="preserve"> </w:t>
      </w:r>
      <w:r w:rsidR="009041CF" w:rsidRPr="009041CF">
        <w:rPr>
          <w:rFonts w:ascii="Verdana" w:hAnsi="Verdana" w:cs="Verdana"/>
          <w:sz w:val="20"/>
          <w:szCs w:val="20"/>
          <w:lang w:val="es-ES"/>
        </w:rPr>
        <w:t>de mayo de 2014</w:t>
      </w:r>
      <w:r w:rsidRPr="0032068E">
        <w:rPr>
          <w:rFonts w:ascii="Verdana" w:hAnsi="Verdana"/>
          <w:sz w:val="20"/>
          <w:szCs w:val="20"/>
          <w:lang w:val="es-CR"/>
        </w:rPr>
        <w:t>, cuyo mandato como Fiscal General fue acortado en 7 meses mediante decisión de</w:t>
      </w:r>
      <w:r w:rsidR="00EB4EAE">
        <w:rPr>
          <w:rFonts w:ascii="Verdana" w:hAnsi="Verdana"/>
          <w:sz w:val="20"/>
          <w:szCs w:val="20"/>
          <w:lang w:val="es-CR"/>
        </w:rPr>
        <w:t xml:space="preserve"> la Corte de Constitucionalidad. </w:t>
      </w:r>
      <w:r w:rsidRPr="0032068E">
        <w:rPr>
          <w:rFonts w:ascii="Verdana" w:hAnsi="Verdana"/>
          <w:sz w:val="20"/>
          <w:szCs w:val="20"/>
          <w:lang w:val="es-CR"/>
        </w:rPr>
        <w:t xml:space="preserve">El Estado no </w:t>
      </w:r>
      <w:r w:rsidR="00EB4EAE">
        <w:rPr>
          <w:rFonts w:ascii="Verdana" w:hAnsi="Verdana"/>
          <w:sz w:val="20"/>
          <w:szCs w:val="20"/>
          <w:lang w:val="es-CR"/>
        </w:rPr>
        <w:t>se refirió a</w:t>
      </w:r>
      <w:r w:rsidRPr="0032068E">
        <w:rPr>
          <w:rFonts w:ascii="Verdana" w:hAnsi="Verdana"/>
          <w:sz w:val="20"/>
          <w:szCs w:val="20"/>
          <w:lang w:val="es-CR"/>
        </w:rPr>
        <w:t xml:space="preserve"> los planteamientos señalados.</w:t>
      </w:r>
    </w:p>
    <w:p w14:paraId="00D08066" w14:textId="77777777" w:rsidR="00A7214A" w:rsidRPr="0032068E" w:rsidRDefault="00A7214A" w:rsidP="00A7214A">
      <w:pPr>
        <w:pStyle w:val="ListParagraph"/>
        <w:spacing w:after="0" w:line="240" w:lineRule="auto"/>
        <w:ind w:left="0" w:right="1444"/>
        <w:jc w:val="both"/>
        <w:rPr>
          <w:rFonts w:ascii="Verdana" w:hAnsi="Verdana"/>
          <w:i/>
          <w:sz w:val="20"/>
          <w:szCs w:val="20"/>
          <w:lang w:val="es-CR"/>
        </w:rPr>
      </w:pPr>
    </w:p>
    <w:p w14:paraId="58333E0E" w14:textId="7E871723" w:rsidR="0016079C" w:rsidRPr="0032068E" w:rsidRDefault="0016079C" w:rsidP="0016079C">
      <w:pPr>
        <w:pStyle w:val="ListParagraph"/>
        <w:numPr>
          <w:ilvl w:val="0"/>
          <w:numId w:val="2"/>
        </w:numPr>
        <w:spacing w:after="0" w:line="240" w:lineRule="auto"/>
        <w:ind w:left="0" w:right="1444" w:firstLine="0"/>
        <w:jc w:val="both"/>
        <w:rPr>
          <w:rFonts w:ascii="Verdana" w:hAnsi="Verdana"/>
          <w:color w:val="FF0000"/>
          <w:sz w:val="20"/>
          <w:szCs w:val="20"/>
          <w:lang w:val="es-CR"/>
        </w:rPr>
      </w:pPr>
      <w:r w:rsidRPr="0032068E">
        <w:rPr>
          <w:rFonts w:ascii="Verdana" w:hAnsi="Verdana"/>
          <w:sz w:val="20"/>
          <w:szCs w:val="20"/>
          <w:lang w:val="es-CR"/>
        </w:rPr>
        <w:t xml:space="preserve">De lo señalado anteriormente, la Corte no cuenta con elementos suficientes para constatar que los hechos presentados configuren una afectación a la garantía de independencia de los jueces y fiscales, o que haya existido hostigamiento o persecución en contra de los operadores de justicia vinculada a los casos bajo estudio. No obstante ello, la Corte reitera que es necesario proteger a los fiscales y a toda autoridad pública que impulse la investigación en el presente caso respecto a toda amenaza, hostigamiento o intimidación. Entre las posibles intimidaciones se encuentran aquellas demandas que pueden considerarse que son de mala fe, teniendo en cuenta que buscan la persecución de estas autoridades por intentar cumplir con lo dispuesto en las Sentencias y Resoluciones emitidas por la Corte Interamericana en el presente caso. De otro lado, la protección contra intimidaciones implica velar porque haya continuidad en las tareas de impulso a las investigaciones, de tal forma </w:t>
      </w:r>
      <w:r w:rsidRPr="0032068E">
        <w:rPr>
          <w:rFonts w:ascii="Verdana" w:hAnsi="Verdana"/>
          <w:sz w:val="20"/>
          <w:szCs w:val="20"/>
          <w:lang w:val="es-CR"/>
        </w:rPr>
        <w:lastRenderedPageBreak/>
        <w:t>que aquellos funcionarios comprometidos con esta tarea no sean fácilmente removidos o trasladados. Esta consideración es inherente a lo dispuesto por la Corte en el sentido de remover todo obstáculo, tanto legal como de facto, que pueda generar impunidad en el presente caso</w:t>
      </w:r>
      <w:r w:rsidRPr="0032068E">
        <w:rPr>
          <w:rStyle w:val="FootnoteReference"/>
          <w:rFonts w:ascii="Verdana" w:hAnsi="Verdana"/>
          <w:sz w:val="20"/>
          <w:szCs w:val="20"/>
          <w:lang w:val="es-CR"/>
        </w:rPr>
        <w:footnoteReference w:id="181"/>
      </w:r>
      <w:r w:rsidRPr="0032068E">
        <w:rPr>
          <w:rFonts w:ascii="Verdana" w:hAnsi="Verdana"/>
          <w:sz w:val="20"/>
          <w:szCs w:val="20"/>
          <w:lang w:val="es-CR"/>
        </w:rPr>
        <w:t xml:space="preserve">. </w:t>
      </w:r>
    </w:p>
    <w:p w14:paraId="2FFEE707" w14:textId="77777777" w:rsidR="00C02A57" w:rsidRPr="0032068E" w:rsidRDefault="00C02A57" w:rsidP="00C02A57">
      <w:pPr>
        <w:spacing w:after="0" w:line="240" w:lineRule="auto"/>
        <w:ind w:right="1444"/>
        <w:jc w:val="both"/>
        <w:rPr>
          <w:rFonts w:ascii="Verdana" w:hAnsi="Verdana" w:cs="Verdana"/>
          <w:i/>
          <w:sz w:val="20"/>
          <w:szCs w:val="20"/>
          <w:lang w:val="es-CR"/>
        </w:rPr>
      </w:pPr>
    </w:p>
    <w:p w14:paraId="60F1B6C8" w14:textId="530123F9" w:rsidR="00C02A57" w:rsidRPr="0032068E" w:rsidRDefault="001C731E" w:rsidP="0016079C">
      <w:pPr>
        <w:pStyle w:val="Heading4"/>
      </w:pPr>
      <w:r>
        <w:t>Alegada</w:t>
      </w:r>
      <w:r w:rsidR="00C02A57" w:rsidRPr="0032068E">
        <w:t xml:space="preserve"> falta de </w:t>
      </w:r>
      <w:r w:rsidR="0016079C" w:rsidRPr="0032068E">
        <w:t>recursos suficientes para el desempeño de labores por la “Unidad de Casos Especiales del Conflicto Armado Interno” del Ministerio Público</w:t>
      </w:r>
    </w:p>
    <w:p w14:paraId="33FDFC2F" w14:textId="77777777" w:rsidR="00C02A57" w:rsidRPr="0032068E" w:rsidRDefault="00C02A57" w:rsidP="00C02A57">
      <w:pPr>
        <w:spacing w:after="0" w:line="240" w:lineRule="auto"/>
        <w:ind w:right="1444"/>
        <w:jc w:val="both"/>
        <w:rPr>
          <w:rFonts w:ascii="Verdana" w:hAnsi="Verdana" w:cs="Verdana"/>
          <w:i/>
          <w:sz w:val="20"/>
          <w:szCs w:val="20"/>
          <w:lang w:val="es-ES"/>
        </w:rPr>
      </w:pPr>
    </w:p>
    <w:p w14:paraId="26F4027C" w14:textId="77777777" w:rsidR="005C7D23" w:rsidRPr="00EB4EAE" w:rsidRDefault="005C7D23" w:rsidP="00FD6DC8">
      <w:pPr>
        <w:pStyle w:val="ListParagraph"/>
        <w:numPr>
          <w:ilvl w:val="0"/>
          <w:numId w:val="2"/>
        </w:numPr>
        <w:spacing w:after="0" w:line="240" w:lineRule="auto"/>
        <w:ind w:left="0" w:right="1444" w:firstLine="0"/>
        <w:jc w:val="both"/>
        <w:rPr>
          <w:rFonts w:ascii="Verdana" w:hAnsi="Verdana" w:cs="Verdana"/>
          <w:i/>
          <w:sz w:val="20"/>
          <w:szCs w:val="20"/>
          <w:lang w:val="es-ES"/>
        </w:rPr>
      </w:pPr>
      <w:bookmarkStart w:id="142" w:name="_Ref437870878"/>
      <w:r w:rsidRPr="0032068E">
        <w:rPr>
          <w:rFonts w:ascii="Verdana" w:hAnsi="Verdana" w:cs="Verdana"/>
          <w:sz w:val="20"/>
          <w:szCs w:val="20"/>
          <w:lang w:val="es-ES"/>
        </w:rPr>
        <w:t>Si bien no corresponde a esta Corte analizar con detalle cómo se distribuye el presupuesto entre las distintas unidades del Ministerio Público, la Corte ha sido enfática en que corresponde al Estado asegurarse que los distintos órganos del sistema de justicia involucrados en el caso deben contar con los recursos humanos y materiales necesarios para desempeñar sus tareas de manera adecuada, independiente e imparcial</w:t>
      </w:r>
      <w:r w:rsidRPr="0032068E">
        <w:rPr>
          <w:rStyle w:val="FootnoteReference"/>
          <w:rFonts w:ascii="Verdana" w:hAnsi="Verdana" w:cs="Verdana"/>
          <w:sz w:val="20"/>
          <w:szCs w:val="20"/>
          <w:lang w:val="es-ES"/>
        </w:rPr>
        <w:footnoteReference w:id="182"/>
      </w:r>
      <w:r w:rsidRPr="0032068E">
        <w:rPr>
          <w:rFonts w:ascii="Verdana" w:hAnsi="Verdana" w:cs="Verdana"/>
          <w:sz w:val="20"/>
          <w:szCs w:val="20"/>
          <w:lang w:val="es-ES"/>
        </w:rPr>
        <w:t>.</w:t>
      </w:r>
      <w:bookmarkEnd w:id="142"/>
      <w:r w:rsidRPr="0032068E">
        <w:rPr>
          <w:rFonts w:ascii="Verdana" w:hAnsi="Verdana" w:cs="Verdana"/>
          <w:sz w:val="20"/>
          <w:szCs w:val="20"/>
          <w:lang w:val="es-ES"/>
        </w:rPr>
        <w:t xml:space="preserve"> </w:t>
      </w:r>
    </w:p>
    <w:p w14:paraId="55CD6310" w14:textId="77777777" w:rsidR="00EB4EAE" w:rsidRPr="0032068E" w:rsidRDefault="00EB4EAE" w:rsidP="00EB4EAE">
      <w:pPr>
        <w:pStyle w:val="ListParagraph"/>
        <w:spacing w:after="0" w:line="240" w:lineRule="auto"/>
        <w:ind w:left="0" w:right="1444"/>
        <w:jc w:val="both"/>
        <w:rPr>
          <w:rFonts w:ascii="Verdana" w:hAnsi="Verdana" w:cs="Verdana"/>
          <w:i/>
          <w:sz w:val="20"/>
          <w:szCs w:val="20"/>
          <w:lang w:val="es-ES"/>
        </w:rPr>
      </w:pPr>
    </w:p>
    <w:p w14:paraId="7E9A1800" w14:textId="5C2483DE" w:rsidR="00FD6DC8" w:rsidRPr="0032068E" w:rsidRDefault="005C7D23" w:rsidP="00FD6DC8">
      <w:pPr>
        <w:pStyle w:val="ListParagraph"/>
        <w:numPr>
          <w:ilvl w:val="0"/>
          <w:numId w:val="2"/>
        </w:numPr>
        <w:spacing w:after="0" w:line="240" w:lineRule="auto"/>
        <w:ind w:left="0" w:right="1444" w:firstLine="0"/>
        <w:jc w:val="both"/>
        <w:rPr>
          <w:rFonts w:ascii="Verdana" w:hAnsi="Verdana" w:cs="Verdana"/>
          <w:i/>
          <w:sz w:val="20"/>
          <w:szCs w:val="20"/>
          <w:lang w:val="es-ES"/>
        </w:rPr>
      </w:pPr>
      <w:bookmarkStart w:id="143" w:name="_Ref437856355"/>
      <w:r w:rsidRPr="0032068E">
        <w:rPr>
          <w:rFonts w:ascii="Verdana" w:hAnsi="Verdana" w:cs="Verdana"/>
          <w:sz w:val="20"/>
          <w:szCs w:val="20"/>
          <w:lang w:val="es-ES"/>
        </w:rPr>
        <w:t>Al respecto, e</w:t>
      </w:r>
      <w:r w:rsidR="00FD6DC8" w:rsidRPr="0032068E">
        <w:rPr>
          <w:rFonts w:ascii="Verdana" w:hAnsi="Verdana" w:cs="Verdana"/>
          <w:sz w:val="20"/>
          <w:szCs w:val="20"/>
          <w:lang w:val="es-ES"/>
        </w:rPr>
        <w:t>n el Informe del Ministerio Público</w:t>
      </w:r>
      <w:r w:rsidR="009041CF">
        <w:rPr>
          <w:rFonts w:ascii="Verdana" w:hAnsi="Verdana" w:cs="Verdana"/>
          <w:sz w:val="20"/>
          <w:szCs w:val="20"/>
          <w:lang w:val="es-ES"/>
        </w:rPr>
        <w:t xml:space="preserve"> </w:t>
      </w:r>
      <w:r w:rsidR="009041CF" w:rsidRPr="009041CF">
        <w:rPr>
          <w:rFonts w:ascii="Verdana" w:hAnsi="Verdana" w:cs="Verdana"/>
          <w:sz w:val="20"/>
          <w:szCs w:val="20"/>
          <w:lang w:val="es-ES"/>
        </w:rPr>
        <w:t>de mayo de 2014</w:t>
      </w:r>
      <w:r w:rsidR="001C731E">
        <w:rPr>
          <w:rFonts w:ascii="Verdana" w:hAnsi="Verdana" w:cs="Verdana"/>
          <w:sz w:val="20"/>
          <w:szCs w:val="20"/>
          <w:lang w:val="es-ES"/>
        </w:rPr>
        <w:t xml:space="preserve"> se expuso que </w:t>
      </w:r>
      <w:r w:rsidR="00FD6DC8" w:rsidRPr="0032068E">
        <w:rPr>
          <w:rFonts w:ascii="Verdana" w:hAnsi="Verdana" w:cs="Verdana"/>
          <w:sz w:val="20"/>
          <w:szCs w:val="20"/>
          <w:lang w:val="es-ES"/>
        </w:rPr>
        <w:t xml:space="preserve">la Unidad de </w:t>
      </w:r>
      <w:r w:rsidR="00FD6DC8" w:rsidRPr="0032068E">
        <w:rPr>
          <w:rFonts w:ascii="Verdana" w:hAnsi="Verdana"/>
          <w:sz w:val="20"/>
          <w:szCs w:val="20"/>
          <w:lang w:val="es-CR"/>
        </w:rPr>
        <w:t>Casos</w:t>
      </w:r>
      <w:r w:rsidR="00FD6DC8" w:rsidRPr="0032068E">
        <w:rPr>
          <w:rFonts w:ascii="Verdana" w:hAnsi="Verdana" w:cs="Verdana"/>
          <w:sz w:val="20"/>
          <w:szCs w:val="20"/>
          <w:lang w:val="es-ES"/>
        </w:rPr>
        <w:t xml:space="preserve"> Especiales del Conflicto Armado Interno “no cuenta con una partida presupuestaria especial para la contratación de personal suficiente u otros insumos para enfrentar el trabajo que </w:t>
      </w:r>
      <w:r w:rsidR="001C731E">
        <w:rPr>
          <w:rFonts w:ascii="Verdana" w:hAnsi="Verdana" w:cs="Verdana"/>
          <w:sz w:val="20"/>
          <w:szCs w:val="20"/>
          <w:lang w:val="es-ES"/>
        </w:rPr>
        <w:t xml:space="preserve">[…] </w:t>
      </w:r>
      <w:r w:rsidR="00FD6DC8" w:rsidRPr="0032068E">
        <w:rPr>
          <w:rFonts w:ascii="Verdana" w:hAnsi="Verdana" w:cs="Verdana"/>
          <w:sz w:val="20"/>
          <w:szCs w:val="20"/>
          <w:lang w:val="es-ES"/>
        </w:rPr>
        <w:t>representa los más de 3,500 a su cargo, los cuales además, incluyen multiplicidad de víctimas y son particularmente complejos”</w:t>
      </w:r>
      <w:r w:rsidR="00FD6DC8" w:rsidRPr="0032068E">
        <w:rPr>
          <w:rStyle w:val="FootnoteReference"/>
          <w:rFonts w:ascii="Verdana" w:hAnsi="Verdana" w:cs="Verdana"/>
          <w:sz w:val="20"/>
          <w:lang w:val="es-ES"/>
        </w:rPr>
        <w:footnoteReference w:id="183"/>
      </w:r>
      <w:r w:rsidR="00FD6DC8" w:rsidRPr="0032068E">
        <w:rPr>
          <w:rFonts w:ascii="Verdana" w:hAnsi="Verdana" w:cs="Verdana"/>
          <w:sz w:val="20"/>
          <w:szCs w:val="20"/>
          <w:lang w:val="es-ES"/>
        </w:rPr>
        <w:t xml:space="preserve">. En la audiencia celebrada </w:t>
      </w:r>
      <w:r w:rsidR="001C731E">
        <w:rPr>
          <w:rFonts w:ascii="Verdana" w:hAnsi="Verdana" w:cs="Verdana"/>
          <w:sz w:val="20"/>
          <w:szCs w:val="20"/>
          <w:lang w:val="es-ES"/>
        </w:rPr>
        <w:t xml:space="preserve">ante esta Corte </w:t>
      </w:r>
      <w:r w:rsidR="00FD6DC8" w:rsidRPr="0032068E">
        <w:rPr>
          <w:rFonts w:ascii="Verdana" w:hAnsi="Verdana" w:cs="Verdana"/>
          <w:sz w:val="20"/>
          <w:szCs w:val="20"/>
          <w:lang w:val="es-ES"/>
        </w:rPr>
        <w:t xml:space="preserve">en </w:t>
      </w:r>
      <w:r w:rsidR="001C731E">
        <w:rPr>
          <w:rFonts w:ascii="Verdana" w:hAnsi="Verdana" w:cs="Verdana"/>
          <w:sz w:val="20"/>
          <w:szCs w:val="20"/>
          <w:lang w:val="es-ES"/>
        </w:rPr>
        <w:t xml:space="preserve">el </w:t>
      </w:r>
      <w:r w:rsidR="00FD6DC8" w:rsidRPr="0032068E">
        <w:rPr>
          <w:rFonts w:ascii="Verdana" w:hAnsi="Verdana" w:cs="Verdana"/>
          <w:sz w:val="20"/>
          <w:szCs w:val="20"/>
          <w:lang w:val="es-ES"/>
        </w:rPr>
        <w:t xml:space="preserve">2014, el representante del caso </w:t>
      </w:r>
      <w:r w:rsidR="00FD6DC8" w:rsidRPr="0032068E">
        <w:rPr>
          <w:rFonts w:ascii="Verdana" w:hAnsi="Verdana" w:cs="Verdana"/>
          <w:i/>
          <w:sz w:val="20"/>
          <w:szCs w:val="20"/>
          <w:lang w:val="es-ES"/>
        </w:rPr>
        <w:t>Molina Theissen</w:t>
      </w:r>
      <w:r w:rsidR="00FD6DC8" w:rsidRPr="0032068E">
        <w:rPr>
          <w:rFonts w:ascii="Verdana" w:hAnsi="Verdana" w:cs="Verdana"/>
          <w:sz w:val="20"/>
          <w:szCs w:val="20"/>
          <w:lang w:val="es-ES"/>
        </w:rPr>
        <w:t xml:space="preserve"> señaló igualmente que el Estado “no ha tomado ninguna acción para corregir esta deficiencia”. También, en dicha oportunidad, la Comisión destacó “la importancia que la Unidad de Casos Especiales de Conflictos Armados tenga recursos suficientes para su funcionamiento adecuado”. </w:t>
      </w:r>
      <w:bookmarkEnd w:id="143"/>
      <w:r w:rsidR="00EB4EAE">
        <w:rPr>
          <w:rFonts w:ascii="Verdana" w:hAnsi="Verdana" w:cs="Verdana"/>
          <w:sz w:val="20"/>
          <w:szCs w:val="20"/>
          <w:lang w:val="es-ES"/>
        </w:rPr>
        <w:t>El Estado no se refirió a dichos planteamientos en ninguna oportunidad.</w:t>
      </w:r>
    </w:p>
    <w:p w14:paraId="7897A88A" w14:textId="77777777" w:rsidR="00FD6DC8" w:rsidRPr="0032068E" w:rsidRDefault="00FD6DC8" w:rsidP="00FD6DC8">
      <w:pPr>
        <w:pStyle w:val="ListParagraph"/>
        <w:spacing w:after="0" w:line="240" w:lineRule="auto"/>
        <w:ind w:left="0" w:right="1444"/>
        <w:jc w:val="both"/>
        <w:rPr>
          <w:rFonts w:ascii="Verdana" w:hAnsi="Verdana" w:cs="Verdana"/>
          <w:i/>
          <w:sz w:val="20"/>
          <w:szCs w:val="20"/>
          <w:lang w:val="es-ES"/>
        </w:rPr>
      </w:pPr>
    </w:p>
    <w:p w14:paraId="6D70ADCE" w14:textId="06BBFF3D" w:rsidR="00D5369A" w:rsidRPr="0032068E" w:rsidRDefault="00D5369A" w:rsidP="00D5369A">
      <w:pPr>
        <w:pStyle w:val="ListParagraph"/>
        <w:numPr>
          <w:ilvl w:val="0"/>
          <w:numId w:val="2"/>
        </w:numPr>
        <w:spacing w:after="0" w:line="240" w:lineRule="auto"/>
        <w:ind w:left="0" w:right="1444" w:firstLine="0"/>
        <w:jc w:val="both"/>
        <w:rPr>
          <w:rFonts w:ascii="Verdana" w:hAnsi="Verdana" w:cs="Verdana"/>
          <w:sz w:val="20"/>
          <w:szCs w:val="20"/>
          <w:lang w:val="es-ES"/>
        </w:rPr>
      </w:pPr>
      <w:bookmarkStart w:id="144" w:name="_Ref437942313"/>
      <w:r w:rsidRPr="0032068E">
        <w:rPr>
          <w:rFonts w:ascii="Verdana" w:hAnsi="Verdana" w:cs="Verdana"/>
          <w:sz w:val="20"/>
          <w:szCs w:val="20"/>
          <w:lang w:val="es-ES"/>
        </w:rPr>
        <w:t xml:space="preserve">La Corte recuerda que los </w:t>
      </w:r>
      <w:r w:rsidRPr="001722F3">
        <w:rPr>
          <w:rFonts w:ascii="Verdana" w:hAnsi="Verdana" w:cs="Verdana"/>
          <w:i/>
          <w:sz w:val="20"/>
          <w:szCs w:val="20"/>
          <w:lang w:val="es-ES"/>
        </w:rPr>
        <w:t>12 casos</w:t>
      </w:r>
      <w:r w:rsidRPr="0032068E">
        <w:rPr>
          <w:rFonts w:ascii="Verdana" w:hAnsi="Verdana" w:cs="Verdana"/>
          <w:sz w:val="20"/>
          <w:szCs w:val="20"/>
          <w:lang w:val="es-ES"/>
        </w:rPr>
        <w:t xml:space="preserve"> que se supervisan en esta resoluciones se refieren a graves violaciones a los derechos humanos </w:t>
      </w:r>
      <w:r w:rsidRPr="001C731E">
        <w:rPr>
          <w:rFonts w:ascii="Verdana" w:hAnsi="Verdana" w:cs="Verdana"/>
          <w:sz w:val="20"/>
          <w:szCs w:val="20"/>
          <w:lang w:val="es-ES"/>
        </w:rPr>
        <w:t>(</w:t>
      </w:r>
      <w:r w:rsidRPr="001C731E">
        <w:rPr>
          <w:rFonts w:ascii="Verdana" w:hAnsi="Verdana" w:cs="Verdana"/>
          <w:i/>
          <w:sz w:val="20"/>
          <w:szCs w:val="20"/>
          <w:lang w:val="es-ES"/>
        </w:rPr>
        <w:t>supra</w:t>
      </w:r>
      <w:r w:rsidRPr="001C731E">
        <w:rPr>
          <w:rFonts w:ascii="Verdana" w:hAnsi="Verdana" w:cs="Verdana"/>
          <w:sz w:val="20"/>
          <w:szCs w:val="20"/>
          <w:lang w:val="es-ES"/>
        </w:rPr>
        <w:t xml:space="preserve"> Considerando</w:t>
      </w:r>
      <w:r w:rsidR="001722F3" w:rsidRPr="001C731E">
        <w:rPr>
          <w:rFonts w:ascii="Verdana" w:hAnsi="Verdana" w:cs="Verdana"/>
          <w:sz w:val="20"/>
          <w:szCs w:val="20"/>
          <w:lang w:val="es-ES"/>
        </w:rPr>
        <w:t xml:space="preserve"> </w:t>
      </w:r>
      <w:r w:rsidR="001722F3" w:rsidRPr="001C731E">
        <w:rPr>
          <w:rFonts w:ascii="Verdana" w:hAnsi="Verdana" w:cs="Verdana"/>
          <w:sz w:val="20"/>
          <w:szCs w:val="20"/>
          <w:lang w:val="es-ES"/>
        </w:rPr>
        <w:fldChar w:fldCharType="begin"/>
      </w:r>
      <w:r w:rsidR="001722F3" w:rsidRPr="001C731E">
        <w:rPr>
          <w:rFonts w:ascii="Verdana" w:hAnsi="Verdana" w:cs="Verdana"/>
          <w:sz w:val="20"/>
          <w:szCs w:val="20"/>
          <w:lang w:val="es-ES"/>
        </w:rPr>
        <w:instrText xml:space="preserve"> REF _Ref437870239 \r \h </w:instrText>
      </w:r>
      <w:r w:rsidR="008353BF" w:rsidRPr="001C731E">
        <w:rPr>
          <w:rFonts w:ascii="Verdana" w:hAnsi="Verdana" w:cs="Verdana"/>
          <w:sz w:val="20"/>
          <w:szCs w:val="20"/>
          <w:lang w:val="es-ES"/>
        </w:rPr>
        <w:instrText xml:space="preserve"> \* MERGEFORMAT </w:instrText>
      </w:r>
      <w:r w:rsidR="001722F3" w:rsidRPr="001C731E">
        <w:rPr>
          <w:rFonts w:ascii="Verdana" w:hAnsi="Verdana" w:cs="Verdana"/>
          <w:sz w:val="20"/>
          <w:szCs w:val="20"/>
          <w:lang w:val="es-ES"/>
        </w:rPr>
      </w:r>
      <w:r w:rsidR="001722F3" w:rsidRPr="001C731E">
        <w:rPr>
          <w:rFonts w:ascii="Verdana" w:hAnsi="Verdana" w:cs="Verdana"/>
          <w:sz w:val="20"/>
          <w:szCs w:val="20"/>
          <w:lang w:val="es-ES"/>
        </w:rPr>
        <w:fldChar w:fldCharType="separate"/>
      </w:r>
      <w:r w:rsidR="007E3C4B">
        <w:rPr>
          <w:rFonts w:ascii="Verdana" w:hAnsi="Verdana" w:cs="Verdana"/>
          <w:sz w:val="20"/>
          <w:szCs w:val="20"/>
          <w:lang w:val="es-ES"/>
        </w:rPr>
        <w:t>18</w:t>
      </w:r>
      <w:r w:rsidR="001722F3" w:rsidRPr="001C731E">
        <w:rPr>
          <w:rFonts w:ascii="Verdana" w:hAnsi="Verdana" w:cs="Verdana"/>
          <w:sz w:val="20"/>
          <w:szCs w:val="20"/>
          <w:lang w:val="es-ES"/>
        </w:rPr>
        <w:fldChar w:fldCharType="end"/>
      </w:r>
      <w:r w:rsidRPr="001C731E">
        <w:rPr>
          <w:rFonts w:ascii="Verdana" w:hAnsi="Verdana" w:cs="Verdana"/>
          <w:sz w:val="20"/>
          <w:szCs w:val="20"/>
          <w:lang w:val="es-ES"/>
        </w:rPr>
        <w:t>),</w:t>
      </w:r>
      <w:r w:rsidR="001C731E">
        <w:rPr>
          <w:rFonts w:ascii="Verdana" w:hAnsi="Verdana" w:cs="Verdana"/>
          <w:sz w:val="20"/>
          <w:szCs w:val="20"/>
          <w:lang w:val="es-ES"/>
        </w:rPr>
        <w:t xml:space="preserve"> </w:t>
      </w:r>
      <w:r w:rsidR="001C731E" w:rsidRPr="00B63113">
        <w:rPr>
          <w:rFonts w:ascii="Verdana" w:hAnsi="Verdana" w:cs="Verdana"/>
          <w:sz w:val="20"/>
          <w:szCs w:val="20"/>
          <w:lang w:val="es-ES"/>
        </w:rPr>
        <w:t>entre los cuales</w:t>
      </w:r>
      <w:r w:rsidR="00B63113" w:rsidRPr="00B63113">
        <w:rPr>
          <w:rFonts w:ascii="Verdana" w:hAnsi="Verdana" w:cs="Verdana"/>
          <w:sz w:val="20"/>
          <w:szCs w:val="20"/>
          <w:lang w:val="es-ES"/>
        </w:rPr>
        <w:t xml:space="preserve"> se encuentran</w:t>
      </w:r>
      <w:r w:rsidRPr="00B63113">
        <w:rPr>
          <w:rFonts w:ascii="Verdana" w:hAnsi="Verdana" w:cs="Verdana"/>
          <w:sz w:val="20"/>
          <w:szCs w:val="20"/>
          <w:lang w:val="es-ES"/>
        </w:rPr>
        <w:t xml:space="preserve"> desapariciones forzadas,</w:t>
      </w:r>
      <w:r w:rsidRPr="0032068E">
        <w:rPr>
          <w:rFonts w:ascii="Verdana" w:hAnsi="Verdana" w:cs="Verdana"/>
          <w:sz w:val="20"/>
          <w:szCs w:val="20"/>
          <w:lang w:val="es-ES"/>
        </w:rPr>
        <w:t xml:space="preserve"> </w:t>
      </w:r>
      <w:r w:rsidR="00B63113">
        <w:rPr>
          <w:rFonts w:ascii="Verdana" w:hAnsi="Verdana" w:cs="Verdana"/>
          <w:sz w:val="20"/>
          <w:szCs w:val="20"/>
          <w:lang w:val="es-ES"/>
        </w:rPr>
        <w:t xml:space="preserve">de manera que </w:t>
      </w:r>
      <w:r w:rsidRPr="0032068E">
        <w:rPr>
          <w:rFonts w:ascii="Verdana" w:hAnsi="Verdana" w:cs="Verdana"/>
          <w:sz w:val="20"/>
          <w:szCs w:val="20"/>
          <w:lang w:val="es-ES"/>
        </w:rPr>
        <w:t xml:space="preserve">los familiares de los desaparecidos continúan sin conocer </w:t>
      </w:r>
      <w:r w:rsidR="00B63113">
        <w:rPr>
          <w:rFonts w:ascii="Verdana" w:hAnsi="Verdana" w:cs="Verdana"/>
          <w:sz w:val="20"/>
          <w:szCs w:val="20"/>
          <w:lang w:val="es-ES"/>
        </w:rPr>
        <w:t xml:space="preserve">lo sucedido ni </w:t>
      </w:r>
      <w:r w:rsidRPr="0032068E">
        <w:rPr>
          <w:rFonts w:ascii="Verdana" w:hAnsi="Verdana" w:cs="Verdana"/>
          <w:sz w:val="20"/>
          <w:szCs w:val="20"/>
          <w:lang w:val="es-ES"/>
        </w:rPr>
        <w:t>el paradero de la persona desaparecida ni obtener una identificación de sus restos, con todos los daños que ello conlleva para su integridad personal. Por ello, la Corte reitera la importancia de que el Estado asegure los recursos suficientes para que puedan seguir siendo investigados, de manera adecuada y efectiva, los casos relativos a los hechos ocurridos en el conflicto armado interno.</w:t>
      </w:r>
      <w:bookmarkEnd w:id="144"/>
      <w:r w:rsidRPr="0032068E">
        <w:rPr>
          <w:rFonts w:ascii="Verdana" w:hAnsi="Verdana" w:cs="Verdana"/>
          <w:sz w:val="20"/>
          <w:szCs w:val="20"/>
          <w:lang w:val="es-ES"/>
        </w:rPr>
        <w:t xml:space="preserve">  </w:t>
      </w:r>
    </w:p>
    <w:p w14:paraId="7FCBFCF1" w14:textId="77777777" w:rsidR="000016C3" w:rsidRDefault="000016C3" w:rsidP="00C02A57">
      <w:pPr>
        <w:spacing w:after="0" w:line="240" w:lineRule="auto"/>
        <w:ind w:right="1444"/>
        <w:jc w:val="both"/>
        <w:rPr>
          <w:rFonts w:ascii="Verdana" w:hAnsi="Verdana" w:cs="Verdana"/>
          <w:i/>
          <w:sz w:val="20"/>
          <w:szCs w:val="20"/>
          <w:lang w:val="es-ES"/>
        </w:rPr>
      </w:pPr>
    </w:p>
    <w:p w14:paraId="56D6AD03" w14:textId="77777777" w:rsidR="00186119" w:rsidRPr="0032068E" w:rsidRDefault="00186119" w:rsidP="00C02A57">
      <w:pPr>
        <w:spacing w:after="0" w:line="240" w:lineRule="auto"/>
        <w:ind w:right="1444"/>
        <w:jc w:val="both"/>
        <w:rPr>
          <w:rFonts w:ascii="Verdana" w:hAnsi="Verdana" w:cs="Verdana"/>
          <w:i/>
          <w:sz w:val="20"/>
          <w:szCs w:val="20"/>
          <w:lang w:val="es-ES"/>
        </w:rPr>
      </w:pPr>
    </w:p>
    <w:p w14:paraId="2D394A2E" w14:textId="77777777" w:rsidR="008710DC" w:rsidRPr="0032068E" w:rsidRDefault="008710DC" w:rsidP="008710DC">
      <w:pPr>
        <w:pStyle w:val="ListParagraph"/>
        <w:ind w:left="0" w:right="1444"/>
        <w:jc w:val="center"/>
        <w:rPr>
          <w:rFonts w:ascii="Verdana" w:hAnsi="Verdana"/>
          <w:sz w:val="20"/>
          <w:szCs w:val="20"/>
          <w:lang w:val="es-CR"/>
        </w:rPr>
      </w:pPr>
      <w:r w:rsidRPr="0032068E">
        <w:rPr>
          <w:rFonts w:ascii="Verdana" w:hAnsi="Verdana"/>
          <w:sz w:val="20"/>
          <w:szCs w:val="20"/>
          <w:lang w:val="es-CR"/>
        </w:rPr>
        <w:t>*</w:t>
      </w:r>
    </w:p>
    <w:p w14:paraId="2372CB47" w14:textId="5E5D4108" w:rsidR="009D238C" w:rsidRPr="0032068E" w:rsidRDefault="009D238C" w:rsidP="009D238C">
      <w:pPr>
        <w:pStyle w:val="ListParagraph"/>
        <w:numPr>
          <w:ilvl w:val="0"/>
          <w:numId w:val="2"/>
        </w:numPr>
        <w:spacing w:after="0" w:line="240" w:lineRule="auto"/>
        <w:ind w:left="0" w:right="1444" w:firstLine="0"/>
        <w:jc w:val="both"/>
        <w:rPr>
          <w:rFonts w:ascii="Verdana" w:hAnsi="Verdana"/>
          <w:sz w:val="20"/>
          <w:szCs w:val="20"/>
          <w:lang w:val="es-CR"/>
        </w:rPr>
      </w:pPr>
      <w:r w:rsidRPr="0032068E">
        <w:rPr>
          <w:rFonts w:ascii="Verdana" w:hAnsi="Verdana" w:cs="Verdana"/>
          <w:sz w:val="20"/>
          <w:szCs w:val="20"/>
          <w:lang w:val="es-ES"/>
        </w:rPr>
        <w:t xml:space="preserve">La Corte </w:t>
      </w:r>
      <w:r w:rsidRPr="0032068E">
        <w:rPr>
          <w:rFonts w:ascii="Verdana" w:hAnsi="Verdana"/>
          <w:sz w:val="20"/>
          <w:szCs w:val="20"/>
          <w:lang w:val="es-CR"/>
        </w:rPr>
        <w:t xml:space="preserve">advierte que las investigaciones de los </w:t>
      </w:r>
      <w:r w:rsidRPr="0032068E">
        <w:rPr>
          <w:rFonts w:ascii="Verdana" w:hAnsi="Verdana"/>
          <w:i/>
          <w:sz w:val="20"/>
          <w:szCs w:val="20"/>
          <w:lang w:val="es-CR"/>
        </w:rPr>
        <w:t>12 Casos</w:t>
      </w:r>
      <w:r w:rsidRPr="0032068E">
        <w:rPr>
          <w:rFonts w:ascii="Verdana" w:hAnsi="Verdana"/>
          <w:sz w:val="20"/>
          <w:szCs w:val="20"/>
          <w:lang w:val="es-CR"/>
        </w:rPr>
        <w:t xml:space="preserve"> corresponden a hechos que ocurrieron o iniciaron su ejecución entre los años 1981 y 1999</w:t>
      </w:r>
      <w:r w:rsidRPr="0032068E">
        <w:rPr>
          <w:rStyle w:val="FootnoteReference"/>
          <w:rFonts w:ascii="Verdana" w:hAnsi="Verdana"/>
          <w:sz w:val="20"/>
          <w:szCs w:val="20"/>
          <w:lang w:val="es-CR"/>
        </w:rPr>
        <w:footnoteReference w:id="184"/>
      </w:r>
      <w:r w:rsidRPr="0032068E">
        <w:rPr>
          <w:rFonts w:ascii="Verdana" w:hAnsi="Verdana"/>
          <w:sz w:val="20"/>
          <w:szCs w:val="20"/>
          <w:lang w:val="es-CR"/>
        </w:rPr>
        <w:t xml:space="preserve">. </w:t>
      </w:r>
      <w:r w:rsidR="00447043" w:rsidRPr="0032068E">
        <w:rPr>
          <w:rFonts w:ascii="Verdana" w:hAnsi="Verdana"/>
          <w:sz w:val="20"/>
          <w:szCs w:val="20"/>
          <w:lang w:val="es-CR"/>
        </w:rPr>
        <w:t xml:space="preserve">En este sentido, han </w:t>
      </w:r>
      <w:r w:rsidR="00447043" w:rsidRPr="0032068E">
        <w:rPr>
          <w:rFonts w:ascii="Verdana" w:hAnsi="Verdana"/>
          <w:sz w:val="20"/>
          <w:szCs w:val="20"/>
          <w:lang w:val="es-CR"/>
        </w:rPr>
        <w:lastRenderedPageBreak/>
        <w:t>transcurrido entre 18 y 34 años desde que las graves violaciones a derechos humanos ocurridas en dichos casos fueron cometidas y se encuentran en impunidad</w:t>
      </w:r>
      <w:r w:rsidRPr="0032068E">
        <w:rPr>
          <w:rStyle w:val="FootnoteReference"/>
          <w:rFonts w:ascii="Verdana" w:hAnsi="Verdana"/>
          <w:sz w:val="20"/>
          <w:szCs w:val="20"/>
          <w:lang w:val="es-CR"/>
        </w:rPr>
        <w:footnoteReference w:id="185"/>
      </w:r>
      <w:r w:rsidRPr="0032068E">
        <w:rPr>
          <w:rFonts w:ascii="Verdana" w:hAnsi="Verdana"/>
          <w:sz w:val="20"/>
          <w:szCs w:val="20"/>
          <w:lang w:val="es-CR"/>
        </w:rPr>
        <w:t xml:space="preserve">. </w:t>
      </w:r>
    </w:p>
    <w:p w14:paraId="6B58F33C" w14:textId="77777777" w:rsidR="009D238C" w:rsidRPr="0032068E" w:rsidRDefault="009D238C" w:rsidP="009D238C">
      <w:pPr>
        <w:pStyle w:val="ListParagraph"/>
        <w:spacing w:after="0" w:line="240" w:lineRule="auto"/>
        <w:ind w:left="0" w:right="1444"/>
        <w:jc w:val="both"/>
        <w:rPr>
          <w:rFonts w:ascii="Verdana" w:hAnsi="Verdana"/>
          <w:sz w:val="20"/>
          <w:szCs w:val="20"/>
          <w:lang w:val="es-CR"/>
        </w:rPr>
      </w:pPr>
    </w:p>
    <w:p w14:paraId="13BE0BBF" w14:textId="3D601A9D" w:rsidR="009D238C" w:rsidRPr="0032068E" w:rsidRDefault="009D238C" w:rsidP="009D238C">
      <w:pPr>
        <w:pStyle w:val="ListParagraph"/>
        <w:numPr>
          <w:ilvl w:val="0"/>
          <w:numId w:val="2"/>
        </w:numPr>
        <w:spacing w:after="0" w:line="240" w:lineRule="auto"/>
        <w:ind w:left="0" w:right="1444" w:firstLine="0"/>
        <w:jc w:val="both"/>
        <w:rPr>
          <w:rFonts w:ascii="Verdana" w:hAnsi="Verdana"/>
          <w:sz w:val="20"/>
          <w:szCs w:val="20"/>
          <w:lang w:val="es-CR"/>
        </w:rPr>
      </w:pPr>
      <w:bookmarkStart w:id="145" w:name="_Ref437859853"/>
      <w:r w:rsidRPr="0032068E">
        <w:rPr>
          <w:rFonts w:ascii="Verdana" w:hAnsi="Verdana"/>
          <w:sz w:val="20"/>
          <w:szCs w:val="20"/>
          <w:lang w:val="es-CR"/>
        </w:rPr>
        <w:t xml:space="preserve">Al respecto, en la parte del Informe del Ministerio Público de </w:t>
      </w:r>
      <w:r w:rsidR="009041CF">
        <w:rPr>
          <w:rFonts w:ascii="Verdana" w:hAnsi="Verdana"/>
          <w:sz w:val="20"/>
          <w:szCs w:val="20"/>
          <w:lang w:val="es-CR"/>
        </w:rPr>
        <w:t xml:space="preserve">mayo de </w:t>
      </w:r>
      <w:r w:rsidRPr="0032068E">
        <w:rPr>
          <w:rFonts w:ascii="Verdana" w:hAnsi="Verdana"/>
          <w:sz w:val="20"/>
          <w:szCs w:val="20"/>
          <w:lang w:val="es-CR"/>
        </w:rPr>
        <w:t>2014 relativa a “problemáticas estructurales que [dicho órgano] ha identificado como obstác</w:t>
      </w:r>
      <w:r w:rsidR="001C731E">
        <w:rPr>
          <w:rFonts w:ascii="Verdana" w:hAnsi="Verdana"/>
          <w:sz w:val="20"/>
          <w:szCs w:val="20"/>
          <w:lang w:val="es-CR"/>
        </w:rPr>
        <w:t xml:space="preserve">ulos” se indicó, al final, que </w:t>
      </w:r>
      <w:r w:rsidRPr="0032068E">
        <w:rPr>
          <w:rFonts w:ascii="Verdana" w:hAnsi="Verdana"/>
          <w:sz w:val="20"/>
          <w:szCs w:val="20"/>
          <w:lang w:val="es-CR"/>
        </w:rPr>
        <w:t>resulta importante explicar que “debido al largo período de tiempo entre que sucedieron los hechos</w:t>
      </w:r>
      <w:r w:rsidRPr="0032068E">
        <w:rPr>
          <w:rFonts w:ascii="Verdana" w:hAnsi="Verdana"/>
          <w:i/>
          <w:sz w:val="20"/>
          <w:szCs w:val="20"/>
          <w:lang w:val="es-CR"/>
        </w:rPr>
        <w:t xml:space="preserve"> </w:t>
      </w:r>
      <w:r w:rsidRPr="0032068E">
        <w:rPr>
          <w:rFonts w:ascii="Verdana" w:hAnsi="Verdana"/>
          <w:sz w:val="20"/>
          <w:szCs w:val="20"/>
          <w:lang w:val="es-CR"/>
        </w:rPr>
        <w:t xml:space="preserve">y se están procesando este tipo de casos, </w:t>
      </w:r>
      <w:r w:rsidRPr="0032068E">
        <w:rPr>
          <w:rFonts w:ascii="Verdana" w:hAnsi="Verdana" w:cs="Verdana"/>
          <w:sz w:val="20"/>
          <w:szCs w:val="20"/>
          <w:lang w:val="es-ES"/>
        </w:rPr>
        <w:t>muchos de los posibles responsables han muerto o se hallan incapacitados de comparecer ante los tribunales de justicia, situaciones que asimismo</w:t>
      </w:r>
      <w:r w:rsidR="005930E1">
        <w:rPr>
          <w:rFonts w:ascii="Verdana" w:hAnsi="Verdana" w:cs="Verdana"/>
          <w:sz w:val="20"/>
          <w:szCs w:val="20"/>
          <w:lang w:val="es-ES"/>
        </w:rPr>
        <w:t>,</w:t>
      </w:r>
      <w:r w:rsidRPr="0032068E">
        <w:rPr>
          <w:rFonts w:ascii="Verdana" w:hAnsi="Verdana" w:cs="Verdana"/>
          <w:sz w:val="20"/>
          <w:szCs w:val="20"/>
          <w:lang w:val="es-ES"/>
        </w:rPr>
        <w:t xml:space="preserve"> afectan a muchos de los testigos, por lo cual en relación a los posibles implicados se han iniciado procesos para la aplicación de medidas de seguridad y coerción y en el caso de los testigos se ha procedido a su declaración en anticipo de prueba”</w:t>
      </w:r>
      <w:bookmarkEnd w:id="145"/>
      <w:r w:rsidR="001722F3">
        <w:rPr>
          <w:rFonts w:ascii="Verdana" w:hAnsi="Verdana" w:cs="Verdana"/>
          <w:sz w:val="20"/>
          <w:szCs w:val="20"/>
          <w:lang w:val="es-ES"/>
        </w:rPr>
        <w:t>.</w:t>
      </w:r>
    </w:p>
    <w:p w14:paraId="05ED300C" w14:textId="77777777" w:rsidR="009D238C" w:rsidRPr="0032068E" w:rsidRDefault="009D238C" w:rsidP="009D238C">
      <w:pPr>
        <w:pStyle w:val="ListParagraph"/>
        <w:rPr>
          <w:rFonts w:ascii="Verdana" w:hAnsi="Verdana"/>
          <w:sz w:val="20"/>
          <w:szCs w:val="20"/>
          <w:lang w:val="es-CR"/>
        </w:rPr>
      </w:pPr>
    </w:p>
    <w:p w14:paraId="7758FA3F" w14:textId="403C1C6E" w:rsidR="009D238C" w:rsidRPr="0032068E" w:rsidRDefault="009D238C" w:rsidP="009D238C">
      <w:pPr>
        <w:pStyle w:val="ListParagraph"/>
        <w:numPr>
          <w:ilvl w:val="0"/>
          <w:numId w:val="2"/>
        </w:numPr>
        <w:spacing w:after="0" w:line="240" w:lineRule="auto"/>
        <w:ind w:left="0" w:right="1444" w:firstLine="0"/>
        <w:jc w:val="both"/>
        <w:rPr>
          <w:rFonts w:ascii="Verdana" w:hAnsi="Verdana"/>
          <w:sz w:val="20"/>
          <w:szCs w:val="20"/>
          <w:lang w:val="es-CR"/>
        </w:rPr>
      </w:pPr>
      <w:r w:rsidRPr="0032068E">
        <w:rPr>
          <w:rFonts w:ascii="Verdana" w:hAnsi="Verdana"/>
          <w:sz w:val="20"/>
          <w:szCs w:val="20"/>
          <w:lang w:val="es-CR"/>
        </w:rPr>
        <w:t xml:space="preserve"> En casos </w:t>
      </w:r>
      <w:r w:rsidRPr="0032068E">
        <w:rPr>
          <w:rFonts w:ascii="Verdana" w:hAnsi="Verdana" w:cs="Verdana"/>
          <w:sz w:val="20"/>
          <w:szCs w:val="20"/>
          <w:lang w:val="es-ES"/>
        </w:rPr>
        <w:t>relacionados</w:t>
      </w:r>
      <w:r w:rsidRPr="0032068E">
        <w:rPr>
          <w:rFonts w:ascii="Verdana" w:hAnsi="Verdana"/>
          <w:sz w:val="20"/>
          <w:szCs w:val="20"/>
          <w:lang w:val="es-CR"/>
        </w:rPr>
        <w:t xml:space="preserve"> a desapariciones forzadas, el Tribunal ha sido particularmente enfático en  que “el paso del tiempo guarda una relación directamente proporcional con la limitación –y en algunos casos, la imposibilidad- para obtener las pruebas y/o testimonios, dificultando y aún tornando nugatoria o ineficaz, la práctica de diligencias probatorias a fin de esclarecer los hechos materia de investigación, identificar a los posibles autores y partícipes, y determinar las eventuales responsabilidades penales”</w:t>
      </w:r>
      <w:r w:rsidRPr="0032068E">
        <w:rPr>
          <w:rStyle w:val="FootnoteReference"/>
          <w:rFonts w:ascii="Verdana" w:hAnsi="Verdana"/>
          <w:sz w:val="20"/>
          <w:szCs w:val="20"/>
          <w:lang w:val="es-CR"/>
        </w:rPr>
        <w:footnoteReference w:id="186"/>
      </w:r>
      <w:r w:rsidRPr="0032068E">
        <w:rPr>
          <w:rFonts w:ascii="Verdana" w:hAnsi="Verdana"/>
          <w:sz w:val="20"/>
          <w:szCs w:val="20"/>
          <w:lang w:val="es-CR"/>
        </w:rPr>
        <w:t xml:space="preserve">. </w:t>
      </w:r>
    </w:p>
    <w:p w14:paraId="2B854470" w14:textId="77777777" w:rsidR="009D238C" w:rsidRPr="0032068E" w:rsidRDefault="009D238C" w:rsidP="009D238C">
      <w:pPr>
        <w:pStyle w:val="ListParagraph"/>
        <w:rPr>
          <w:rFonts w:ascii="Verdana" w:hAnsi="Verdana"/>
          <w:sz w:val="20"/>
          <w:szCs w:val="20"/>
          <w:lang w:val="es-CR"/>
        </w:rPr>
      </w:pPr>
    </w:p>
    <w:p w14:paraId="329F58C7" w14:textId="03A59DC7" w:rsidR="009D238C" w:rsidRPr="0032068E" w:rsidRDefault="009D238C" w:rsidP="009D238C">
      <w:pPr>
        <w:pStyle w:val="ListParagraph"/>
        <w:numPr>
          <w:ilvl w:val="0"/>
          <w:numId w:val="2"/>
        </w:numPr>
        <w:spacing w:after="0" w:line="240" w:lineRule="auto"/>
        <w:ind w:left="0" w:right="1444" w:firstLine="0"/>
        <w:jc w:val="both"/>
        <w:rPr>
          <w:rFonts w:ascii="Verdana" w:hAnsi="Verdana"/>
          <w:sz w:val="20"/>
          <w:szCs w:val="20"/>
          <w:lang w:val="es-CR"/>
        </w:rPr>
      </w:pPr>
      <w:bookmarkStart w:id="146" w:name="_Ref437955684"/>
      <w:r w:rsidRPr="0032068E">
        <w:rPr>
          <w:rFonts w:ascii="Verdana" w:hAnsi="Verdana"/>
          <w:sz w:val="20"/>
          <w:szCs w:val="20"/>
          <w:lang w:val="es-CR"/>
        </w:rPr>
        <w:t xml:space="preserve">La Corte valora </w:t>
      </w:r>
      <w:r w:rsidRPr="001C731E">
        <w:rPr>
          <w:rFonts w:ascii="Verdana" w:hAnsi="Verdana"/>
          <w:sz w:val="20"/>
          <w:szCs w:val="20"/>
          <w:lang w:val="es-CR"/>
        </w:rPr>
        <w:t xml:space="preserve">positivamente las actuaciones que el Ministerio Público informó que estaría realizando para prevenir los efectos del transcurso del tiempo en la efectividad de las investigaciones. Sin embargo, las limitaciones derivadas del transcurso del tiempo son atribuibles al Estado, no sólo por estar enmarcados en un patrón de demora judicial en Guatemala </w:t>
      </w:r>
      <w:r w:rsidR="005930E1" w:rsidRPr="001C731E">
        <w:rPr>
          <w:rFonts w:ascii="Verdana" w:hAnsi="Verdana"/>
          <w:sz w:val="20"/>
          <w:szCs w:val="20"/>
          <w:lang w:val="es-CR"/>
        </w:rPr>
        <w:t xml:space="preserve">identificado en las Sentencias </w:t>
      </w:r>
      <w:r w:rsidRPr="001C731E">
        <w:rPr>
          <w:rFonts w:ascii="Verdana" w:hAnsi="Verdana"/>
          <w:sz w:val="20"/>
          <w:szCs w:val="20"/>
          <w:lang w:val="es-CR"/>
        </w:rPr>
        <w:t>y que se ha perpetuado hasta la presente fecha</w:t>
      </w:r>
      <w:r w:rsidR="005930E1" w:rsidRPr="001C731E">
        <w:rPr>
          <w:rStyle w:val="FootnoteReference"/>
          <w:rFonts w:ascii="Verdana" w:hAnsi="Verdana"/>
          <w:sz w:val="20"/>
          <w:szCs w:val="20"/>
          <w:lang w:val="es-CR"/>
        </w:rPr>
        <w:footnoteReference w:id="187"/>
      </w:r>
      <w:r w:rsidRPr="001C731E">
        <w:rPr>
          <w:rFonts w:ascii="Verdana" w:hAnsi="Verdana"/>
          <w:sz w:val="20"/>
          <w:szCs w:val="20"/>
          <w:lang w:val="es-CR"/>
        </w:rPr>
        <w:t>, sino además teniendo en cuenta que los obstáculos estructurales valorados por la Corte en la presente Resolución han favorecido la demora injustificada de las investigaciones y enjuiciamientos referidos (</w:t>
      </w:r>
      <w:r w:rsidRPr="001C731E">
        <w:rPr>
          <w:rFonts w:ascii="Verdana" w:hAnsi="Verdana"/>
          <w:i/>
          <w:sz w:val="20"/>
          <w:szCs w:val="20"/>
          <w:lang w:val="es-CR"/>
        </w:rPr>
        <w:t>supra</w:t>
      </w:r>
      <w:r w:rsidRPr="001C731E">
        <w:rPr>
          <w:rFonts w:ascii="Verdana" w:hAnsi="Verdana"/>
          <w:sz w:val="20"/>
          <w:szCs w:val="20"/>
          <w:lang w:val="es-CR"/>
        </w:rPr>
        <w:t xml:space="preserve"> </w:t>
      </w:r>
      <w:r w:rsidR="005930E1" w:rsidRPr="001C731E">
        <w:rPr>
          <w:rFonts w:ascii="Verdana" w:hAnsi="Verdana"/>
          <w:sz w:val="20"/>
          <w:szCs w:val="20"/>
          <w:lang w:val="es-CR"/>
        </w:rPr>
        <w:t>Capítulo</w:t>
      </w:r>
      <w:r w:rsidRPr="001C731E">
        <w:rPr>
          <w:rFonts w:ascii="Verdana" w:hAnsi="Verdana"/>
          <w:sz w:val="20"/>
          <w:szCs w:val="20"/>
          <w:lang w:val="es-CR"/>
        </w:rPr>
        <w:t xml:space="preserve"> </w:t>
      </w:r>
      <w:r w:rsidR="005930E1" w:rsidRPr="001C731E">
        <w:rPr>
          <w:rFonts w:ascii="Verdana" w:hAnsi="Verdana"/>
          <w:sz w:val="20"/>
          <w:szCs w:val="20"/>
          <w:lang w:val="es-CR"/>
        </w:rPr>
        <w:t>3.E</w:t>
      </w:r>
      <w:r w:rsidRPr="001C731E">
        <w:rPr>
          <w:rFonts w:ascii="Verdana" w:hAnsi="Verdana"/>
          <w:sz w:val="20"/>
          <w:szCs w:val="20"/>
          <w:lang w:val="es-CR"/>
        </w:rPr>
        <w:t>),</w:t>
      </w:r>
      <w:r w:rsidRPr="0032068E">
        <w:rPr>
          <w:rFonts w:ascii="Verdana" w:hAnsi="Verdana"/>
          <w:sz w:val="20"/>
          <w:szCs w:val="20"/>
          <w:lang w:val="es-CR"/>
        </w:rPr>
        <w:t xml:space="preserve"> y son igualmente imputables al Estado. Esto es especialmente relevante teniendo en cuenta que, en todos los casos, salvo </w:t>
      </w:r>
      <w:r w:rsidRPr="0032068E">
        <w:rPr>
          <w:rFonts w:ascii="Verdana" w:hAnsi="Verdana"/>
          <w:i/>
          <w:sz w:val="20"/>
          <w:szCs w:val="20"/>
          <w:lang w:val="es-CR"/>
        </w:rPr>
        <w:t>Mack Chang</w:t>
      </w:r>
      <w:r w:rsidRPr="0032068E">
        <w:rPr>
          <w:rFonts w:ascii="Verdana" w:hAnsi="Verdana"/>
          <w:sz w:val="20"/>
          <w:szCs w:val="20"/>
          <w:lang w:val="es-CR"/>
        </w:rPr>
        <w:t xml:space="preserve">, existen investigaciones abiertas por dichos hechos que aún se encuentran en etapa inicial, a pesar del transcurso de entre 18 y 34 años desde que ocurrieron los hechos. </w:t>
      </w:r>
      <w:r w:rsidR="00E6725D">
        <w:rPr>
          <w:rFonts w:ascii="Verdana" w:hAnsi="Verdana"/>
          <w:sz w:val="20"/>
          <w:szCs w:val="20"/>
          <w:lang w:val="es-CR"/>
        </w:rPr>
        <w:t xml:space="preserve">Guatemala </w:t>
      </w:r>
      <w:r w:rsidRPr="0032068E">
        <w:rPr>
          <w:rFonts w:ascii="Verdana" w:hAnsi="Verdana"/>
          <w:sz w:val="20"/>
          <w:szCs w:val="20"/>
          <w:lang w:val="es-CR"/>
        </w:rPr>
        <w:t>debe continuar efectuando las diligencias pertinentes para completar las investigaciones y enjuiciamientos correspondientes con la mayor celeridad, para evitar que se agraven los obstáculos que derivan del tiempo. Igualmente, se insta al Ministerio Público a continuar realizando todas las medidas que, en el marco de sus competencias, permitan evitar que los efectos del transcurso del tiempo limiten o imposibiliten la investigación de lo sucedido.</w:t>
      </w:r>
      <w:bookmarkEnd w:id="146"/>
      <w:r w:rsidRPr="0032068E">
        <w:rPr>
          <w:rFonts w:ascii="Verdana" w:hAnsi="Verdana"/>
          <w:sz w:val="20"/>
          <w:szCs w:val="20"/>
          <w:lang w:val="es-CR"/>
        </w:rPr>
        <w:t xml:space="preserve"> </w:t>
      </w:r>
    </w:p>
    <w:p w14:paraId="12C81DDC" w14:textId="77777777" w:rsidR="00447043" w:rsidRPr="0032068E" w:rsidRDefault="00447043" w:rsidP="008710DC">
      <w:pPr>
        <w:pStyle w:val="ListParagraph"/>
        <w:ind w:left="0" w:right="1444"/>
        <w:jc w:val="center"/>
        <w:rPr>
          <w:rFonts w:ascii="Verdana" w:hAnsi="Verdana"/>
          <w:sz w:val="20"/>
          <w:szCs w:val="20"/>
          <w:lang w:val="es-CR"/>
        </w:rPr>
      </w:pPr>
    </w:p>
    <w:p w14:paraId="6198247B" w14:textId="3783DFFD" w:rsidR="008710DC" w:rsidRDefault="00447043" w:rsidP="008710DC">
      <w:pPr>
        <w:pStyle w:val="ListParagraph"/>
        <w:numPr>
          <w:ilvl w:val="0"/>
          <w:numId w:val="2"/>
        </w:numPr>
        <w:spacing w:after="0" w:line="240" w:lineRule="auto"/>
        <w:ind w:left="0" w:right="1444" w:firstLine="0"/>
        <w:jc w:val="both"/>
        <w:rPr>
          <w:rFonts w:ascii="Verdana" w:eastAsia="Batang" w:hAnsi="Verdana"/>
          <w:sz w:val="20"/>
          <w:szCs w:val="20"/>
          <w:lang w:val="es-CR"/>
        </w:rPr>
      </w:pPr>
      <w:r w:rsidRPr="0032068E">
        <w:rPr>
          <w:rFonts w:ascii="Verdana" w:eastAsia="Batang" w:hAnsi="Verdana"/>
          <w:sz w:val="20"/>
          <w:szCs w:val="20"/>
          <w:lang w:val="es-CR"/>
        </w:rPr>
        <w:t>Finalmente, l</w:t>
      </w:r>
      <w:r w:rsidR="008710DC" w:rsidRPr="0032068E">
        <w:rPr>
          <w:rFonts w:ascii="Verdana" w:eastAsia="Batang" w:hAnsi="Verdana"/>
          <w:sz w:val="20"/>
          <w:szCs w:val="20"/>
          <w:lang w:val="es-CR"/>
        </w:rPr>
        <w:t xml:space="preserve">a Corte ha </w:t>
      </w:r>
      <w:r w:rsidR="008710DC" w:rsidRPr="00E6725D">
        <w:rPr>
          <w:rFonts w:ascii="Verdana" w:eastAsia="Batang" w:hAnsi="Verdana"/>
          <w:sz w:val="20"/>
          <w:szCs w:val="20"/>
          <w:lang w:val="es-CR"/>
        </w:rPr>
        <w:t>valorado que en el 2015 Guatemala cambió su actitud de desacato (</w:t>
      </w:r>
      <w:r w:rsidR="008710DC" w:rsidRPr="00E6725D">
        <w:rPr>
          <w:rFonts w:ascii="Verdana" w:eastAsia="Batang" w:hAnsi="Verdana"/>
          <w:i/>
          <w:sz w:val="20"/>
          <w:szCs w:val="20"/>
          <w:lang w:val="es-CR"/>
        </w:rPr>
        <w:t>supra</w:t>
      </w:r>
      <w:r w:rsidR="005930E1" w:rsidRPr="00E6725D">
        <w:rPr>
          <w:rFonts w:ascii="Verdana" w:eastAsia="Batang" w:hAnsi="Verdana"/>
          <w:sz w:val="20"/>
          <w:szCs w:val="20"/>
          <w:lang w:val="es-CR"/>
        </w:rPr>
        <w:t xml:space="preserve"> Considerando</w:t>
      </w:r>
      <w:r w:rsidR="00E6725D" w:rsidRPr="00E6725D">
        <w:rPr>
          <w:rFonts w:ascii="Verdana" w:eastAsia="Batang" w:hAnsi="Verdana"/>
          <w:sz w:val="20"/>
          <w:szCs w:val="20"/>
          <w:lang w:val="es-CR"/>
        </w:rPr>
        <w:t>s</w:t>
      </w:r>
      <w:r w:rsidR="008710DC" w:rsidRPr="00E6725D">
        <w:rPr>
          <w:rFonts w:ascii="Verdana" w:eastAsia="Batang" w:hAnsi="Verdana"/>
          <w:sz w:val="20"/>
          <w:szCs w:val="20"/>
          <w:lang w:val="es-CR"/>
        </w:rPr>
        <w:t xml:space="preserve"> </w:t>
      </w:r>
      <w:r w:rsidR="00E6725D" w:rsidRPr="00E6725D">
        <w:rPr>
          <w:rFonts w:ascii="Verdana" w:eastAsia="Batang" w:hAnsi="Verdana"/>
          <w:sz w:val="20"/>
          <w:szCs w:val="20"/>
          <w:lang w:val="es-CR"/>
        </w:rPr>
        <w:t xml:space="preserve">25, 26 y </w:t>
      </w:r>
      <w:r w:rsidR="005930E1" w:rsidRPr="00E6725D">
        <w:rPr>
          <w:rFonts w:ascii="Verdana" w:eastAsia="Batang" w:hAnsi="Verdana"/>
          <w:sz w:val="20"/>
          <w:szCs w:val="20"/>
          <w:lang w:val="es-CR"/>
        </w:rPr>
        <w:fldChar w:fldCharType="begin"/>
      </w:r>
      <w:r w:rsidR="005930E1" w:rsidRPr="00E6725D">
        <w:rPr>
          <w:rFonts w:ascii="Verdana" w:eastAsia="Batang" w:hAnsi="Verdana"/>
          <w:sz w:val="20"/>
          <w:szCs w:val="20"/>
          <w:lang w:val="es-CR"/>
        </w:rPr>
        <w:instrText xml:space="preserve"> REF _Ref437960057 \r \h </w:instrText>
      </w:r>
      <w:r w:rsidR="00E6725D">
        <w:rPr>
          <w:rFonts w:ascii="Verdana" w:eastAsia="Batang" w:hAnsi="Verdana"/>
          <w:sz w:val="20"/>
          <w:szCs w:val="20"/>
          <w:lang w:val="es-CR"/>
        </w:rPr>
        <w:instrText xml:space="preserve"> \* MERGEFORMAT </w:instrText>
      </w:r>
      <w:r w:rsidR="005930E1" w:rsidRPr="00E6725D">
        <w:rPr>
          <w:rFonts w:ascii="Verdana" w:eastAsia="Batang" w:hAnsi="Verdana"/>
          <w:sz w:val="20"/>
          <w:szCs w:val="20"/>
          <w:lang w:val="es-CR"/>
        </w:rPr>
      </w:r>
      <w:r w:rsidR="005930E1" w:rsidRPr="00E6725D">
        <w:rPr>
          <w:rFonts w:ascii="Verdana" w:eastAsia="Batang" w:hAnsi="Verdana"/>
          <w:sz w:val="20"/>
          <w:szCs w:val="20"/>
          <w:lang w:val="es-CR"/>
        </w:rPr>
        <w:fldChar w:fldCharType="separate"/>
      </w:r>
      <w:r w:rsidR="007E3C4B">
        <w:rPr>
          <w:rFonts w:ascii="Verdana" w:eastAsia="Batang" w:hAnsi="Verdana"/>
          <w:sz w:val="20"/>
          <w:szCs w:val="20"/>
          <w:lang w:val="es-CR"/>
        </w:rPr>
        <w:t>29</w:t>
      </w:r>
      <w:r w:rsidR="005930E1" w:rsidRPr="00E6725D">
        <w:rPr>
          <w:rFonts w:ascii="Verdana" w:eastAsia="Batang" w:hAnsi="Verdana"/>
          <w:sz w:val="20"/>
          <w:szCs w:val="20"/>
          <w:lang w:val="es-CR"/>
        </w:rPr>
        <w:fldChar w:fldCharType="end"/>
      </w:r>
      <w:r w:rsidR="008710DC" w:rsidRPr="00E6725D">
        <w:rPr>
          <w:rFonts w:ascii="Verdana" w:eastAsia="Batang" w:hAnsi="Verdana"/>
          <w:sz w:val="20"/>
          <w:szCs w:val="20"/>
          <w:lang w:val="es-CR"/>
        </w:rPr>
        <w:t>) y que, recientemente, a finales de octubre de 2015, inclusive presentó, de oficio, un informe sobre el cumplimiento de la obligación de investigar, el cual da cuenta que en algunos</w:t>
      </w:r>
      <w:r w:rsidR="00E6725D" w:rsidRPr="00E6725D">
        <w:rPr>
          <w:rFonts w:ascii="Verdana" w:eastAsia="Batang" w:hAnsi="Verdana"/>
          <w:sz w:val="20"/>
          <w:szCs w:val="20"/>
          <w:lang w:val="es-CR"/>
        </w:rPr>
        <w:t xml:space="preserve"> casos</w:t>
      </w:r>
      <w:r w:rsidR="005930E1" w:rsidRPr="00E6725D">
        <w:rPr>
          <w:rFonts w:ascii="Verdana" w:eastAsia="Batang" w:hAnsi="Verdana"/>
          <w:sz w:val="20"/>
          <w:szCs w:val="20"/>
          <w:lang w:val="es-CR"/>
        </w:rPr>
        <w:t xml:space="preserve">, como </w:t>
      </w:r>
      <w:r w:rsidR="005930E1" w:rsidRPr="00E6725D">
        <w:rPr>
          <w:rFonts w:ascii="Verdana" w:eastAsia="Batang" w:hAnsi="Verdana"/>
          <w:i/>
          <w:sz w:val="20"/>
          <w:szCs w:val="20"/>
          <w:lang w:val="es-CR"/>
        </w:rPr>
        <w:t xml:space="preserve">Masacre Plan de Sánchez, </w:t>
      </w:r>
      <w:r w:rsidR="008710DC" w:rsidRPr="00E6725D">
        <w:rPr>
          <w:rFonts w:ascii="Verdana" w:eastAsia="Batang" w:hAnsi="Verdana"/>
          <w:sz w:val="20"/>
          <w:szCs w:val="20"/>
          <w:lang w:val="es-CR"/>
        </w:rPr>
        <w:t xml:space="preserve"> se han dado pasos en las diligencias de investigación en el 2015. Sin embargo, es preciso advertir </w:t>
      </w:r>
      <w:r w:rsidR="008710DC" w:rsidRPr="00E6725D">
        <w:rPr>
          <w:rFonts w:ascii="Verdana" w:eastAsia="Batang" w:hAnsi="Verdana"/>
          <w:sz w:val="20"/>
          <w:szCs w:val="20"/>
          <w:lang w:val="es-CR"/>
        </w:rPr>
        <w:lastRenderedPageBreak/>
        <w:t>que Guatemala</w:t>
      </w:r>
      <w:r w:rsidR="0016079C" w:rsidRPr="00E6725D">
        <w:rPr>
          <w:rFonts w:ascii="Verdana" w:eastAsia="Batang" w:hAnsi="Verdana"/>
          <w:sz w:val="20"/>
          <w:szCs w:val="20"/>
          <w:lang w:val="es-CR"/>
        </w:rPr>
        <w:t xml:space="preserve">, en ninguno de los informes presentados durante el 2015, </w:t>
      </w:r>
      <w:r w:rsidR="008710DC" w:rsidRPr="00E6725D">
        <w:rPr>
          <w:rFonts w:ascii="Verdana" w:eastAsia="Batang" w:hAnsi="Verdana"/>
          <w:sz w:val="20"/>
          <w:szCs w:val="20"/>
          <w:lang w:val="es-CR"/>
        </w:rPr>
        <w:t>se refirió a los obstáculos estructurales identificados por la propia Fiscal General de la Nación en mayo de 2014 (</w:t>
      </w:r>
      <w:r w:rsidR="008710DC" w:rsidRPr="00E6725D">
        <w:rPr>
          <w:rFonts w:ascii="Verdana" w:eastAsia="Batang" w:hAnsi="Verdana"/>
          <w:i/>
          <w:sz w:val="20"/>
          <w:szCs w:val="20"/>
          <w:lang w:val="es-CR"/>
        </w:rPr>
        <w:t>supra</w:t>
      </w:r>
      <w:r w:rsidR="008710DC" w:rsidRPr="00E6725D">
        <w:rPr>
          <w:rFonts w:ascii="Verdana" w:eastAsia="Batang" w:hAnsi="Verdana"/>
          <w:sz w:val="20"/>
          <w:szCs w:val="20"/>
          <w:lang w:val="es-CR"/>
        </w:rPr>
        <w:t xml:space="preserve"> Considerando</w:t>
      </w:r>
      <w:r w:rsidR="00E6725D" w:rsidRPr="00E6725D">
        <w:rPr>
          <w:rFonts w:ascii="Verdana" w:eastAsia="Batang" w:hAnsi="Verdana"/>
          <w:sz w:val="20"/>
          <w:szCs w:val="20"/>
          <w:lang w:val="es-CR"/>
        </w:rPr>
        <w:t>s</w:t>
      </w:r>
      <w:r w:rsidR="008710DC" w:rsidRPr="00E6725D">
        <w:rPr>
          <w:rFonts w:ascii="Verdana" w:eastAsia="Batang" w:hAnsi="Verdana"/>
          <w:sz w:val="20"/>
          <w:szCs w:val="20"/>
          <w:lang w:val="es-CR"/>
        </w:rPr>
        <w:t xml:space="preserve"> </w:t>
      </w:r>
      <w:r w:rsidR="005930E1" w:rsidRPr="00E6725D">
        <w:rPr>
          <w:rFonts w:ascii="Verdana" w:eastAsia="Batang" w:hAnsi="Verdana"/>
          <w:sz w:val="20"/>
          <w:szCs w:val="20"/>
          <w:lang w:val="es-CR"/>
        </w:rPr>
        <w:fldChar w:fldCharType="begin"/>
      </w:r>
      <w:r w:rsidR="005930E1" w:rsidRPr="00E6725D">
        <w:rPr>
          <w:rFonts w:ascii="Verdana" w:eastAsia="Batang" w:hAnsi="Verdana"/>
          <w:sz w:val="20"/>
          <w:szCs w:val="20"/>
          <w:lang w:val="es-CR"/>
        </w:rPr>
        <w:instrText xml:space="preserve"> REF _Ref437281285 \r \h </w:instrText>
      </w:r>
      <w:r w:rsidR="00E6725D">
        <w:rPr>
          <w:rFonts w:ascii="Verdana" w:eastAsia="Batang" w:hAnsi="Verdana"/>
          <w:sz w:val="20"/>
          <w:szCs w:val="20"/>
          <w:lang w:val="es-CR"/>
        </w:rPr>
        <w:instrText xml:space="preserve"> \* MERGEFORMAT </w:instrText>
      </w:r>
      <w:r w:rsidR="005930E1" w:rsidRPr="00E6725D">
        <w:rPr>
          <w:rFonts w:ascii="Verdana" w:eastAsia="Batang" w:hAnsi="Verdana"/>
          <w:sz w:val="20"/>
          <w:szCs w:val="20"/>
          <w:lang w:val="es-CR"/>
        </w:rPr>
      </w:r>
      <w:r w:rsidR="005930E1" w:rsidRPr="00E6725D">
        <w:rPr>
          <w:rFonts w:ascii="Verdana" w:eastAsia="Batang" w:hAnsi="Verdana"/>
          <w:sz w:val="20"/>
          <w:szCs w:val="20"/>
          <w:lang w:val="es-CR"/>
        </w:rPr>
        <w:fldChar w:fldCharType="separate"/>
      </w:r>
      <w:r w:rsidR="007E3C4B">
        <w:rPr>
          <w:rFonts w:ascii="Verdana" w:eastAsia="Batang" w:hAnsi="Verdana"/>
          <w:sz w:val="20"/>
          <w:szCs w:val="20"/>
          <w:lang w:val="es-CR"/>
        </w:rPr>
        <w:t>23</w:t>
      </w:r>
      <w:r w:rsidR="005930E1" w:rsidRPr="00E6725D">
        <w:rPr>
          <w:rFonts w:ascii="Verdana" w:eastAsia="Batang" w:hAnsi="Verdana"/>
          <w:sz w:val="20"/>
          <w:szCs w:val="20"/>
          <w:lang w:val="es-CR"/>
        </w:rPr>
        <w:fldChar w:fldCharType="end"/>
      </w:r>
      <w:r w:rsidR="00E6725D" w:rsidRPr="00E6725D">
        <w:rPr>
          <w:rFonts w:ascii="Verdana" w:eastAsia="Batang" w:hAnsi="Verdana"/>
          <w:sz w:val="20"/>
          <w:szCs w:val="20"/>
          <w:lang w:val="es-CR"/>
        </w:rPr>
        <w:t xml:space="preserve"> y 32</w:t>
      </w:r>
      <w:r w:rsidR="008710DC" w:rsidRPr="00E6725D">
        <w:rPr>
          <w:rFonts w:ascii="Verdana" w:eastAsia="Batang" w:hAnsi="Verdana"/>
          <w:sz w:val="20"/>
          <w:szCs w:val="20"/>
          <w:lang w:val="es-CR"/>
        </w:rPr>
        <w:t>).</w:t>
      </w:r>
      <w:r w:rsidR="008710DC" w:rsidRPr="0032068E">
        <w:rPr>
          <w:rFonts w:ascii="Verdana" w:eastAsia="Batang" w:hAnsi="Verdana"/>
          <w:sz w:val="20"/>
          <w:szCs w:val="20"/>
          <w:lang w:val="es-CR"/>
        </w:rPr>
        <w:t xml:space="preserve"> En vista de los obstáculos estructurales y comunes a los </w:t>
      </w:r>
      <w:r w:rsidR="008710DC" w:rsidRPr="00C734A2">
        <w:rPr>
          <w:rFonts w:ascii="Verdana" w:eastAsia="Batang" w:hAnsi="Verdana"/>
          <w:i/>
          <w:sz w:val="20"/>
          <w:szCs w:val="20"/>
          <w:lang w:val="es-CR"/>
        </w:rPr>
        <w:t xml:space="preserve">12 casos </w:t>
      </w:r>
      <w:r w:rsidR="008710DC" w:rsidRPr="0032068E">
        <w:rPr>
          <w:rFonts w:ascii="Verdana" w:eastAsia="Batang" w:hAnsi="Verdana"/>
          <w:sz w:val="20"/>
          <w:szCs w:val="20"/>
          <w:lang w:val="es-CR"/>
        </w:rPr>
        <w:t>identificados en la presente decisión de supervisión de cumplimiento de sentencias, Guatemala necesariamente debe dar respuesta a esta problemática. Los funcionarios que participan en las labores de investigación</w:t>
      </w:r>
      <w:r w:rsidR="001C521C">
        <w:rPr>
          <w:rFonts w:ascii="Verdana" w:eastAsia="Batang" w:hAnsi="Verdana"/>
          <w:sz w:val="20"/>
          <w:szCs w:val="20"/>
          <w:lang w:val="es-CR"/>
        </w:rPr>
        <w:t>,</w:t>
      </w:r>
      <w:r w:rsidR="008710DC" w:rsidRPr="0032068E">
        <w:rPr>
          <w:rFonts w:ascii="Verdana" w:eastAsia="Batang" w:hAnsi="Verdana"/>
          <w:sz w:val="20"/>
          <w:szCs w:val="20"/>
          <w:lang w:val="es-CR"/>
        </w:rPr>
        <w:t xml:space="preserve"> juzgamiento penal </w:t>
      </w:r>
      <w:r w:rsidR="001C521C">
        <w:rPr>
          <w:rFonts w:ascii="Verdana" w:eastAsia="Batang" w:hAnsi="Verdana"/>
          <w:sz w:val="20"/>
          <w:szCs w:val="20"/>
          <w:lang w:val="es-CR"/>
        </w:rPr>
        <w:t xml:space="preserve">y ejecución de condenas </w:t>
      </w:r>
      <w:r w:rsidR="008710DC" w:rsidRPr="0032068E">
        <w:rPr>
          <w:rFonts w:ascii="Verdana" w:eastAsia="Batang" w:hAnsi="Verdana"/>
          <w:sz w:val="20"/>
          <w:szCs w:val="20"/>
          <w:lang w:val="es-CR"/>
        </w:rPr>
        <w:t xml:space="preserve">no deben afrontar estos obstáculos de forma aislada. La superación de los mismos debe comprender un análisis mayor, que permita determinar la necesidad de reformas, cambios o fortalecimientos a nivel legal, institucional o de políticas públicas. Para eliminar la impunidad que se ha mantenido por décadas es necesario que el Estado evalúe y defina, a la mayor brevedad, las medidas que debe adoptar para combatir las causas y problemas comunes a todos estos casos de graves violaciones a derechos humanos, la mayoría de ellos relativos a hechos en relación con el conflicto armado interno. Es preciso que Guatemala informe cómo esas medidas tienen un impacto en el cumplimiento de la obligación de investigar en cada uno de los procesos penales de los casos supervisados en la presente resolución. </w:t>
      </w:r>
    </w:p>
    <w:p w14:paraId="0D9F1E0B" w14:textId="77777777" w:rsidR="008710DC" w:rsidRPr="0032068E" w:rsidRDefault="008710DC" w:rsidP="00AD5701">
      <w:pPr>
        <w:pStyle w:val="ListParagraph"/>
        <w:spacing w:after="0" w:line="240" w:lineRule="auto"/>
        <w:ind w:left="0" w:right="1444"/>
        <w:jc w:val="both"/>
        <w:rPr>
          <w:rFonts w:ascii="Verdana" w:hAnsi="Verdana"/>
          <w:sz w:val="20"/>
          <w:szCs w:val="20"/>
          <w:lang w:val="es-CR"/>
        </w:rPr>
      </w:pPr>
    </w:p>
    <w:p w14:paraId="147B6FC0" w14:textId="2CBED995" w:rsidR="00D901B8" w:rsidRDefault="00AD5701" w:rsidP="00746AF8">
      <w:pPr>
        <w:pStyle w:val="Heading2"/>
      </w:pPr>
      <w:bookmarkStart w:id="147" w:name="_Toc435778545"/>
      <w:bookmarkStart w:id="148" w:name="_Toc439248803"/>
      <w:r w:rsidRPr="0032068E">
        <w:t xml:space="preserve">F) </w:t>
      </w:r>
      <w:r w:rsidR="00237DF4" w:rsidRPr="0032068E">
        <w:t>Lineamentos de</w:t>
      </w:r>
      <w:r w:rsidR="00850744">
        <w:t>l</w:t>
      </w:r>
      <w:r w:rsidR="00AC3A0F" w:rsidRPr="0032068E">
        <w:t xml:space="preserve"> </w:t>
      </w:r>
      <w:r w:rsidR="00237DF4" w:rsidRPr="0032068E">
        <w:t>informe solicitado al Estado</w:t>
      </w:r>
      <w:bookmarkEnd w:id="147"/>
      <w:bookmarkEnd w:id="148"/>
    </w:p>
    <w:p w14:paraId="30ADEF1D" w14:textId="77777777" w:rsidR="00746AF8" w:rsidRPr="00746AF8" w:rsidRDefault="00746AF8" w:rsidP="00746AF8">
      <w:pPr>
        <w:rPr>
          <w:lang w:val="es-ES"/>
        </w:rPr>
      </w:pPr>
    </w:p>
    <w:p w14:paraId="459A53B0" w14:textId="648E174C" w:rsidR="005D1D1B" w:rsidRPr="0032068E" w:rsidRDefault="005D1D1B" w:rsidP="005D1D1B">
      <w:pPr>
        <w:pStyle w:val="ListParagraph"/>
        <w:numPr>
          <w:ilvl w:val="0"/>
          <w:numId w:val="2"/>
        </w:numPr>
        <w:spacing w:after="0" w:line="240" w:lineRule="auto"/>
        <w:ind w:left="0" w:right="1444" w:firstLine="0"/>
        <w:jc w:val="both"/>
        <w:rPr>
          <w:rFonts w:ascii="Verdana" w:hAnsi="Verdana"/>
          <w:sz w:val="20"/>
          <w:szCs w:val="20"/>
          <w:lang w:val="es-CR"/>
        </w:rPr>
      </w:pPr>
      <w:bookmarkStart w:id="149" w:name="_Ref437872470"/>
      <w:r w:rsidRPr="0032068E">
        <w:rPr>
          <w:rFonts w:ascii="Verdana" w:hAnsi="Verdana"/>
          <w:sz w:val="20"/>
          <w:szCs w:val="20"/>
          <w:lang w:val="es-UY"/>
        </w:rPr>
        <w:t xml:space="preserve">En razón de todo lo expuesto, la Corte concluye que las medidas de reparación relativas a </w:t>
      </w:r>
      <w:r w:rsidRPr="0032068E">
        <w:rPr>
          <w:rFonts w:ascii="Verdana" w:eastAsia="Batang" w:hAnsi="Verdana"/>
          <w:sz w:val="20"/>
          <w:szCs w:val="20"/>
          <w:lang w:val="es-CR"/>
        </w:rPr>
        <w:t>la</w:t>
      </w:r>
      <w:r w:rsidRPr="0032068E">
        <w:rPr>
          <w:rFonts w:ascii="Verdana" w:hAnsi="Verdana"/>
          <w:sz w:val="20"/>
          <w:szCs w:val="20"/>
          <w:lang w:val="es-UY"/>
        </w:rPr>
        <w:t xml:space="preserve"> obligación de investigar los hechos de los </w:t>
      </w:r>
      <w:r w:rsidRPr="0032068E">
        <w:rPr>
          <w:rFonts w:ascii="Verdana" w:hAnsi="Verdana"/>
          <w:i/>
          <w:sz w:val="20"/>
          <w:szCs w:val="20"/>
          <w:lang w:val="es-UY"/>
        </w:rPr>
        <w:t>12 Casos</w:t>
      </w:r>
      <w:r w:rsidRPr="0032068E">
        <w:rPr>
          <w:rFonts w:ascii="Verdana" w:hAnsi="Verdana"/>
          <w:sz w:val="20"/>
          <w:szCs w:val="20"/>
          <w:lang w:val="es-UY"/>
        </w:rPr>
        <w:t xml:space="preserve"> se encuentran pendientes de cumplimiento. Por ello, el Tribunal requiere que el Estado presente un informe conjunto sobre el cumplimiento de la obligación de investigar, juzgar y, en su caso, sancionar las graves violaciones a los derechos humanos de los </w:t>
      </w:r>
      <w:r w:rsidRPr="00C734A2">
        <w:rPr>
          <w:rFonts w:ascii="Verdana" w:hAnsi="Verdana"/>
          <w:i/>
          <w:sz w:val="20"/>
          <w:szCs w:val="20"/>
          <w:lang w:val="es-UY"/>
        </w:rPr>
        <w:t>12 casos</w:t>
      </w:r>
      <w:r w:rsidRPr="0032068E">
        <w:rPr>
          <w:rFonts w:ascii="Verdana" w:hAnsi="Verdana"/>
          <w:sz w:val="20"/>
          <w:szCs w:val="20"/>
          <w:lang w:val="es-UY"/>
        </w:rPr>
        <w:t>, en el cual tome en cuenta todas las situaciones constatadas y criterios resaltados en la presente resolución. Entre otros puntos, es preciso que Guatemala se refiera de manera específica a los siguientes:</w:t>
      </w:r>
      <w:bookmarkEnd w:id="149"/>
      <w:r w:rsidRPr="0032068E">
        <w:rPr>
          <w:rFonts w:ascii="Verdana" w:hAnsi="Verdana"/>
          <w:sz w:val="20"/>
          <w:szCs w:val="20"/>
          <w:lang w:val="es-UY"/>
        </w:rPr>
        <w:tab/>
      </w:r>
    </w:p>
    <w:p w14:paraId="2BB6D3AE" w14:textId="77777777" w:rsidR="00CB506D" w:rsidRPr="0032068E" w:rsidRDefault="00CB506D" w:rsidP="00CB506D">
      <w:pPr>
        <w:pStyle w:val="ListParagraph"/>
        <w:spacing w:after="0" w:line="240" w:lineRule="auto"/>
        <w:ind w:left="0" w:right="1444"/>
        <w:jc w:val="both"/>
        <w:rPr>
          <w:rFonts w:ascii="Verdana" w:hAnsi="Verdana"/>
          <w:sz w:val="20"/>
          <w:szCs w:val="20"/>
          <w:lang w:val="es-CR"/>
        </w:rPr>
      </w:pPr>
    </w:p>
    <w:p w14:paraId="1FE37602" w14:textId="4DE78030" w:rsidR="00986F05" w:rsidRPr="0032068E" w:rsidRDefault="00634002" w:rsidP="005D1D1B">
      <w:pPr>
        <w:pStyle w:val="ListParagraph"/>
        <w:numPr>
          <w:ilvl w:val="0"/>
          <w:numId w:val="43"/>
        </w:numPr>
        <w:spacing w:after="0" w:line="240" w:lineRule="auto"/>
        <w:ind w:right="1444"/>
        <w:jc w:val="both"/>
        <w:rPr>
          <w:rFonts w:ascii="Verdana" w:hAnsi="Verdana"/>
          <w:sz w:val="20"/>
          <w:szCs w:val="20"/>
          <w:lang w:val="es-CR"/>
        </w:rPr>
      </w:pPr>
      <w:r w:rsidRPr="001C521C">
        <w:rPr>
          <w:rFonts w:ascii="Verdana" w:hAnsi="Verdana"/>
          <w:sz w:val="20"/>
          <w:szCs w:val="20"/>
          <w:lang w:val="es-CR"/>
        </w:rPr>
        <w:t xml:space="preserve">Los obstáculos estructurales y comunes </w:t>
      </w:r>
      <w:r w:rsidR="003561D6" w:rsidRPr="001C521C">
        <w:rPr>
          <w:rFonts w:ascii="Verdana" w:hAnsi="Verdana"/>
          <w:sz w:val="20"/>
          <w:szCs w:val="20"/>
          <w:lang w:val="es-CR"/>
        </w:rPr>
        <w:t>identificados</w:t>
      </w:r>
      <w:r w:rsidRPr="001C521C">
        <w:rPr>
          <w:rFonts w:ascii="Verdana" w:hAnsi="Verdana"/>
          <w:sz w:val="20"/>
          <w:szCs w:val="20"/>
          <w:lang w:val="es-CR"/>
        </w:rPr>
        <w:t xml:space="preserve"> previamente (</w:t>
      </w:r>
      <w:r w:rsidRPr="001C521C">
        <w:rPr>
          <w:rFonts w:ascii="Verdana" w:hAnsi="Verdana"/>
          <w:i/>
          <w:sz w:val="20"/>
          <w:szCs w:val="20"/>
          <w:lang w:val="es-CR"/>
        </w:rPr>
        <w:t>supra</w:t>
      </w:r>
      <w:r w:rsidRPr="001C521C">
        <w:rPr>
          <w:rFonts w:ascii="Verdana" w:hAnsi="Verdana"/>
          <w:sz w:val="20"/>
          <w:szCs w:val="20"/>
          <w:lang w:val="es-CR"/>
        </w:rPr>
        <w:t xml:space="preserve"> </w:t>
      </w:r>
      <w:r w:rsidR="00C734A2" w:rsidRPr="001C521C">
        <w:rPr>
          <w:rFonts w:ascii="Verdana" w:hAnsi="Verdana"/>
          <w:sz w:val="20"/>
          <w:szCs w:val="20"/>
          <w:lang w:val="es-CR"/>
        </w:rPr>
        <w:t>Capítulo</w:t>
      </w:r>
      <w:r w:rsidRPr="001C521C">
        <w:rPr>
          <w:rFonts w:ascii="Verdana" w:hAnsi="Verdana"/>
          <w:sz w:val="20"/>
          <w:szCs w:val="20"/>
          <w:lang w:val="es-CR"/>
        </w:rPr>
        <w:t xml:space="preserve"> </w:t>
      </w:r>
      <w:r w:rsidR="00C734A2" w:rsidRPr="001C521C">
        <w:rPr>
          <w:rFonts w:ascii="Verdana" w:hAnsi="Verdana"/>
          <w:sz w:val="20"/>
          <w:szCs w:val="20"/>
          <w:lang w:val="es-CR"/>
        </w:rPr>
        <w:t>3.E</w:t>
      </w:r>
      <w:r w:rsidRPr="001C521C">
        <w:rPr>
          <w:rFonts w:ascii="Verdana" w:hAnsi="Verdana"/>
          <w:sz w:val="20"/>
          <w:szCs w:val="20"/>
          <w:lang w:val="es-CR"/>
        </w:rPr>
        <w:t>)</w:t>
      </w:r>
      <w:r w:rsidR="001C521C" w:rsidRPr="001C521C">
        <w:rPr>
          <w:rFonts w:ascii="Verdana" w:hAnsi="Verdana"/>
          <w:sz w:val="20"/>
          <w:szCs w:val="20"/>
          <w:lang w:val="es-CR"/>
        </w:rPr>
        <w:t>.</w:t>
      </w:r>
      <w:r w:rsidR="001C521C">
        <w:rPr>
          <w:rFonts w:ascii="Verdana" w:hAnsi="Verdana"/>
          <w:sz w:val="20"/>
          <w:szCs w:val="20"/>
          <w:lang w:val="es-CR"/>
        </w:rPr>
        <w:t xml:space="preserve"> S</w:t>
      </w:r>
      <w:r w:rsidRPr="0032068E">
        <w:rPr>
          <w:rFonts w:ascii="Verdana" w:hAnsi="Verdana"/>
          <w:sz w:val="20"/>
          <w:szCs w:val="20"/>
          <w:lang w:val="es-CR"/>
        </w:rPr>
        <w:t>e solicita al Estado que</w:t>
      </w:r>
      <w:r w:rsidR="005D1D1B" w:rsidRPr="0032068E">
        <w:rPr>
          <w:rFonts w:ascii="Verdana" w:hAnsi="Verdana"/>
          <w:sz w:val="20"/>
          <w:szCs w:val="20"/>
          <w:lang w:val="es-CR"/>
        </w:rPr>
        <w:t xml:space="preserve"> indique las medidas que está adoptando o vaya a adoptar de forma inmediata y a corto plazo para combatir los obstáculos estructurales y comunes identificados previamente, incluyendo aquellos que impliquen reformas, cambios o fortalecimientos a nivel legal, institucional o de políticas públicas. Asimismo, es preciso que Guatemala informe cómo esas medidas tienen un impacto en el cumplimiento de la obligación de investigar en cada uno de los procesos penales de los casos supervisados en la presente resolución. En particular, se solicita que señale lo siguiente</w:t>
      </w:r>
      <w:r w:rsidRPr="0032068E">
        <w:rPr>
          <w:rFonts w:ascii="Verdana" w:hAnsi="Verdana"/>
          <w:sz w:val="20"/>
          <w:szCs w:val="20"/>
          <w:lang w:val="es-CR"/>
        </w:rPr>
        <w:t>:</w:t>
      </w:r>
    </w:p>
    <w:p w14:paraId="7432DC40" w14:textId="77777777" w:rsidR="00F15D25" w:rsidRPr="0032068E" w:rsidRDefault="00F15D25" w:rsidP="00D901B8">
      <w:pPr>
        <w:pStyle w:val="ListParagraph"/>
        <w:spacing w:after="0" w:line="240" w:lineRule="auto"/>
        <w:ind w:right="1444"/>
        <w:jc w:val="both"/>
        <w:rPr>
          <w:rFonts w:ascii="Verdana" w:hAnsi="Verdana"/>
          <w:sz w:val="20"/>
          <w:szCs w:val="20"/>
          <w:lang w:val="es-CR"/>
        </w:rPr>
      </w:pPr>
    </w:p>
    <w:p w14:paraId="5E3885EC" w14:textId="01449D73" w:rsidR="00F15D25" w:rsidRPr="001C521C" w:rsidRDefault="005A1530" w:rsidP="00120FD8">
      <w:pPr>
        <w:pStyle w:val="ListParagraph"/>
        <w:numPr>
          <w:ilvl w:val="1"/>
          <w:numId w:val="43"/>
        </w:numPr>
        <w:tabs>
          <w:tab w:val="left" w:pos="1620"/>
        </w:tabs>
        <w:spacing w:after="0" w:line="240" w:lineRule="auto"/>
        <w:ind w:left="1620" w:right="1444" w:hanging="540"/>
        <w:jc w:val="both"/>
        <w:rPr>
          <w:rFonts w:ascii="Verdana" w:hAnsi="Verdana"/>
          <w:sz w:val="20"/>
          <w:szCs w:val="20"/>
          <w:lang w:val="es-CR"/>
        </w:rPr>
      </w:pPr>
      <w:r w:rsidRPr="001C521C">
        <w:rPr>
          <w:rFonts w:ascii="Verdana" w:hAnsi="Verdana"/>
          <w:sz w:val="20"/>
          <w:szCs w:val="20"/>
          <w:lang w:val="es-CR"/>
        </w:rPr>
        <w:t>E</w:t>
      </w:r>
      <w:r w:rsidR="00D1514A" w:rsidRPr="001C521C">
        <w:rPr>
          <w:rFonts w:ascii="Verdana" w:hAnsi="Verdana"/>
          <w:sz w:val="20"/>
          <w:szCs w:val="20"/>
          <w:lang w:val="es-CR"/>
        </w:rPr>
        <w:t>numere y desarrolle</w:t>
      </w:r>
      <w:r w:rsidR="0017453F" w:rsidRPr="001C521C">
        <w:rPr>
          <w:rFonts w:ascii="Verdana" w:hAnsi="Verdana"/>
          <w:sz w:val="20"/>
          <w:szCs w:val="20"/>
          <w:lang w:val="es-CR"/>
        </w:rPr>
        <w:t xml:space="preserve"> las</w:t>
      </w:r>
      <w:r w:rsidR="00D1514A" w:rsidRPr="001C521C">
        <w:rPr>
          <w:rFonts w:ascii="Verdana" w:hAnsi="Verdana"/>
          <w:sz w:val="20"/>
          <w:szCs w:val="20"/>
          <w:lang w:val="es-CR"/>
        </w:rPr>
        <w:t xml:space="preserve"> acciones llevadas a cabo por el Estado para </w:t>
      </w:r>
      <w:r w:rsidR="003561D6" w:rsidRPr="001C521C">
        <w:rPr>
          <w:rFonts w:ascii="Verdana" w:hAnsi="Verdana"/>
          <w:sz w:val="20"/>
          <w:szCs w:val="20"/>
          <w:lang w:val="es-CR"/>
        </w:rPr>
        <w:t>superar los obstáculos</w:t>
      </w:r>
      <w:r w:rsidR="0017453F" w:rsidRPr="001C521C">
        <w:rPr>
          <w:rFonts w:ascii="Verdana" w:hAnsi="Verdana"/>
          <w:sz w:val="20"/>
          <w:szCs w:val="20"/>
          <w:lang w:val="es-CR"/>
        </w:rPr>
        <w:t xml:space="preserve"> en el acceso a </w:t>
      </w:r>
      <w:r w:rsidR="002C2C16" w:rsidRPr="001C521C">
        <w:rPr>
          <w:rFonts w:ascii="Verdana" w:hAnsi="Verdana"/>
          <w:sz w:val="20"/>
          <w:szCs w:val="20"/>
          <w:lang w:val="es-CR"/>
        </w:rPr>
        <w:t xml:space="preserve">la </w:t>
      </w:r>
      <w:r w:rsidR="0017453F" w:rsidRPr="001C521C">
        <w:rPr>
          <w:rFonts w:ascii="Verdana" w:hAnsi="Verdana"/>
          <w:sz w:val="20"/>
          <w:szCs w:val="20"/>
          <w:lang w:val="es-CR"/>
        </w:rPr>
        <w:t>información relevante para</w:t>
      </w:r>
      <w:r w:rsidR="002C2C16" w:rsidRPr="001C521C">
        <w:rPr>
          <w:rFonts w:ascii="Verdana" w:hAnsi="Verdana"/>
          <w:sz w:val="20"/>
          <w:szCs w:val="20"/>
          <w:lang w:val="es-CR"/>
        </w:rPr>
        <w:t xml:space="preserve"> el desarrollo de</w:t>
      </w:r>
      <w:r w:rsidR="0017453F" w:rsidRPr="001C521C">
        <w:rPr>
          <w:rFonts w:ascii="Verdana" w:hAnsi="Verdana"/>
          <w:sz w:val="20"/>
          <w:szCs w:val="20"/>
          <w:lang w:val="es-CR"/>
        </w:rPr>
        <w:t xml:space="preserve"> la</w:t>
      </w:r>
      <w:r w:rsidR="002C2C16" w:rsidRPr="001C521C">
        <w:rPr>
          <w:rFonts w:ascii="Verdana" w:hAnsi="Verdana"/>
          <w:sz w:val="20"/>
          <w:szCs w:val="20"/>
          <w:lang w:val="es-CR"/>
        </w:rPr>
        <w:t>s investigaciones</w:t>
      </w:r>
      <w:r w:rsidR="003561D6" w:rsidRPr="001C521C">
        <w:rPr>
          <w:rFonts w:ascii="Verdana" w:hAnsi="Verdana"/>
          <w:sz w:val="20"/>
          <w:szCs w:val="20"/>
          <w:lang w:val="es-CR"/>
        </w:rPr>
        <w:t xml:space="preserve"> de los </w:t>
      </w:r>
      <w:r w:rsidR="003561D6" w:rsidRPr="001C521C">
        <w:rPr>
          <w:rFonts w:ascii="Verdana" w:hAnsi="Verdana"/>
          <w:i/>
          <w:sz w:val="20"/>
          <w:szCs w:val="20"/>
          <w:lang w:val="es-CR"/>
        </w:rPr>
        <w:t>12 Casos</w:t>
      </w:r>
      <w:r w:rsidR="003561D6" w:rsidRPr="001C521C">
        <w:rPr>
          <w:rFonts w:ascii="Verdana" w:hAnsi="Verdana"/>
          <w:sz w:val="20"/>
          <w:szCs w:val="20"/>
          <w:lang w:val="es-CR"/>
        </w:rPr>
        <w:t>.</w:t>
      </w:r>
      <w:r w:rsidR="002C2C16" w:rsidRPr="001C521C">
        <w:rPr>
          <w:rFonts w:ascii="Verdana" w:hAnsi="Verdana"/>
          <w:sz w:val="20"/>
          <w:szCs w:val="20"/>
          <w:lang w:val="es-CR"/>
        </w:rPr>
        <w:t xml:space="preserve"> </w:t>
      </w:r>
      <w:r w:rsidR="00120FD8" w:rsidRPr="001C521C">
        <w:rPr>
          <w:rFonts w:ascii="Verdana" w:hAnsi="Verdana"/>
          <w:sz w:val="20"/>
          <w:szCs w:val="20"/>
          <w:lang w:val="es-CR"/>
        </w:rPr>
        <w:t>Especialmente, se solicita al Estado que se refiera</w:t>
      </w:r>
      <w:r w:rsidR="00D1514A" w:rsidRPr="001C521C">
        <w:rPr>
          <w:rFonts w:ascii="Verdana" w:hAnsi="Verdana"/>
          <w:sz w:val="20"/>
          <w:szCs w:val="20"/>
          <w:lang w:val="es-CR"/>
        </w:rPr>
        <w:t xml:space="preserve"> </w:t>
      </w:r>
      <w:r w:rsidR="00120FD8" w:rsidRPr="001C521C">
        <w:rPr>
          <w:rFonts w:ascii="Verdana" w:hAnsi="Verdana"/>
          <w:sz w:val="20"/>
          <w:szCs w:val="20"/>
          <w:lang w:val="es-CR"/>
        </w:rPr>
        <w:t>a</w:t>
      </w:r>
      <w:r w:rsidR="003561D6" w:rsidRPr="001C521C">
        <w:rPr>
          <w:rFonts w:ascii="Verdana" w:hAnsi="Verdana"/>
          <w:sz w:val="20"/>
          <w:szCs w:val="20"/>
          <w:lang w:val="es-CR"/>
        </w:rPr>
        <w:t xml:space="preserve"> las medidas adoptadas para facilitar el acceso</w:t>
      </w:r>
      <w:r w:rsidR="00120FD8" w:rsidRPr="001C521C">
        <w:rPr>
          <w:rFonts w:ascii="Verdana" w:hAnsi="Verdana"/>
          <w:sz w:val="20"/>
          <w:szCs w:val="20"/>
          <w:lang w:val="es-CR"/>
        </w:rPr>
        <w:t xml:space="preserve"> </w:t>
      </w:r>
      <w:r w:rsidR="003561D6" w:rsidRPr="001C521C">
        <w:rPr>
          <w:rFonts w:ascii="Verdana" w:hAnsi="Verdana"/>
          <w:sz w:val="20"/>
          <w:szCs w:val="20"/>
          <w:lang w:val="es-CR"/>
        </w:rPr>
        <w:t>a la información</w:t>
      </w:r>
      <w:r w:rsidR="00120FD8" w:rsidRPr="001C521C">
        <w:rPr>
          <w:rFonts w:ascii="Verdana" w:hAnsi="Verdana"/>
          <w:sz w:val="20"/>
          <w:szCs w:val="20"/>
          <w:lang w:val="es-CR"/>
        </w:rPr>
        <w:t xml:space="preserve"> relevante para dichas investigaciones</w:t>
      </w:r>
      <w:r w:rsidR="003561D6" w:rsidRPr="001C521C">
        <w:rPr>
          <w:rFonts w:ascii="Verdana" w:hAnsi="Verdana"/>
          <w:sz w:val="20"/>
          <w:szCs w:val="20"/>
          <w:lang w:val="es-CR"/>
        </w:rPr>
        <w:t xml:space="preserve"> </w:t>
      </w:r>
      <w:r w:rsidR="00D1514A" w:rsidRPr="001C521C">
        <w:rPr>
          <w:rFonts w:ascii="Verdana" w:hAnsi="Verdana"/>
          <w:sz w:val="20"/>
          <w:szCs w:val="20"/>
          <w:lang w:val="es-CR"/>
        </w:rPr>
        <w:t>en poder del Ministerio de Defensa y el Instituto de Previsión Militar</w:t>
      </w:r>
      <w:r w:rsidR="002C2C16" w:rsidRPr="001C521C">
        <w:rPr>
          <w:rFonts w:ascii="Verdana" w:hAnsi="Verdana"/>
          <w:sz w:val="20"/>
          <w:szCs w:val="20"/>
          <w:lang w:val="es-CR"/>
        </w:rPr>
        <w:t xml:space="preserve"> </w:t>
      </w:r>
      <w:r w:rsidR="00D1514A" w:rsidRPr="001C521C">
        <w:rPr>
          <w:rFonts w:ascii="Verdana" w:hAnsi="Verdana"/>
          <w:sz w:val="20"/>
          <w:szCs w:val="20"/>
          <w:lang w:val="es-CR"/>
        </w:rPr>
        <w:t>(</w:t>
      </w:r>
      <w:r w:rsidR="00D1514A" w:rsidRPr="001C521C">
        <w:rPr>
          <w:rFonts w:ascii="Verdana" w:hAnsi="Verdana"/>
          <w:i/>
          <w:sz w:val="20"/>
          <w:szCs w:val="20"/>
          <w:lang w:val="es-CR"/>
        </w:rPr>
        <w:t xml:space="preserve">supra </w:t>
      </w:r>
      <w:r w:rsidR="00634002" w:rsidRPr="001C521C">
        <w:rPr>
          <w:rFonts w:ascii="Verdana" w:hAnsi="Verdana"/>
          <w:sz w:val="20"/>
          <w:szCs w:val="20"/>
          <w:lang w:val="es-CR"/>
        </w:rPr>
        <w:t xml:space="preserve">Considerandos </w:t>
      </w:r>
      <w:r w:rsidR="00C734A2" w:rsidRPr="001C521C">
        <w:rPr>
          <w:rFonts w:ascii="Verdana" w:hAnsi="Verdana"/>
          <w:sz w:val="20"/>
          <w:szCs w:val="20"/>
          <w:lang w:val="es-CR"/>
        </w:rPr>
        <w:fldChar w:fldCharType="begin"/>
      </w:r>
      <w:r w:rsidR="00C734A2" w:rsidRPr="001C521C">
        <w:rPr>
          <w:rFonts w:ascii="Verdana" w:hAnsi="Verdana"/>
          <w:sz w:val="20"/>
          <w:szCs w:val="20"/>
          <w:lang w:val="es-CR"/>
        </w:rPr>
        <w:instrText xml:space="preserve"> REF _Ref437964206 \r \h </w:instrText>
      </w:r>
      <w:r w:rsidR="001C521C">
        <w:rPr>
          <w:rFonts w:ascii="Verdana" w:hAnsi="Verdana"/>
          <w:sz w:val="20"/>
          <w:szCs w:val="20"/>
          <w:lang w:val="es-CR"/>
        </w:rPr>
        <w:instrText xml:space="preserve"> \* MERGEFORMAT </w:instrText>
      </w:r>
      <w:r w:rsidR="00C734A2" w:rsidRPr="001C521C">
        <w:rPr>
          <w:rFonts w:ascii="Verdana" w:hAnsi="Verdana"/>
          <w:sz w:val="20"/>
          <w:szCs w:val="20"/>
          <w:lang w:val="es-CR"/>
        </w:rPr>
      </w:r>
      <w:r w:rsidR="00C734A2" w:rsidRPr="001C521C">
        <w:rPr>
          <w:rFonts w:ascii="Verdana" w:hAnsi="Verdana"/>
          <w:sz w:val="20"/>
          <w:szCs w:val="20"/>
          <w:lang w:val="es-CR"/>
        </w:rPr>
        <w:fldChar w:fldCharType="separate"/>
      </w:r>
      <w:r w:rsidR="007E3C4B">
        <w:rPr>
          <w:rFonts w:ascii="Verdana" w:hAnsi="Verdana"/>
          <w:sz w:val="20"/>
          <w:szCs w:val="20"/>
          <w:lang w:val="es-CR"/>
        </w:rPr>
        <w:t>127</w:t>
      </w:r>
      <w:r w:rsidR="00C734A2" w:rsidRPr="001C521C">
        <w:rPr>
          <w:rFonts w:ascii="Verdana" w:hAnsi="Verdana"/>
          <w:sz w:val="20"/>
          <w:szCs w:val="20"/>
          <w:lang w:val="es-CR"/>
        </w:rPr>
        <w:fldChar w:fldCharType="end"/>
      </w:r>
      <w:r w:rsidR="00C734A2" w:rsidRPr="001C521C">
        <w:rPr>
          <w:rFonts w:ascii="Verdana" w:hAnsi="Verdana"/>
          <w:sz w:val="20"/>
          <w:szCs w:val="20"/>
          <w:lang w:val="es-CR"/>
        </w:rPr>
        <w:t xml:space="preserve"> </w:t>
      </w:r>
      <w:r w:rsidR="00634002" w:rsidRPr="001C521C">
        <w:rPr>
          <w:rFonts w:ascii="Verdana" w:hAnsi="Verdana"/>
          <w:sz w:val="20"/>
          <w:szCs w:val="20"/>
          <w:lang w:val="es-CR"/>
        </w:rPr>
        <w:t xml:space="preserve">a </w:t>
      </w:r>
      <w:r w:rsidR="00C734A2" w:rsidRPr="001C521C">
        <w:rPr>
          <w:rFonts w:ascii="Verdana" w:hAnsi="Verdana"/>
          <w:sz w:val="20"/>
          <w:szCs w:val="20"/>
          <w:lang w:val="es-CR"/>
        </w:rPr>
        <w:fldChar w:fldCharType="begin"/>
      </w:r>
      <w:r w:rsidR="00C734A2" w:rsidRPr="001C521C">
        <w:rPr>
          <w:rFonts w:ascii="Verdana" w:hAnsi="Verdana"/>
          <w:sz w:val="20"/>
          <w:szCs w:val="20"/>
          <w:lang w:val="es-CR"/>
        </w:rPr>
        <w:instrText xml:space="preserve"> REF _Ref437939544 \r \h </w:instrText>
      </w:r>
      <w:r w:rsidR="001C521C">
        <w:rPr>
          <w:rFonts w:ascii="Verdana" w:hAnsi="Verdana"/>
          <w:sz w:val="20"/>
          <w:szCs w:val="20"/>
          <w:lang w:val="es-CR"/>
        </w:rPr>
        <w:instrText xml:space="preserve"> \* MERGEFORMAT </w:instrText>
      </w:r>
      <w:r w:rsidR="00C734A2" w:rsidRPr="001C521C">
        <w:rPr>
          <w:rFonts w:ascii="Verdana" w:hAnsi="Verdana"/>
          <w:sz w:val="20"/>
          <w:szCs w:val="20"/>
          <w:lang w:val="es-CR"/>
        </w:rPr>
      </w:r>
      <w:r w:rsidR="00C734A2" w:rsidRPr="001C521C">
        <w:rPr>
          <w:rFonts w:ascii="Verdana" w:hAnsi="Verdana"/>
          <w:sz w:val="20"/>
          <w:szCs w:val="20"/>
          <w:lang w:val="es-CR"/>
        </w:rPr>
        <w:fldChar w:fldCharType="separate"/>
      </w:r>
      <w:r w:rsidR="007E3C4B">
        <w:rPr>
          <w:rFonts w:ascii="Verdana" w:hAnsi="Verdana"/>
          <w:sz w:val="20"/>
          <w:szCs w:val="20"/>
          <w:lang w:val="es-CR"/>
        </w:rPr>
        <w:t>131</w:t>
      </w:r>
      <w:r w:rsidR="00C734A2" w:rsidRPr="001C521C">
        <w:rPr>
          <w:rFonts w:ascii="Verdana" w:hAnsi="Verdana"/>
          <w:sz w:val="20"/>
          <w:szCs w:val="20"/>
          <w:lang w:val="es-CR"/>
        </w:rPr>
        <w:fldChar w:fldCharType="end"/>
      </w:r>
      <w:r w:rsidR="00D1514A" w:rsidRPr="001C521C">
        <w:rPr>
          <w:rFonts w:ascii="Verdana" w:hAnsi="Verdana"/>
          <w:sz w:val="20"/>
          <w:szCs w:val="20"/>
          <w:lang w:val="es-CR"/>
        </w:rPr>
        <w:t>).</w:t>
      </w:r>
    </w:p>
    <w:p w14:paraId="3976A68C" w14:textId="77777777" w:rsidR="00F15D25" w:rsidRPr="001C521C" w:rsidRDefault="00F15D25" w:rsidP="00D901B8">
      <w:pPr>
        <w:pStyle w:val="ListParagraph"/>
        <w:tabs>
          <w:tab w:val="left" w:pos="1620"/>
        </w:tabs>
        <w:spacing w:after="0" w:line="240" w:lineRule="auto"/>
        <w:ind w:left="1620" w:right="1444"/>
        <w:jc w:val="both"/>
        <w:rPr>
          <w:rFonts w:ascii="Verdana" w:hAnsi="Verdana"/>
          <w:sz w:val="20"/>
          <w:szCs w:val="20"/>
          <w:lang w:val="es-CR"/>
        </w:rPr>
      </w:pPr>
    </w:p>
    <w:p w14:paraId="17E00D59" w14:textId="2F753015" w:rsidR="00765457" w:rsidRPr="001C521C" w:rsidRDefault="005A1530" w:rsidP="00765457">
      <w:pPr>
        <w:pStyle w:val="ListParagraph"/>
        <w:numPr>
          <w:ilvl w:val="1"/>
          <w:numId w:val="43"/>
        </w:numPr>
        <w:tabs>
          <w:tab w:val="left" w:pos="1620"/>
        </w:tabs>
        <w:spacing w:after="0" w:line="240" w:lineRule="auto"/>
        <w:ind w:left="1620" w:right="1444" w:hanging="540"/>
        <w:jc w:val="both"/>
        <w:rPr>
          <w:rFonts w:ascii="Verdana" w:hAnsi="Verdana"/>
          <w:sz w:val="20"/>
          <w:szCs w:val="20"/>
          <w:lang w:val="es-CR"/>
        </w:rPr>
      </w:pPr>
      <w:r w:rsidRPr="001C521C">
        <w:rPr>
          <w:rFonts w:ascii="Verdana" w:hAnsi="Verdana"/>
          <w:sz w:val="20"/>
          <w:szCs w:val="20"/>
          <w:lang w:val="es-CR"/>
        </w:rPr>
        <w:t>Detalle y desarrolle la adopción de medidas</w:t>
      </w:r>
      <w:r w:rsidR="00411F77" w:rsidRPr="001C521C">
        <w:rPr>
          <w:rFonts w:ascii="Verdana" w:hAnsi="Verdana"/>
          <w:sz w:val="20"/>
          <w:szCs w:val="20"/>
          <w:lang w:val="es-CR"/>
        </w:rPr>
        <w:t xml:space="preserve"> que permitan que el uso de recursos judiciales no dilaten el acceso a la justicia</w:t>
      </w:r>
      <w:r w:rsidRPr="001C521C">
        <w:rPr>
          <w:rFonts w:ascii="Verdana" w:hAnsi="Verdana"/>
          <w:sz w:val="20"/>
          <w:szCs w:val="20"/>
          <w:lang w:val="es-CR"/>
        </w:rPr>
        <w:t xml:space="preserve">. </w:t>
      </w:r>
      <w:r w:rsidR="00765457" w:rsidRPr="001C521C">
        <w:rPr>
          <w:rFonts w:ascii="Verdana" w:hAnsi="Verdana"/>
          <w:sz w:val="20"/>
          <w:szCs w:val="20"/>
          <w:lang w:val="es-CR"/>
        </w:rPr>
        <w:t>Específicamente, desarrolle si se han adoptado las previsiones necesarias para hacer del amparo un recurso simple, rápido, adecuado y efectivo para tutelar los derechos humanos e impedir que se convierta en un medio para dilatar y entorpecer el proceso judicial como factor de impunidad</w:t>
      </w:r>
      <w:r w:rsidR="00A93D08" w:rsidRPr="001C521C">
        <w:rPr>
          <w:rFonts w:ascii="Verdana" w:hAnsi="Verdana"/>
          <w:sz w:val="20"/>
          <w:szCs w:val="20"/>
          <w:lang w:val="es-CR"/>
        </w:rPr>
        <w:t xml:space="preserve"> (</w:t>
      </w:r>
      <w:r w:rsidR="00A93D08" w:rsidRPr="001C521C">
        <w:rPr>
          <w:rFonts w:ascii="Verdana" w:hAnsi="Verdana"/>
          <w:i/>
          <w:sz w:val="20"/>
          <w:szCs w:val="20"/>
          <w:lang w:val="es-CR"/>
        </w:rPr>
        <w:t xml:space="preserve">supra </w:t>
      </w:r>
      <w:r w:rsidR="00A93D08" w:rsidRPr="001C521C">
        <w:rPr>
          <w:rFonts w:ascii="Verdana" w:hAnsi="Verdana"/>
          <w:sz w:val="20"/>
          <w:szCs w:val="20"/>
          <w:lang w:val="es-CR"/>
        </w:rPr>
        <w:t>Considerando</w:t>
      </w:r>
      <w:r w:rsidR="00030BF1" w:rsidRPr="001C521C">
        <w:rPr>
          <w:rFonts w:ascii="Verdana" w:hAnsi="Verdana"/>
          <w:sz w:val="20"/>
          <w:szCs w:val="20"/>
          <w:lang w:val="es-CR"/>
        </w:rPr>
        <w:t>s</w:t>
      </w:r>
      <w:r w:rsidR="00A93D08" w:rsidRPr="001C521C">
        <w:rPr>
          <w:rFonts w:ascii="Verdana" w:hAnsi="Verdana"/>
          <w:sz w:val="20"/>
          <w:szCs w:val="20"/>
          <w:lang w:val="es-CR"/>
        </w:rPr>
        <w:t xml:space="preserve"> </w:t>
      </w:r>
      <w:r w:rsidR="00030BF1" w:rsidRPr="001C521C">
        <w:rPr>
          <w:rFonts w:ascii="Verdana" w:hAnsi="Verdana"/>
          <w:sz w:val="20"/>
          <w:szCs w:val="20"/>
          <w:lang w:val="es-CR"/>
        </w:rPr>
        <w:fldChar w:fldCharType="begin"/>
      </w:r>
      <w:r w:rsidR="00030BF1" w:rsidRPr="001C521C">
        <w:rPr>
          <w:rFonts w:ascii="Verdana" w:hAnsi="Verdana"/>
          <w:sz w:val="20"/>
          <w:szCs w:val="20"/>
          <w:lang w:val="es-CR"/>
        </w:rPr>
        <w:instrText xml:space="preserve"> REF _Ref437858589 \r \h </w:instrText>
      </w:r>
      <w:r w:rsidR="001C521C">
        <w:rPr>
          <w:rFonts w:ascii="Verdana" w:hAnsi="Verdana"/>
          <w:sz w:val="20"/>
          <w:szCs w:val="20"/>
          <w:lang w:val="es-CR"/>
        </w:rPr>
        <w:instrText xml:space="preserve"> \* MERGEFORMAT </w:instrText>
      </w:r>
      <w:r w:rsidR="00030BF1" w:rsidRPr="001C521C">
        <w:rPr>
          <w:rFonts w:ascii="Verdana" w:hAnsi="Verdana"/>
          <w:sz w:val="20"/>
          <w:szCs w:val="20"/>
          <w:lang w:val="es-CR"/>
        </w:rPr>
      </w:r>
      <w:r w:rsidR="00030BF1" w:rsidRPr="001C521C">
        <w:rPr>
          <w:rFonts w:ascii="Verdana" w:hAnsi="Verdana"/>
          <w:sz w:val="20"/>
          <w:szCs w:val="20"/>
          <w:lang w:val="es-CR"/>
        </w:rPr>
        <w:fldChar w:fldCharType="separate"/>
      </w:r>
      <w:r w:rsidR="007E3C4B">
        <w:rPr>
          <w:rFonts w:ascii="Verdana" w:hAnsi="Verdana"/>
          <w:sz w:val="20"/>
          <w:szCs w:val="20"/>
          <w:lang w:val="es-CR"/>
        </w:rPr>
        <w:t>132</w:t>
      </w:r>
      <w:r w:rsidR="00030BF1" w:rsidRPr="001C521C">
        <w:rPr>
          <w:rFonts w:ascii="Verdana" w:hAnsi="Verdana"/>
          <w:sz w:val="20"/>
          <w:szCs w:val="20"/>
          <w:lang w:val="es-CR"/>
        </w:rPr>
        <w:fldChar w:fldCharType="end"/>
      </w:r>
      <w:r w:rsidR="00030BF1" w:rsidRPr="001C521C">
        <w:rPr>
          <w:rFonts w:ascii="Verdana" w:hAnsi="Verdana"/>
          <w:sz w:val="20"/>
          <w:szCs w:val="20"/>
          <w:lang w:val="es-CR"/>
        </w:rPr>
        <w:t xml:space="preserve"> a </w:t>
      </w:r>
      <w:r w:rsidR="00030BF1" w:rsidRPr="001C521C">
        <w:rPr>
          <w:rFonts w:ascii="Verdana" w:hAnsi="Verdana"/>
          <w:sz w:val="20"/>
          <w:szCs w:val="20"/>
          <w:lang w:val="es-CR"/>
        </w:rPr>
        <w:fldChar w:fldCharType="begin"/>
      </w:r>
      <w:r w:rsidR="00030BF1" w:rsidRPr="001C521C">
        <w:rPr>
          <w:rFonts w:ascii="Verdana" w:hAnsi="Verdana"/>
          <w:sz w:val="20"/>
          <w:szCs w:val="20"/>
          <w:lang w:val="es-CR"/>
        </w:rPr>
        <w:instrText xml:space="preserve"> REF _Ref437939198 \r \h </w:instrText>
      </w:r>
      <w:r w:rsidR="001C521C">
        <w:rPr>
          <w:rFonts w:ascii="Verdana" w:hAnsi="Verdana"/>
          <w:sz w:val="20"/>
          <w:szCs w:val="20"/>
          <w:lang w:val="es-CR"/>
        </w:rPr>
        <w:instrText xml:space="preserve"> \* MERGEFORMAT </w:instrText>
      </w:r>
      <w:r w:rsidR="00030BF1" w:rsidRPr="001C521C">
        <w:rPr>
          <w:rFonts w:ascii="Verdana" w:hAnsi="Verdana"/>
          <w:sz w:val="20"/>
          <w:szCs w:val="20"/>
          <w:lang w:val="es-CR"/>
        </w:rPr>
      </w:r>
      <w:r w:rsidR="00030BF1" w:rsidRPr="001C521C">
        <w:rPr>
          <w:rFonts w:ascii="Verdana" w:hAnsi="Verdana"/>
          <w:sz w:val="20"/>
          <w:szCs w:val="20"/>
          <w:lang w:val="es-CR"/>
        </w:rPr>
        <w:fldChar w:fldCharType="separate"/>
      </w:r>
      <w:r w:rsidR="007E3C4B">
        <w:rPr>
          <w:rFonts w:ascii="Verdana" w:hAnsi="Verdana"/>
          <w:sz w:val="20"/>
          <w:szCs w:val="20"/>
          <w:lang w:val="es-CR"/>
        </w:rPr>
        <w:t>136</w:t>
      </w:r>
      <w:r w:rsidR="00030BF1" w:rsidRPr="001C521C">
        <w:rPr>
          <w:rFonts w:ascii="Verdana" w:hAnsi="Verdana"/>
          <w:sz w:val="20"/>
          <w:szCs w:val="20"/>
          <w:lang w:val="es-CR"/>
        </w:rPr>
        <w:fldChar w:fldCharType="end"/>
      </w:r>
      <w:r w:rsidR="00A93D08" w:rsidRPr="001C521C">
        <w:rPr>
          <w:rFonts w:ascii="Verdana" w:hAnsi="Verdana"/>
          <w:sz w:val="20"/>
          <w:szCs w:val="20"/>
          <w:lang w:val="es-CR"/>
        </w:rPr>
        <w:t xml:space="preserve">). </w:t>
      </w:r>
      <w:r w:rsidR="00765457" w:rsidRPr="001C521C">
        <w:rPr>
          <w:rFonts w:ascii="Verdana" w:hAnsi="Verdana"/>
          <w:sz w:val="20"/>
          <w:szCs w:val="20"/>
          <w:lang w:val="es-CR"/>
        </w:rPr>
        <w:t xml:space="preserve"> </w:t>
      </w:r>
    </w:p>
    <w:p w14:paraId="096CC390" w14:textId="77777777" w:rsidR="00F15D25" w:rsidRPr="0032068E" w:rsidRDefault="00F15D25" w:rsidP="00D901B8">
      <w:pPr>
        <w:pStyle w:val="ListParagraph"/>
        <w:tabs>
          <w:tab w:val="left" w:pos="1620"/>
        </w:tabs>
        <w:spacing w:after="0" w:line="240" w:lineRule="auto"/>
        <w:ind w:left="1620" w:right="1444"/>
        <w:jc w:val="both"/>
        <w:rPr>
          <w:rFonts w:ascii="Verdana" w:hAnsi="Verdana"/>
          <w:sz w:val="20"/>
          <w:szCs w:val="20"/>
          <w:lang w:val="es-CR"/>
        </w:rPr>
      </w:pPr>
    </w:p>
    <w:p w14:paraId="2C970F94" w14:textId="489AC38C" w:rsidR="00F15D25" w:rsidRPr="001C521C" w:rsidRDefault="00411F77" w:rsidP="008E4B31">
      <w:pPr>
        <w:pStyle w:val="ListParagraph"/>
        <w:numPr>
          <w:ilvl w:val="1"/>
          <w:numId w:val="43"/>
        </w:numPr>
        <w:tabs>
          <w:tab w:val="left" w:pos="1620"/>
        </w:tabs>
        <w:spacing w:after="0" w:line="240" w:lineRule="auto"/>
        <w:ind w:left="1620" w:right="1444" w:hanging="540"/>
        <w:jc w:val="both"/>
        <w:rPr>
          <w:rFonts w:ascii="Verdana" w:hAnsi="Verdana"/>
          <w:sz w:val="20"/>
          <w:szCs w:val="20"/>
          <w:lang w:val="es-CR"/>
        </w:rPr>
      </w:pPr>
      <w:r w:rsidRPr="0032068E">
        <w:rPr>
          <w:rFonts w:ascii="Verdana" w:hAnsi="Verdana"/>
          <w:sz w:val="20"/>
          <w:szCs w:val="20"/>
          <w:lang w:val="es-CR"/>
        </w:rPr>
        <w:lastRenderedPageBreak/>
        <w:t>I</w:t>
      </w:r>
      <w:r w:rsidR="00AD5C9D" w:rsidRPr="0032068E">
        <w:rPr>
          <w:rFonts w:ascii="Verdana" w:hAnsi="Verdana"/>
          <w:sz w:val="20"/>
          <w:szCs w:val="20"/>
          <w:lang w:val="es-CR"/>
        </w:rPr>
        <w:t>nforme si continúa</w:t>
      </w:r>
      <w:r w:rsidR="00103F1A" w:rsidRPr="0032068E">
        <w:rPr>
          <w:rFonts w:ascii="Verdana" w:hAnsi="Verdana"/>
          <w:sz w:val="20"/>
          <w:szCs w:val="20"/>
          <w:lang w:val="es-CR"/>
        </w:rPr>
        <w:t xml:space="preserve"> suspendido</w:t>
      </w:r>
      <w:r w:rsidR="00AD5C9D" w:rsidRPr="0032068E">
        <w:rPr>
          <w:rFonts w:ascii="Verdana" w:hAnsi="Verdana"/>
          <w:sz w:val="20"/>
          <w:szCs w:val="20"/>
          <w:lang w:val="es-CR"/>
        </w:rPr>
        <w:t xml:space="preserve"> algún proceso </w:t>
      </w:r>
      <w:r w:rsidR="00927E72" w:rsidRPr="0032068E">
        <w:rPr>
          <w:rFonts w:ascii="Verdana" w:hAnsi="Verdana"/>
          <w:sz w:val="20"/>
          <w:szCs w:val="20"/>
          <w:lang w:val="es-CR"/>
        </w:rPr>
        <w:t xml:space="preserve">correspondiente a los </w:t>
      </w:r>
      <w:r w:rsidR="00927E72" w:rsidRPr="0032068E">
        <w:rPr>
          <w:rFonts w:ascii="Verdana" w:hAnsi="Verdana"/>
          <w:i/>
          <w:sz w:val="20"/>
          <w:szCs w:val="20"/>
          <w:lang w:val="es-CR"/>
        </w:rPr>
        <w:t>12 Casos</w:t>
      </w:r>
      <w:r w:rsidR="00AD5C9D" w:rsidRPr="0032068E">
        <w:rPr>
          <w:rFonts w:ascii="Verdana" w:hAnsi="Verdana"/>
          <w:sz w:val="20"/>
          <w:szCs w:val="20"/>
          <w:lang w:val="es-CR"/>
        </w:rPr>
        <w:t xml:space="preserve"> por solicitudes de aplicación de </w:t>
      </w:r>
      <w:r w:rsidR="008E4B31" w:rsidRPr="001C521C">
        <w:rPr>
          <w:rFonts w:ascii="Verdana" w:hAnsi="Verdana"/>
          <w:sz w:val="20"/>
          <w:szCs w:val="20"/>
          <w:lang w:val="es-CR"/>
        </w:rPr>
        <w:t xml:space="preserve">cualquier </w:t>
      </w:r>
      <w:r w:rsidR="00AD5C9D" w:rsidRPr="001C521C">
        <w:rPr>
          <w:rFonts w:ascii="Verdana" w:hAnsi="Verdana"/>
          <w:sz w:val="20"/>
          <w:szCs w:val="20"/>
          <w:lang w:val="es-CR"/>
        </w:rPr>
        <w:t>eximente de responsabilidad</w:t>
      </w:r>
      <w:r w:rsidR="008E4B31" w:rsidRPr="001C521C">
        <w:rPr>
          <w:rFonts w:ascii="Verdana" w:hAnsi="Verdana"/>
          <w:sz w:val="20"/>
          <w:szCs w:val="20"/>
          <w:lang w:val="es-CR"/>
        </w:rPr>
        <w:t>,</w:t>
      </w:r>
      <w:r w:rsidR="00AD5C9D" w:rsidRPr="001C521C">
        <w:rPr>
          <w:rFonts w:ascii="Verdana" w:hAnsi="Verdana"/>
          <w:sz w:val="20"/>
          <w:szCs w:val="20"/>
          <w:lang w:val="es-CR"/>
        </w:rPr>
        <w:t xml:space="preserve"> </w:t>
      </w:r>
      <w:r w:rsidR="008E4B31" w:rsidRPr="001C521C">
        <w:rPr>
          <w:rFonts w:ascii="Verdana" w:hAnsi="Verdana"/>
          <w:sz w:val="20"/>
          <w:szCs w:val="20"/>
          <w:lang w:val="es-CR"/>
        </w:rPr>
        <w:t xml:space="preserve">especialmente aquellas </w:t>
      </w:r>
      <w:r w:rsidR="00AD5C9D" w:rsidRPr="001C521C">
        <w:rPr>
          <w:rFonts w:ascii="Verdana" w:hAnsi="Verdana"/>
          <w:sz w:val="20"/>
          <w:szCs w:val="20"/>
          <w:lang w:val="es-CR"/>
        </w:rPr>
        <w:t>fundadas en la Ley de Reconciliación Nacional</w:t>
      </w:r>
      <w:r w:rsidR="00A93D08" w:rsidRPr="001C521C">
        <w:rPr>
          <w:rFonts w:ascii="Verdana" w:hAnsi="Verdana"/>
          <w:sz w:val="20"/>
          <w:szCs w:val="20"/>
          <w:lang w:val="es-CR"/>
        </w:rPr>
        <w:t xml:space="preserve"> (</w:t>
      </w:r>
      <w:r w:rsidR="00A93D08" w:rsidRPr="001C521C">
        <w:rPr>
          <w:rFonts w:ascii="Verdana" w:hAnsi="Verdana"/>
          <w:i/>
          <w:sz w:val="20"/>
          <w:szCs w:val="20"/>
          <w:lang w:val="es-CR"/>
        </w:rPr>
        <w:t xml:space="preserve">supra </w:t>
      </w:r>
      <w:r w:rsidR="00A93D08" w:rsidRPr="001C521C">
        <w:rPr>
          <w:rFonts w:ascii="Verdana" w:hAnsi="Verdana"/>
          <w:sz w:val="20"/>
          <w:szCs w:val="20"/>
          <w:lang w:val="es-CR"/>
        </w:rPr>
        <w:t>Considerando</w:t>
      </w:r>
      <w:r w:rsidR="00030BF1" w:rsidRPr="001C521C">
        <w:rPr>
          <w:rFonts w:ascii="Verdana" w:hAnsi="Verdana"/>
          <w:sz w:val="20"/>
          <w:szCs w:val="20"/>
          <w:lang w:val="es-CR"/>
        </w:rPr>
        <w:t>s</w:t>
      </w:r>
      <w:r w:rsidR="001C521C" w:rsidRPr="001C521C">
        <w:rPr>
          <w:rFonts w:ascii="Verdana" w:hAnsi="Verdana"/>
          <w:sz w:val="20"/>
          <w:szCs w:val="20"/>
          <w:lang w:val="es-CR"/>
        </w:rPr>
        <w:t xml:space="preserve"> 137 a 149</w:t>
      </w:r>
      <w:r w:rsidR="00A93D08" w:rsidRPr="001C521C">
        <w:rPr>
          <w:rFonts w:ascii="Verdana" w:hAnsi="Verdana"/>
          <w:sz w:val="20"/>
          <w:szCs w:val="20"/>
          <w:lang w:val="es-CR"/>
        </w:rPr>
        <w:t>)</w:t>
      </w:r>
      <w:r w:rsidR="00927E72" w:rsidRPr="001C521C">
        <w:rPr>
          <w:rFonts w:ascii="Verdana" w:hAnsi="Verdana"/>
          <w:sz w:val="20"/>
          <w:szCs w:val="20"/>
          <w:lang w:val="es-CR"/>
        </w:rPr>
        <w:t xml:space="preserve"> y, de ser el caso, las acciones adoptadas para la continuación de los mismos</w:t>
      </w:r>
      <w:r w:rsidR="00A93D08" w:rsidRPr="001C521C">
        <w:rPr>
          <w:rFonts w:ascii="Verdana" w:hAnsi="Verdana"/>
          <w:sz w:val="20"/>
          <w:szCs w:val="20"/>
          <w:lang w:val="es-CR"/>
        </w:rPr>
        <w:t>.</w:t>
      </w:r>
    </w:p>
    <w:p w14:paraId="3A3D774F" w14:textId="77777777" w:rsidR="00F15D25" w:rsidRPr="001C521C" w:rsidRDefault="00F15D25" w:rsidP="00D901B8">
      <w:pPr>
        <w:tabs>
          <w:tab w:val="left" w:pos="1620"/>
        </w:tabs>
        <w:spacing w:after="0" w:line="240" w:lineRule="auto"/>
        <w:ind w:right="1444"/>
        <w:jc w:val="both"/>
        <w:rPr>
          <w:rFonts w:ascii="Verdana" w:hAnsi="Verdana"/>
          <w:sz w:val="20"/>
          <w:szCs w:val="20"/>
          <w:lang w:val="es-CR"/>
        </w:rPr>
      </w:pPr>
    </w:p>
    <w:p w14:paraId="51849E31" w14:textId="3BC88AAF" w:rsidR="00E25D43" w:rsidRPr="001C521C" w:rsidRDefault="008E4B31" w:rsidP="00894392">
      <w:pPr>
        <w:pStyle w:val="ListParagraph"/>
        <w:numPr>
          <w:ilvl w:val="1"/>
          <w:numId w:val="43"/>
        </w:numPr>
        <w:tabs>
          <w:tab w:val="left" w:pos="1620"/>
        </w:tabs>
        <w:spacing w:after="0" w:line="240" w:lineRule="auto"/>
        <w:ind w:left="1620" w:right="1444" w:hanging="540"/>
        <w:jc w:val="both"/>
        <w:rPr>
          <w:rFonts w:ascii="Verdana" w:hAnsi="Verdana"/>
          <w:sz w:val="20"/>
          <w:szCs w:val="20"/>
          <w:lang w:val="es-CR"/>
        </w:rPr>
      </w:pPr>
      <w:r w:rsidRPr="001C521C">
        <w:rPr>
          <w:rFonts w:ascii="Verdana" w:hAnsi="Verdana"/>
          <w:sz w:val="20"/>
          <w:szCs w:val="20"/>
          <w:lang w:val="es-CR"/>
        </w:rPr>
        <w:t>D</w:t>
      </w:r>
      <w:r w:rsidR="001C521C" w:rsidRPr="001C521C">
        <w:rPr>
          <w:rFonts w:ascii="Verdana" w:hAnsi="Verdana"/>
          <w:sz w:val="20"/>
          <w:szCs w:val="20"/>
          <w:lang w:val="es-CR"/>
        </w:rPr>
        <w:t>etalle</w:t>
      </w:r>
      <w:r w:rsidR="001F499B" w:rsidRPr="001C521C">
        <w:rPr>
          <w:rFonts w:ascii="Verdana" w:hAnsi="Verdana"/>
          <w:sz w:val="20"/>
          <w:szCs w:val="20"/>
          <w:lang w:val="es-CR"/>
        </w:rPr>
        <w:t xml:space="preserve"> las medidas adoptadas</w:t>
      </w:r>
      <w:r w:rsidR="00894392" w:rsidRPr="001C521C">
        <w:rPr>
          <w:rFonts w:ascii="Verdana" w:hAnsi="Verdana"/>
          <w:sz w:val="20"/>
          <w:szCs w:val="20"/>
          <w:lang w:val="es-CR"/>
        </w:rPr>
        <w:t xml:space="preserve"> por la Policía Nacional Civil o cualquier otro órgano competente</w:t>
      </w:r>
      <w:r w:rsidR="001F499B" w:rsidRPr="001C521C">
        <w:rPr>
          <w:rFonts w:ascii="Verdana" w:hAnsi="Verdana"/>
          <w:sz w:val="20"/>
          <w:szCs w:val="20"/>
          <w:lang w:val="es-CR"/>
        </w:rPr>
        <w:t xml:space="preserve"> para la ejecución efectiva de las órdenes de aprehensión, especialmente cuando se trata de casos enmarcados en</w:t>
      </w:r>
      <w:r w:rsidRPr="001C521C">
        <w:rPr>
          <w:rFonts w:ascii="Verdana" w:hAnsi="Verdana"/>
          <w:sz w:val="20"/>
          <w:szCs w:val="20"/>
          <w:lang w:val="es-CR"/>
        </w:rPr>
        <w:t xml:space="preserve"> el</w:t>
      </w:r>
      <w:r w:rsidR="001F499B" w:rsidRPr="001C521C">
        <w:rPr>
          <w:rFonts w:ascii="Verdana" w:hAnsi="Verdana"/>
          <w:sz w:val="20"/>
          <w:szCs w:val="20"/>
          <w:lang w:val="es-CR"/>
        </w:rPr>
        <w:t xml:space="preserve"> conflicto armado </w:t>
      </w:r>
      <w:r w:rsidRPr="001C521C">
        <w:rPr>
          <w:rFonts w:ascii="Verdana" w:hAnsi="Verdana"/>
          <w:sz w:val="20"/>
          <w:szCs w:val="20"/>
          <w:lang w:val="es-CR"/>
        </w:rPr>
        <w:t>guatemalteco</w:t>
      </w:r>
      <w:r w:rsidR="00A93D08" w:rsidRPr="001C521C">
        <w:rPr>
          <w:rFonts w:ascii="Verdana" w:hAnsi="Verdana"/>
          <w:sz w:val="20"/>
          <w:szCs w:val="20"/>
          <w:lang w:val="es-CR"/>
        </w:rPr>
        <w:t xml:space="preserve"> (</w:t>
      </w:r>
      <w:r w:rsidR="00A93D08" w:rsidRPr="001C521C">
        <w:rPr>
          <w:rFonts w:ascii="Verdana" w:hAnsi="Verdana"/>
          <w:i/>
          <w:sz w:val="20"/>
          <w:szCs w:val="20"/>
          <w:lang w:val="es-CR"/>
        </w:rPr>
        <w:t xml:space="preserve">supra </w:t>
      </w:r>
      <w:r w:rsidR="00A93D08" w:rsidRPr="001C521C">
        <w:rPr>
          <w:rFonts w:ascii="Verdana" w:hAnsi="Verdana"/>
          <w:sz w:val="20"/>
          <w:szCs w:val="20"/>
          <w:lang w:val="es-CR"/>
        </w:rPr>
        <w:t>Considerando</w:t>
      </w:r>
      <w:r w:rsidR="00030BF1" w:rsidRPr="001C521C">
        <w:rPr>
          <w:rFonts w:ascii="Verdana" w:hAnsi="Verdana"/>
          <w:sz w:val="20"/>
          <w:szCs w:val="20"/>
          <w:lang w:val="es-CR"/>
        </w:rPr>
        <w:t>s</w:t>
      </w:r>
      <w:r w:rsidR="00A93D08" w:rsidRPr="001C521C">
        <w:rPr>
          <w:rFonts w:ascii="Verdana" w:hAnsi="Verdana"/>
          <w:sz w:val="20"/>
          <w:szCs w:val="20"/>
          <w:lang w:val="es-CR"/>
        </w:rPr>
        <w:t xml:space="preserve"> </w:t>
      </w:r>
      <w:r w:rsidR="00030BF1" w:rsidRPr="001C521C">
        <w:rPr>
          <w:rFonts w:ascii="Verdana" w:hAnsi="Verdana"/>
          <w:sz w:val="20"/>
          <w:szCs w:val="20"/>
          <w:lang w:val="es-CR"/>
        </w:rPr>
        <w:fldChar w:fldCharType="begin"/>
      </w:r>
      <w:r w:rsidR="00030BF1" w:rsidRPr="001C521C">
        <w:rPr>
          <w:rFonts w:ascii="Verdana" w:hAnsi="Verdana"/>
          <w:sz w:val="20"/>
          <w:szCs w:val="20"/>
          <w:lang w:val="es-CR"/>
        </w:rPr>
        <w:instrText xml:space="preserve"> REF _Ref437964301 \r \h </w:instrText>
      </w:r>
      <w:r w:rsidR="001C521C">
        <w:rPr>
          <w:rFonts w:ascii="Verdana" w:hAnsi="Verdana"/>
          <w:sz w:val="20"/>
          <w:szCs w:val="20"/>
          <w:lang w:val="es-CR"/>
        </w:rPr>
        <w:instrText xml:space="preserve"> \* MERGEFORMAT </w:instrText>
      </w:r>
      <w:r w:rsidR="00030BF1" w:rsidRPr="001C521C">
        <w:rPr>
          <w:rFonts w:ascii="Verdana" w:hAnsi="Verdana"/>
          <w:sz w:val="20"/>
          <w:szCs w:val="20"/>
          <w:lang w:val="es-CR"/>
        </w:rPr>
      </w:r>
      <w:r w:rsidR="00030BF1" w:rsidRPr="001C521C">
        <w:rPr>
          <w:rFonts w:ascii="Verdana" w:hAnsi="Verdana"/>
          <w:sz w:val="20"/>
          <w:szCs w:val="20"/>
          <w:lang w:val="es-CR"/>
        </w:rPr>
        <w:fldChar w:fldCharType="separate"/>
      </w:r>
      <w:r w:rsidR="007E3C4B">
        <w:rPr>
          <w:rFonts w:ascii="Verdana" w:hAnsi="Verdana"/>
          <w:sz w:val="20"/>
          <w:szCs w:val="20"/>
          <w:lang w:val="es-CR"/>
        </w:rPr>
        <w:t>150</w:t>
      </w:r>
      <w:r w:rsidR="00030BF1" w:rsidRPr="001C521C">
        <w:rPr>
          <w:rFonts w:ascii="Verdana" w:hAnsi="Verdana"/>
          <w:sz w:val="20"/>
          <w:szCs w:val="20"/>
          <w:lang w:val="es-CR"/>
        </w:rPr>
        <w:fldChar w:fldCharType="end"/>
      </w:r>
      <w:r w:rsidR="00030BF1" w:rsidRPr="001C521C">
        <w:rPr>
          <w:rFonts w:ascii="Verdana" w:hAnsi="Verdana"/>
          <w:sz w:val="20"/>
          <w:szCs w:val="20"/>
          <w:lang w:val="es-CR"/>
        </w:rPr>
        <w:t xml:space="preserve"> a </w:t>
      </w:r>
      <w:r w:rsidR="00030BF1" w:rsidRPr="001C521C">
        <w:rPr>
          <w:rFonts w:ascii="Verdana" w:hAnsi="Verdana"/>
          <w:sz w:val="20"/>
          <w:szCs w:val="20"/>
          <w:lang w:val="es-CR"/>
        </w:rPr>
        <w:fldChar w:fldCharType="begin"/>
      </w:r>
      <w:r w:rsidR="00030BF1" w:rsidRPr="001C521C">
        <w:rPr>
          <w:rFonts w:ascii="Verdana" w:hAnsi="Verdana"/>
          <w:sz w:val="20"/>
          <w:szCs w:val="20"/>
          <w:lang w:val="es-CR"/>
        </w:rPr>
        <w:instrText xml:space="preserve"> REF _Ref437953119 \r \h </w:instrText>
      </w:r>
      <w:r w:rsidR="001C521C">
        <w:rPr>
          <w:rFonts w:ascii="Verdana" w:hAnsi="Verdana"/>
          <w:sz w:val="20"/>
          <w:szCs w:val="20"/>
          <w:lang w:val="es-CR"/>
        </w:rPr>
        <w:instrText xml:space="preserve"> \* MERGEFORMAT </w:instrText>
      </w:r>
      <w:r w:rsidR="00030BF1" w:rsidRPr="001C521C">
        <w:rPr>
          <w:rFonts w:ascii="Verdana" w:hAnsi="Verdana"/>
          <w:sz w:val="20"/>
          <w:szCs w:val="20"/>
          <w:lang w:val="es-CR"/>
        </w:rPr>
      </w:r>
      <w:r w:rsidR="00030BF1" w:rsidRPr="001C521C">
        <w:rPr>
          <w:rFonts w:ascii="Verdana" w:hAnsi="Verdana"/>
          <w:sz w:val="20"/>
          <w:szCs w:val="20"/>
          <w:lang w:val="es-CR"/>
        </w:rPr>
        <w:fldChar w:fldCharType="separate"/>
      </w:r>
      <w:r w:rsidR="007E3C4B">
        <w:rPr>
          <w:rFonts w:ascii="Verdana" w:hAnsi="Verdana"/>
          <w:sz w:val="20"/>
          <w:szCs w:val="20"/>
          <w:lang w:val="es-CR"/>
        </w:rPr>
        <w:t>155</w:t>
      </w:r>
      <w:r w:rsidR="00030BF1" w:rsidRPr="001C521C">
        <w:rPr>
          <w:rFonts w:ascii="Verdana" w:hAnsi="Verdana"/>
          <w:sz w:val="20"/>
          <w:szCs w:val="20"/>
          <w:lang w:val="es-CR"/>
        </w:rPr>
        <w:fldChar w:fldCharType="end"/>
      </w:r>
      <w:r w:rsidR="00A93D08" w:rsidRPr="001C521C">
        <w:rPr>
          <w:rFonts w:ascii="Verdana" w:hAnsi="Verdana"/>
          <w:sz w:val="20"/>
          <w:szCs w:val="20"/>
          <w:lang w:val="es-CR"/>
        </w:rPr>
        <w:t xml:space="preserve">). </w:t>
      </w:r>
    </w:p>
    <w:p w14:paraId="66FE3FDA" w14:textId="77777777" w:rsidR="00E25D43" w:rsidRPr="0032068E" w:rsidRDefault="00E25D43" w:rsidP="00E25D43">
      <w:pPr>
        <w:pStyle w:val="ListParagraph"/>
        <w:rPr>
          <w:rFonts w:ascii="Verdana" w:hAnsi="Verdana"/>
          <w:sz w:val="20"/>
          <w:szCs w:val="20"/>
          <w:lang w:val="es-CR"/>
        </w:rPr>
      </w:pPr>
    </w:p>
    <w:p w14:paraId="6316E3AB" w14:textId="053AC5A6" w:rsidR="00F15D25" w:rsidRPr="0032068E" w:rsidRDefault="00E25D43" w:rsidP="00E25D43">
      <w:pPr>
        <w:pStyle w:val="ListParagraph"/>
        <w:numPr>
          <w:ilvl w:val="0"/>
          <w:numId w:val="43"/>
        </w:numPr>
        <w:tabs>
          <w:tab w:val="left" w:pos="1620"/>
        </w:tabs>
        <w:spacing w:after="0" w:line="240" w:lineRule="auto"/>
        <w:ind w:right="1444"/>
        <w:jc w:val="both"/>
        <w:rPr>
          <w:rFonts w:ascii="Verdana" w:hAnsi="Verdana"/>
          <w:sz w:val="20"/>
          <w:szCs w:val="20"/>
          <w:lang w:val="es-CR"/>
        </w:rPr>
      </w:pPr>
      <w:bookmarkStart w:id="150" w:name="_Ref437872441"/>
      <w:r w:rsidRPr="0032068E">
        <w:rPr>
          <w:rFonts w:ascii="Verdana" w:hAnsi="Verdana"/>
          <w:sz w:val="20"/>
          <w:szCs w:val="20"/>
          <w:lang w:val="es-CR"/>
        </w:rPr>
        <w:t xml:space="preserve">Además, se solicita al Estado que brinde información para cada caso individual, en el que se aporte información actualizada y específica sobre el estado de las investigaciones llevadas a cabo, las líneas de </w:t>
      </w:r>
      <w:proofErr w:type="gramStart"/>
      <w:r w:rsidRPr="0032068E">
        <w:rPr>
          <w:rFonts w:ascii="Verdana" w:hAnsi="Verdana"/>
          <w:sz w:val="20"/>
          <w:szCs w:val="20"/>
          <w:lang w:val="es-CR"/>
        </w:rPr>
        <w:t>investigación existentes</w:t>
      </w:r>
      <w:proofErr w:type="gramEnd"/>
      <w:r w:rsidRPr="0032068E">
        <w:rPr>
          <w:rFonts w:ascii="Verdana" w:hAnsi="Verdana"/>
          <w:sz w:val="20"/>
          <w:szCs w:val="20"/>
          <w:lang w:val="es-CR"/>
        </w:rPr>
        <w:t>, y las personas que se encontrarían vinculadas con la investigación a la fecha de presentación del informe. En particular, se solicita al Estado que se refiera a</w:t>
      </w:r>
      <w:bookmarkEnd w:id="150"/>
      <w:r w:rsidR="00030BF1">
        <w:rPr>
          <w:rFonts w:ascii="Verdana" w:hAnsi="Verdana"/>
          <w:sz w:val="20"/>
          <w:szCs w:val="20"/>
          <w:lang w:val="es-CR"/>
        </w:rPr>
        <w:t>:</w:t>
      </w:r>
      <w:r w:rsidRPr="0032068E">
        <w:rPr>
          <w:rFonts w:ascii="Verdana" w:hAnsi="Verdana"/>
          <w:sz w:val="20"/>
          <w:szCs w:val="20"/>
          <w:lang w:val="es-CR"/>
        </w:rPr>
        <w:t xml:space="preserve"> </w:t>
      </w:r>
      <w:r w:rsidR="001F499B" w:rsidRPr="0032068E">
        <w:rPr>
          <w:rFonts w:ascii="Verdana" w:hAnsi="Verdana"/>
          <w:sz w:val="20"/>
          <w:szCs w:val="20"/>
          <w:lang w:val="es-CR"/>
        </w:rPr>
        <w:t xml:space="preserve"> </w:t>
      </w:r>
    </w:p>
    <w:p w14:paraId="6E14C001" w14:textId="77777777" w:rsidR="004174C8" w:rsidRPr="0032068E" w:rsidRDefault="004174C8" w:rsidP="004174C8">
      <w:pPr>
        <w:tabs>
          <w:tab w:val="left" w:pos="1620"/>
        </w:tabs>
        <w:spacing w:after="0" w:line="240" w:lineRule="auto"/>
        <w:ind w:right="1444"/>
        <w:jc w:val="both"/>
        <w:rPr>
          <w:rFonts w:ascii="Verdana" w:hAnsi="Verdana"/>
          <w:sz w:val="20"/>
          <w:szCs w:val="20"/>
          <w:lang w:val="es-CR"/>
        </w:rPr>
      </w:pPr>
    </w:p>
    <w:p w14:paraId="18170FC0" w14:textId="5416534D" w:rsidR="00E25D43" w:rsidRPr="00746AF8" w:rsidRDefault="00634002" w:rsidP="00746AF8">
      <w:pPr>
        <w:pStyle w:val="ListParagraph"/>
        <w:numPr>
          <w:ilvl w:val="1"/>
          <w:numId w:val="43"/>
        </w:numPr>
        <w:tabs>
          <w:tab w:val="left" w:pos="1620"/>
        </w:tabs>
        <w:spacing w:after="0" w:line="240" w:lineRule="auto"/>
        <w:ind w:left="1620" w:right="1444" w:hanging="540"/>
        <w:jc w:val="both"/>
        <w:rPr>
          <w:rFonts w:ascii="Verdana" w:hAnsi="Verdana"/>
          <w:sz w:val="20"/>
          <w:szCs w:val="20"/>
          <w:lang w:val="es-CR"/>
        </w:rPr>
      </w:pPr>
      <w:r w:rsidRPr="0032068E">
        <w:rPr>
          <w:rFonts w:ascii="Verdana" w:hAnsi="Verdana"/>
          <w:sz w:val="20"/>
          <w:szCs w:val="20"/>
          <w:lang w:val="es-CR"/>
        </w:rPr>
        <w:t xml:space="preserve">Caso </w:t>
      </w:r>
      <w:r w:rsidRPr="0032068E">
        <w:rPr>
          <w:rFonts w:ascii="Verdana" w:hAnsi="Verdana"/>
          <w:i/>
          <w:sz w:val="20"/>
          <w:szCs w:val="20"/>
          <w:lang w:val="es-CR"/>
        </w:rPr>
        <w:t>Blake</w:t>
      </w:r>
      <w:r w:rsidRPr="0032068E">
        <w:rPr>
          <w:rFonts w:ascii="Verdana" w:hAnsi="Verdana"/>
          <w:sz w:val="20"/>
          <w:szCs w:val="20"/>
          <w:lang w:val="es-CR"/>
        </w:rPr>
        <w:t xml:space="preserve"> </w:t>
      </w:r>
      <w:r w:rsidR="00D63646" w:rsidRPr="0032068E">
        <w:rPr>
          <w:rFonts w:ascii="Verdana" w:hAnsi="Verdana"/>
          <w:sz w:val="20"/>
          <w:szCs w:val="20"/>
          <w:lang w:val="es-CR"/>
        </w:rPr>
        <w:t xml:space="preserve">se </w:t>
      </w:r>
      <w:r w:rsidR="00D63646" w:rsidRPr="00A2094E">
        <w:rPr>
          <w:rFonts w:ascii="Verdana" w:hAnsi="Verdana"/>
          <w:sz w:val="20"/>
          <w:szCs w:val="20"/>
          <w:lang w:val="es-CR"/>
        </w:rPr>
        <w:t>solicita</w:t>
      </w:r>
      <w:r w:rsidR="0091613D" w:rsidRPr="00A2094E">
        <w:rPr>
          <w:rFonts w:ascii="Verdana" w:hAnsi="Verdana"/>
          <w:sz w:val="20"/>
          <w:szCs w:val="20"/>
          <w:lang w:val="es-CR"/>
        </w:rPr>
        <w:t xml:space="preserve"> que</w:t>
      </w:r>
      <w:r w:rsidR="00E25D43" w:rsidRPr="00A2094E">
        <w:rPr>
          <w:rFonts w:ascii="Verdana" w:hAnsi="Verdana"/>
          <w:sz w:val="20"/>
          <w:szCs w:val="20"/>
          <w:lang w:val="es-CR"/>
        </w:rPr>
        <w:t xml:space="preserve"> enumere y detalle las medidas concretas adoptadas por el Estado para proceder al juzgamiento de</w:t>
      </w:r>
      <w:r w:rsidR="00A2094E" w:rsidRPr="00A2094E">
        <w:rPr>
          <w:rFonts w:ascii="Verdana" w:hAnsi="Verdana"/>
          <w:sz w:val="20"/>
          <w:szCs w:val="20"/>
          <w:lang w:val="es-CR"/>
        </w:rPr>
        <w:t xml:space="preserve"> las tres personas imputadas</w:t>
      </w:r>
      <w:r w:rsidR="00E25D43" w:rsidRPr="00A2094E">
        <w:rPr>
          <w:rFonts w:ascii="Verdana" w:hAnsi="Verdana"/>
          <w:sz w:val="20"/>
          <w:szCs w:val="20"/>
          <w:lang w:val="es-CR"/>
        </w:rPr>
        <w:t>, entre ellas, la ejecución de las órdenes de aprehensión de los mismos por parte de cualquier autoridad competente (</w:t>
      </w:r>
      <w:r w:rsidR="00E25D43" w:rsidRPr="00A2094E">
        <w:rPr>
          <w:rFonts w:ascii="Verdana" w:hAnsi="Verdana"/>
          <w:i/>
          <w:sz w:val="20"/>
          <w:szCs w:val="20"/>
          <w:lang w:val="es-CR"/>
        </w:rPr>
        <w:t>supra</w:t>
      </w:r>
      <w:r w:rsidR="00E25D43" w:rsidRPr="00A2094E">
        <w:rPr>
          <w:rFonts w:ascii="Verdana" w:hAnsi="Verdana"/>
          <w:sz w:val="20"/>
          <w:szCs w:val="20"/>
          <w:lang w:val="es-CR"/>
        </w:rPr>
        <w:t xml:space="preserve"> Considerando</w:t>
      </w:r>
      <w:r w:rsidR="00A2094E" w:rsidRPr="00A2094E">
        <w:rPr>
          <w:rFonts w:ascii="Verdana" w:hAnsi="Verdana"/>
          <w:sz w:val="20"/>
          <w:szCs w:val="20"/>
          <w:lang w:val="es-CR"/>
        </w:rPr>
        <w:t>s 51 y</w:t>
      </w:r>
      <w:r w:rsidR="00E25D43" w:rsidRPr="00A2094E">
        <w:rPr>
          <w:rFonts w:ascii="Verdana" w:hAnsi="Verdana"/>
          <w:sz w:val="20"/>
          <w:szCs w:val="20"/>
          <w:lang w:val="es-CR"/>
        </w:rPr>
        <w:t xml:space="preserve"> </w:t>
      </w:r>
      <w:r w:rsidR="00030BF1" w:rsidRPr="00A2094E">
        <w:rPr>
          <w:rFonts w:ascii="Verdana" w:hAnsi="Verdana"/>
          <w:sz w:val="20"/>
          <w:szCs w:val="20"/>
          <w:lang w:val="es-CR"/>
        </w:rPr>
        <w:fldChar w:fldCharType="begin"/>
      </w:r>
      <w:r w:rsidR="00030BF1" w:rsidRPr="00A2094E">
        <w:rPr>
          <w:rFonts w:ascii="Verdana" w:hAnsi="Verdana"/>
          <w:sz w:val="20"/>
          <w:szCs w:val="20"/>
          <w:lang w:val="es-CR"/>
        </w:rPr>
        <w:instrText xml:space="preserve"> REF _Ref437964340 \r \h </w:instrText>
      </w:r>
      <w:r w:rsidR="00030BF1" w:rsidRPr="00A2094E">
        <w:rPr>
          <w:rFonts w:ascii="Verdana" w:hAnsi="Verdana"/>
          <w:sz w:val="20"/>
          <w:szCs w:val="20"/>
          <w:lang w:val="es-CR"/>
        </w:rPr>
      </w:r>
      <w:r w:rsidR="00030BF1" w:rsidRPr="00A2094E">
        <w:rPr>
          <w:rFonts w:ascii="Verdana" w:hAnsi="Verdana"/>
          <w:sz w:val="20"/>
          <w:szCs w:val="20"/>
          <w:lang w:val="es-CR"/>
        </w:rPr>
        <w:fldChar w:fldCharType="separate"/>
      </w:r>
      <w:r w:rsidR="007E3C4B">
        <w:rPr>
          <w:rFonts w:ascii="Verdana" w:hAnsi="Verdana"/>
          <w:sz w:val="20"/>
          <w:szCs w:val="20"/>
          <w:lang w:val="es-CR"/>
        </w:rPr>
        <w:t>52</w:t>
      </w:r>
      <w:r w:rsidR="00030BF1" w:rsidRPr="00A2094E">
        <w:rPr>
          <w:rFonts w:ascii="Verdana" w:hAnsi="Verdana"/>
          <w:sz w:val="20"/>
          <w:szCs w:val="20"/>
          <w:lang w:val="es-CR"/>
        </w:rPr>
        <w:fldChar w:fldCharType="end"/>
      </w:r>
      <w:r w:rsidR="00E25D43" w:rsidRPr="00A2094E">
        <w:rPr>
          <w:rFonts w:ascii="Verdana" w:hAnsi="Verdana"/>
          <w:sz w:val="20"/>
          <w:szCs w:val="20"/>
          <w:lang w:val="es-CR"/>
        </w:rPr>
        <w:t>).</w:t>
      </w:r>
    </w:p>
    <w:p w14:paraId="7944901F" w14:textId="7598E9CF" w:rsidR="00E25D43" w:rsidRPr="00A2094E" w:rsidRDefault="00E25D43" w:rsidP="00E25D43">
      <w:pPr>
        <w:pStyle w:val="ListParagraph"/>
        <w:numPr>
          <w:ilvl w:val="1"/>
          <w:numId w:val="43"/>
        </w:numPr>
        <w:tabs>
          <w:tab w:val="left" w:pos="1620"/>
        </w:tabs>
        <w:spacing w:after="0" w:line="240" w:lineRule="auto"/>
        <w:ind w:left="1620" w:right="1444" w:hanging="540"/>
        <w:jc w:val="both"/>
        <w:rPr>
          <w:rFonts w:ascii="Verdana" w:hAnsi="Verdana"/>
          <w:sz w:val="20"/>
          <w:szCs w:val="20"/>
          <w:lang w:val="es-UY"/>
        </w:rPr>
      </w:pPr>
      <w:r w:rsidRPr="00A2094E">
        <w:rPr>
          <w:rFonts w:ascii="Verdana" w:hAnsi="Verdana"/>
          <w:sz w:val="20"/>
          <w:szCs w:val="20"/>
          <w:lang w:val="es-CR"/>
        </w:rPr>
        <w:t xml:space="preserve">Caso </w:t>
      </w:r>
      <w:r w:rsidRPr="00A2094E">
        <w:rPr>
          <w:rFonts w:ascii="Verdana" w:hAnsi="Verdana"/>
          <w:i/>
          <w:sz w:val="20"/>
          <w:szCs w:val="20"/>
          <w:lang w:val="es-CR"/>
        </w:rPr>
        <w:t xml:space="preserve">Panel Blanca </w:t>
      </w:r>
      <w:r w:rsidRPr="00A2094E">
        <w:rPr>
          <w:rFonts w:ascii="Verdana" w:hAnsi="Verdana"/>
          <w:sz w:val="20"/>
          <w:szCs w:val="20"/>
          <w:lang w:val="es-CR"/>
        </w:rPr>
        <w:t xml:space="preserve">se solicita que aporte </w:t>
      </w:r>
      <w:r w:rsidR="00B92E95" w:rsidRPr="00A2094E">
        <w:rPr>
          <w:rFonts w:ascii="Verdana" w:hAnsi="Verdana"/>
          <w:sz w:val="20"/>
          <w:szCs w:val="20"/>
          <w:lang w:val="es-CR"/>
        </w:rPr>
        <w:t>un cronograma de las diligencias por realizar con el fin de identificar, juzgar y</w:t>
      </w:r>
      <w:r w:rsidR="00A2094E" w:rsidRPr="00A2094E">
        <w:rPr>
          <w:rFonts w:ascii="Verdana" w:hAnsi="Verdana"/>
          <w:sz w:val="20"/>
          <w:szCs w:val="20"/>
          <w:lang w:val="es-CR"/>
        </w:rPr>
        <w:t>, en su caso, sancionar</w:t>
      </w:r>
      <w:r w:rsidR="00B92E95" w:rsidRPr="00A2094E">
        <w:rPr>
          <w:rFonts w:ascii="Verdana" w:hAnsi="Verdana"/>
          <w:sz w:val="20"/>
          <w:szCs w:val="20"/>
          <w:lang w:val="es-CR"/>
        </w:rPr>
        <w:t xml:space="preserve"> a los responsables de las violaciones a derechos humanos identificadas en el caso (</w:t>
      </w:r>
      <w:r w:rsidR="00B92E95" w:rsidRPr="00A2094E">
        <w:rPr>
          <w:rFonts w:ascii="Verdana" w:hAnsi="Verdana"/>
          <w:i/>
          <w:sz w:val="20"/>
          <w:szCs w:val="20"/>
          <w:lang w:val="es-CR"/>
        </w:rPr>
        <w:t>supra</w:t>
      </w:r>
      <w:r w:rsidR="00B92E95" w:rsidRPr="00A2094E">
        <w:rPr>
          <w:rFonts w:ascii="Verdana" w:hAnsi="Verdana"/>
          <w:sz w:val="20"/>
          <w:szCs w:val="20"/>
          <w:lang w:val="es-CR"/>
        </w:rPr>
        <w:t xml:space="preserve"> Considerando </w:t>
      </w:r>
      <w:r w:rsidR="00030BF1" w:rsidRPr="00A2094E">
        <w:rPr>
          <w:rFonts w:ascii="Verdana" w:hAnsi="Verdana"/>
          <w:sz w:val="20"/>
          <w:szCs w:val="20"/>
          <w:lang w:val="es-CR"/>
        </w:rPr>
        <w:fldChar w:fldCharType="begin"/>
      </w:r>
      <w:r w:rsidR="00030BF1" w:rsidRPr="00A2094E">
        <w:rPr>
          <w:rFonts w:ascii="Verdana" w:hAnsi="Verdana"/>
          <w:sz w:val="20"/>
          <w:szCs w:val="20"/>
          <w:lang w:val="es-CR"/>
        </w:rPr>
        <w:instrText xml:space="preserve"> REF _Ref437964347 \r \h </w:instrText>
      </w:r>
      <w:r w:rsidR="00030BF1" w:rsidRPr="00A2094E">
        <w:rPr>
          <w:rFonts w:ascii="Verdana" w:hAnsi="Verdana"/>
          <w:sz w:val="20"/>
          <w:szCs w:val="20"/>
          <w:lang w:val="es-CR"/>
        </w:rPr>
      </w:r>
      <w:r w:rsidR="00030BF1" w:rsidRPr="00A2094E">
        <w:rPr>
          <w:rFonts w:ascii="Verdana" w:hAnsi="Verdana"/>
          <w:sz w:val="20"/>
          <w:szCs w:val="20"/>
          <w:lang w:val="es-CR"/>
        </w:rPr>
        <w:fldChar w:fldCharType="separate"/>
      </w:r>
      <w:r w:rsidR="007E3C4B">
        <w:rPr>
          <w:rFonts w:ascii="Verdana" w:hAnsi="Verdana"/>
          <w:sz w:val="20"/>
          <w:szCs w:val="20"/>
          <w:lang w:val="es-CR"/>
        </w:rPr>
        <w:t>56</w:t>
      </w:r>
      <w:r w:rsidR="00030BF1" w:rsidRPr="00A2094E">
        <w:rPr>
          <w:rFonts w:ascii="Verdana" w:hAnsi="Verdana"/>
          <w:sz w:val="20"/>
          <w:szCs w:val="20"/>
          <w:lang w:val="es-CR"/>
        </w:rPr>
        <w:fldChar w:fldCharType="end"/>
      </w:r>
      <w:r w:rsidR="00B92E95" w:rsidRPr="00A2094E">
        <w:rPr>
          <w:rFonts w:ascii="Verdana" w:hAnsi="Verdana"/>
          <w:sz w:val="20"/>
          <w:szCs w:val="20"/>
          <w:lang w:val="es-CR"/>
        </w:rPr>
        <w:t>).</w:t>
      </w:r>
    </w:p>
    <w:p w14:paraId="14022433" w14:textId="77777777" w:rsidR="00E25D43" w:rsidRPr="0032068E" w:rsidRDefault="00E25D43" w:rsidP="00E25D43">
      <w:pPr>
        <w:pStyle w:val="ListParagraph"/>
        <w:spacing w:after="0" w:line="240" w:lineRule="auto"/>
        <w:ind w:left="1620" w:right="1444"/>
        <w:jc w:val="both"/>
        <w:rPr>
          <w:rFonts w:ascii="Verdana" w:hAnsi="Verdana"/>
          <w:sz w:val="20"/>
          <w:szCs w:val="20"/>
          <w:lang w:val="es-CR"/>
        </w:rPr>
      </w:pPr>
    </w:p>
    <w:p w14:paraId="038C1388" w14:textId="1CCE690C" w:rsidR="00F15D25" w:rsidRPr="00746AF8" w:rsidRDefault="00634002" w:rsidP="00746AF8">
      <w:pPr>
        <w:pStyle w:val="ListParagraph"/>
        <w:numPr>
          <w:ilvl w:val="1"/>
          <w:numId w:val="43"/>
        </w:numPr>
        <w:tabs>
          <w:tab w:val="left" w:pos="1620"/>
        </w:tabs>
        <w:spacing w:after="0" w:line="240" w:lineRule="auto"/>
        <w:ind w:left="1620" w:right="1444" w:hanging="540"/>
        <w:jc w:val="both"/>
        <w:rPr>
          <w:rFonts w:ascii="Verdana" w:hAnsi="Verdana"/>
          <w:sz w:val="20"/>
          <w:szCs w:val="20"/>
          <w:lang w:val="es-UY"/>
        </w:rPr>
      </w:pPr>
      <w:r w:rsidRPr="00A2094E">
        <w:rPr>
          <w:rFonts w:ascii="Verdana" w:hAnsi="Verdana"/>
          <w:sz w:val="20"/>
          <w:szCs w:val="20"/>
          <w:lang w:val="es-CR"/>
        </w:rPr>
        <w:t xml:space="preserve">Caso </w:t>
      </w:r>
      <w:r w:rsidRPr="00A2094E">
        <w:rPr>
          <w:rFonts w:ascii="Verdana" w:hAnsi="Verdana"/>
          <w:i/>
          <w:sz w:val="20"/>
          <w:szCs w:val="20"/>
          <w:lang w:val="es-CR"/>
        </w:rPr>
        <w:t>Niños de la Calle</w:t>
      </w:r>
      <w:r w:rsidR="00D63646" w:rsidRPr="00A2094E">
        <w:rPr>
          <w:rFonts w:ascii="Verdana" w:hAnsi="Verdana"/>
          <w:i/>
          <w:sz w:val="20"/>
          <w:szCs w:val="20"/>
          <w:lang w:val="es-CR"/>
        </w:rPr>
        <w:t xml:space="preserve"> </w:t>
      </w:r>
      <w:r w:rsidR="00D63646" w:rsidRPr="00A2094E">
        <w:rPr>
          <w:rFonts w:ascii="Verdana" w:hAnsi="Verdana"/>
          <w:sz w:val="20"/>
          <w:szCs w:val="20"/>
          <w:lang w:val="es-CR"/>
        </w:rPr>
        <w:t>se solicita que</w:t>
      </w:r>
      <w:r w:rsidR="00CD4CE0" w:rsidRPr="00A2094E">
        <w:rPr>
          <w:rFonts w:ascii="Verdana" w:hAnsi="Verdana"/>
          <w:sz w:val="20"/>
          <w:szCs w:val="20"/>
          <w:lang w:val="es-CR"/>
        </w:rPr>
        <w:t xml:space="preserve"> </w:t>
      </w:r>
      <w:r w:rsidR="008025B3" w:rsidRPr="008025B3">
        <w:rPr>
          <w:rFonts w:ascii="Verdana" w:hAnsi="Verdana"/>
          <w:sz w:val="20"/>
          <w:szCs w:val="20"/>
          <w:lang w:val="es-CR"/>
        </w:rPr>
        <w:t xml:space="preserve">aporte información actualizada sobre el estado del proceso, las líneas de investigación y la individualización de las personas que se encontrarían vinculadas con dicha investigación, al igual que </w:t>
      </w:r>
      <w:r w:rsidR="008025B3" w:rsidRPr="008025B3">
        <w:rPr>
          <w:rFonts w:ascii="Verdana" w:hAnsi="Verdana"/>
          <w:sz w:val="20"/>
          <w:szCs w:val="20"/>
          <w:lang w:val="es-UY"/>
        </w:rPr>
        <w:t xml:space="preserve">informe acerca del resultado de la investigación del equipo </w:t>
      </w:r>
      <w:r w:rsidR="008025B3" w:rsidRPr="008025B3">
        <w:rPr>
          <w:rFonts w:ascii="Verdana" w:hAnsi="Verdana"/>
          <w:sz w:val="20"/>
          <w:szCs w:val="20"/>
          <w:lang w:val="es-CR"/>
        </w:rPr>
        <w:t>contratado por el Programa de Acompañamiento a la Justicia de Transición</w:t>
      </w:r>
      <w:r w:rsidR="008025B3" w:rsidRPr="008025B3">
        <w:rPr>
          <w:rFonts w:ascii="Verdana" w:hAnsi="Verdana"/>
          <w:sz w:val="20"/>
          <w:szCs w:val="20"/>
          <w:lang w:val="es-UY"/>
        </w:rPr>
        <w:t xml:space="preserve"> y de las medidas adoptadas para resolver los obstáculos en la preservación de la prueba relevante para esta investigación y, en particular, la pérdida de la ojiva identificada como fundamental para la misma</w:t>
      </w:r>
      <w:r w:rsidR="007A00FB" w:rsidRPr="00A2094E">
        <w:rPr>
          <w:rFonts w:ascii="Verdana" w:hAnsi="Verdana"/>
          <w:sz w:val="20"/>
          <w:szCs w:val="20"/>
          <w:lang w:val="es-UY"/>
        </w:rPr>
        <w:t xml:space="preserve"> </w:t>
      </w:r>
      <w:r w:rsidR="007A00FB" w:rsidRPr="00A2094E">
        <w:rPr>
          <w:rFonts w:ascii="Verdana" w:hAnsi="Verdana"/>
          <w:sz w:val="20"/>
          <w:szCs w:val="20"/>
          <w:lang w:val="es-CR"/>
        </w:rPr>
        <w:t>(</w:t>
      </w:r>
      <w:r w:rsidR="007A00FB" w:rsidRPr="00A2094E">
        <w:rPr>
          <w:rFonts w:ascii="Verdana" w:hAnsi="Verdana"/>
          <w:i/>
          <w:sz w:val="20"/>
          <w:szCs w:val="20"/>
          <w:lang w:val="es-CR"/>
        </w:rPr>
        <w:t xml:space="preserve">supra </w:t>
      </w:r>
      <w:r w:rsidR="007A00FB" w:rsidRPr="00A2094E">
        <w:rPr>
          <w:rFonts w:ascii="Verdana" w:hAnsi="Verdana"/>
          <w:sz w:val="20"/>
          <w:szCs w:val="20"/>
          <w:lang w:val="es-CR"/>
        </w:rPr>
        <w:t xml:space="preserve">Considerando </w:t>
      </w:r>
      <w:r w:rsidR="00030BF1" w:rsidRPr="00A2094E">
        <w:rPr>
          <w:rFonts w:ascii="Verdana" w:hAnsi="Verdana"/>
          <w:sz w:val="20"/>
          <w:szCs w:val="20"/>
          <w:lang w:val="es-CR"/>
        </w:rPr>
        <w:fldChar w:fldCharType="begin"/>
      </w:r>
      <w:r w:rsidR="00030BF1" w:rsidRPr="00A2094E">
        <w:rPr>
          <w:rFonts w:ascii="Verdana" w:hAnsi="Verdana"/>
          <w:sz w:val="20"/>
          <w:szCs w:val="20"/>
          <w:lang w:val="es-CR"/>
        </w:rPr>
        <w:instrText xml:space="preserve"> REF _Ref437964357 \r \h </w:instrText>
      </w:r>
      <w:r w:rsidR="00030BF1" w:rsidRPr="00A2094E">
        <w:rPr>
          <w:rFonts w:ascii="Verdana" w:hAnsi="Verdana"/>
          <w:sz w:val="20"/>
          <w:szCs w:val="20"/>
          <w:lang w:val="es-CR"/>
        </w:rPr>
      </w:r>
      <w:r w:rsidR="00030BF1" w:rsidRPr="00A2094E">
        <w:rPr>
          <w:rFonts w:ascii="Verdana" w:hAnsi="Verdana"/>
          <w:sz w:val="20"/>
          <w:szCs w:val="20"/>
          <w:lang w:val="es-CR"/>
        </w:rPr>
        <w:fldChar w:fldCharType="separate"/>
      </w:r>
      <w:r w:rsidR="007E3C4B">
        <w:rPr>
          <w:rFonts w:ascii="Verdana" w:hAnsi="Verdana"/>
          <w:sz w:val="20"/>
          <w:szCs w:val="20"/>
          <w:lang w:val="es-CR"/>
        </w:rPr>
        <w:t>62</w:t>
      </w:r>
      <w:r w:rsidR="00030BF1" w:rsidRPr="00A2094E">
        <w:rPr>
          <w:rFonts w:ascii="Verdana" w:hAnsi="Verdana"/>
          <w:sz w:val="20"/>
          <w:szCs w:val="20"/>
          <w:lang w:val="es-CR"/>
        </w:rPr>
        <w:fldChar w:fldCharType="end"/>
      </w:r>
      <w:r w:rsidR="007A00FB" w:rsidRPr="00A2094E">
        <w:rPr>
          <w:rFonts w:ascii="Verdana" w:hAnsi="Verdana"/>
          <w:sz w:val="20"/>
          <w:szCs w:val="20"/>
          <w:lang w:val="es-CR"/>
        </w:rPr>
        <w:t xml:space="preserve">). </w:t>
      </w:r>
      <w:r w:rsidR="007A00FB" w:rsidRPr="00A2094E">
        <w:rPr>
          <w:rFonts w:ascii="Verdana" w:hAnsi="Verdana"/>
          <w:sz w:val="20"/>
          <w:szCs w:val="20"/>
          <w:lang w:val="es-UY"/>
        </w:rPr>
        <w:t xml:space="preserve"> </w:t>
      </w:r>
    </w:p>
    <w:p w14:paraId="2FD5FE0E" w14:textId="42439B18" w:rsidR="00F15D25" w:rsidRDefault="00634002" w:rsidP="00E25D43">
      <w:pPr>
        <w:pStyle w:val="ListParagraph"/>
        <w:numPr>
          <w:ilvl w:val="1"/>
          <w:numId w:val="43"/>
        </w:numPr>
        <w:tabs>
          <w:tab w:val="left" w:pos="1620"/>
        </w:tabs>
        <w:spacing w:after="0" w:line="240" w:lineRule="auto"/>
        <w:ind w:left="1620" w:right="1444" w:hanging="540"/>
        <w:jc w:val="both"/>
        <w:rPr>
          <w:rFonts w:ascii="Verdana" w:hAnsi="Verdana"/>
          <w:sz w:val="20"/>
          <w:szCs w:val="20"/>
          <w:lang w:val="es-CR"/>
        </w:rPr>
      </w:pPr>
      <w:r w:rsidRPr="00A2094E">
        <w:rPr>
          <w:rFonts w:ascii="Verdana" w:hAnsi="Verdana"/>
          <w:sz w:val="20"/>
          <w:szCs w:val="20"/>
          <w:lang w:val="es-CR"/>
        </w:rPr>
        <w:t xml:space="preserve">Caso </w:t>
      </w:r>
      <w:r w:rsidRPr="00A2094E">
        <w:rPr>
          <w:rFonts w:ascii="Verdana" w:hAnsi="Verdana"/>
          <w:i/>
          <w:sz w:val="20"/>
          <w:szCs w:val="20"/>
          <w:lang w:val="es-CR"/>
        </w:rPr>
        <w:t>Bámaca Velásquez</w:t>
      </w:r>
      <w:r w:rsidR="00D63646" w:rsidRPr="00A2094E">
        <w:rPr>
          <w:rFonts w:ascii="Verdana" w:hAnsi="Verdana"/>
          <w:i/>
          <w:sz w:val="20"/>
          <w:szCs w:val="20"/>
          <w:lang w:val="es-CR"/>
        </w:rPr>
        <w:t xml:space="preserve"> </w:t>
      </w:r>
      <w:r w:rsidR="00CD4CE0" w:rsidRPr="00A2094E">
        <w:rPr>
          <w:rFonts w:ascii="Verdana" w:hAnsi="Verdana"/>
          <w:sz w:val="20"/>
          <w:szCs w:val="20"/>
          <w:lang w:val="es-CR"/>
        </w:rPr>
        <w:t xml:space="preserve">se solicita que </w:t>
      </w:r>
      <w:r w:rsidR="00CF684D">
        <w:rPr>
          <w:rFonts w:ascii="Verdana" w:hAnsi="Verdana"/>
          <w:sz w:val="20"/>
          <w:szCs w:val="20"/>
          <w:lang w:val="es-CR"/>
        </w:rPr>
        <w:t xml:space="preserve">aporte </w:t>
      </w:r>
      <w:r w:rsidR="00CD4CE0" w:rsidRPr="00A2094E">
        <w:rPr>
          <w:rFonts w:ascii="Verdana" w:hAnsi="Verdana"/>
          <w:sz w:val="20"/>
          <w:szCs w:val="20"/>
          <w:lang w:val="es-CR"/>
        </w:rPr>
        <w:t>i</w:t>
      </w:r>
      <w:r w:rsidR="00CF684D">
        <w:rPr>
          <w:rFonts w:ascii="Verdana" w:hAnsi="Verdana"/>
          <w:sz w:val="20"/>
          <w:szCs w:val="20"/>
          <w:lang w:val="es-CR"/>
        </w:rPr>
        <w:t>nformación</w:t>
      </w:r>
      <w:r w:rsidR="00AD5C9D" w:rsidRPr="00A2094E">
        <w:rPr>
          <w:rFonts w:ascii="Verdana" w:hAnsi="Verdana"/>
          <w:sz w:val="20"/>
          <w:szCs w:val="20"/>
          <w:lang w:val="es-CR"/>
        </w:rPr>
        <w:t xml:space="preserve"> </w:t>
      </w:r>
      <w:r w:rsidR="00CF684D" w:rsidRPr="00285E07">
        <w:rPr>
          <w:rFonts w:ascii="Verdana" w:hAnsi="Verdana"/>
          <w:sz w:val="20"/>
          <w:szCs w:val="20"/>
          <w:lang w:val="es-CR"/>
        </w:rPr>
        <w:t>detallada e individualizada sobre los procesos seguidos en contra de los imputados en</w:t>
      </w:r>
      <w:r w:rsidR="00CF684D">
        <w:rPr>
          <w:rFonts w:ascii="Verdana" w:hAnsi="Verdana"/>
          <w:sz w:val="20"/>
          <w:szCs w:val="20"/>
          <w:lang w:val="es-CR"/>
        </w:rPr>
        <w:t xml:space="preserve"> el presente caso,</w:t>
      </w:r>
      <w:r w:rsidR="00CF684D" w:rsidRPr="00285E07">
        <w:rPr>
          <w:rFonts w:ascii="Verdana" w:hAnsi="Verdana"/>
          <w:sz w:val="20"/>
          <w:szCs w:val="20"/>
          <w:lang w:val="es-CR"/>
        </w:rPr>
        <w:t xml:space="preserve"> indique cómo eliminará los obstáculos señalados que dificultan la investigación</w:t>
      </w:r>
      <w:r w:rsidR="00CF684D">
        <w:rPr>
          <w:rFonts w:ascii="Verdana" w:hAnsi="Verdana"/>
          <w:sz w:val="20"/>
          <w:szCs w:val="20"/>
          <w:lang w:val="es-CR"/>
        </w:rPr>
        <w:t xml:space="preserve"> de los hechos correspondientes y, e</w:t>
      </w:r>
      <w:r w:rsidR="00CF684D" w:rsidRPr="00285E07">
        <w:rPr>
          <w:rFonts w:ascii="Verdana" w:hAnsi="Verdana"/>
          <w:sz w:val="20"/>
          <w:szCs w:val="20"/>
          <w:lang w:val="es-CR"/>
        </w:rPr>
        <w:t xml:space="preserve">n particular, indique </w:t>
      </w:r>
      <w:r w:rsidR="00AD5C9D" w:rsidRPr="00A2094E">
        <w:rPr>
          <w:rFonts w:ascii="Verdana" w:hAnsi="Verdana"/>
          <w:sz w:val="20"/>
          <w:szCs w:val="20"/>
          <w:lang w:val="es-CR"/>
        </w:rPr>
        <w:t xml:space="preserve">si se retomaron las investigaciones del caso suspendidas por </w:t>
      </w:r>
      <w:r w:rsidR="00A36502" w:rsidRPr="00A2094E">
        <w:rPr>
          <w:rFonts w:ascii="Verdana" w:hAnsi="Verdana"/>
          <w:sz w:val="20"/>
          <w:szCs w:val="20"/>
          <w:lang w:val="es-CR"/>
        </w:rPr>
        <w:t>la</w:t>
      </w:r>
      <w:r w:rsidR="00A2094E" w:rsidRPr="00A2094E">
        <w:rPr>
          <w:rFonts w:ascii="Verdana" w:hAnsi="Verdana"/>
          <w:sz w:val="20"/>
          <w:szCs w:val="20"/>
          <w:lang w:val="es-CR"/>
        </w:rPr>
        <w:t>s decisiones</w:t>
      </w:r>
      <w:r w:rsidR="00AD5C9D" w:rsidRPr="00A2094E">
        <w:rPr>
          <w:rFonts w:ascii="Verdana" w:hAnsi="Verdana"/>
          <w:sz w:val="20"/>
          <w:szCs w:val="20"/>
          <w:lang w:val="es-CR"/>
        </w:rPr>
        <w:t xml:space="preserve"> de la Corte de Constitucionalidad de Guatemala </w:t>
      </w:r>
      <w:r w:rsidR="00A93D08" w:rsidRPr="00A2094E">
        <w:rPr>
          <w:rFonts w:ascii="Verdana" w:hAnsi="Verdana"/>
          <w:sz w:val="20"/>
          <w:szCs w:val="20"/>
          <w:lang w:val="es-CR"/>
        </w:rPr>
        <w:t>(</w:t>
      </w:r>
      <w:r w:rsidR="00A93D08" w:rsidRPr="00A2094E">
        <w:rPr>
          <w:rFonts w:ascii="Verdana" w:hAnsi="Verdana"/>
          <w:i/>
          <w:sz w:val="20"/>
          <w:szCs w:val="20"/>
          <w:lang w:val="es-CR"/>
        </w:rPr>
        <w:t xml:space="preserve">supra </w:t>
      </w:r>
      <w:r w:rsidR="00A93D08" w:rsidRPr="00CF684D">
        <w:rPr>
          <w:rFonts w:ascii="Verdana" w:hAnsi="Verdana"/>
          <w:sz w:val="20"/>
          <w:szCs w:val="20"/>
          <w:lang w:val="es-CR"/>
        </w:rPr>
        <w:t xml:space="preserve">Considerando </w:t>
      </w:r>
      <w:r w:rsidR="00030BF1" w:rsidRPr="00CF684D">
        <w:rPr>
          <w:rFonts w:ascii="Verdana" w:hAnsi="Verdana"/>
          <w:sz w:val="20"/>
          <w:szCs w:val="20"/>
          <w:lang w:val="es-CR"/>
        </w:rPr>
        <w:fldChar w:fldCharType="begin"/>
      </w:r>
      <w:r w:rsidR="00030BF1" w:rsidRPr="00CF684D">
        <w:rPr>
          <w:rFonts w:ascii="Verdana" w:hAnsi="Verdana"/>
          <w:sz w:val="20"/>
          <w:szCs w:val="20"/>
          <w:lang w:val="es-CR"/>
        </w:rPr>
        <w:instrText xml:space="preserve"> REF _Ref437964364 \r \h </w:instrText>
      </w:r>
      <w:r w:rsidR="00030BF1" w:rsidRPr="00CF684D">
        <w:rPr>
          <w:rFonts w:ascii="Verdana" w:hAnsi="Verdana"/>
          <w:sz w:val="20"/>
          <w:szCs w:val="20"/>
          <w:lang w:val="es-CR"/>
        </w:rPr>
      </w:r>
      <w:r w:rsidR="00030BF1" w:rsidRPr="00CF684D">
        <w:rPr>
          <w:rFonts w:ascii="Verdana" w:hAnsi="Verdana"/>
          <w:sz w:val="20"/>
          <w:szCs w:val="20"/>
          <w:lang w:val="es-CR"/>
        </w:rPr>
        <w:fldChar w:fldCharType="separate"/>
      </w:r>
      <w:r w:rsidR="007E3C4B">
        <w:rPr>
          <w:rFonts w:ascii="Verdana" w:hAnsi="Verdana"/>
          <w:sz w:val="20"/>
          <w:szCs w:val="20"/>
          <w:lang w:val="es-CR"/>
        </w:rPr>
        <w:t>72</w:t>
      </w:r>
      <w:r w:rsidR="00030BF1" w:rsidRPr="00CF684D">
        <w:rPr>
          <w:rFonts w:ascii="Verdana" w:hAnsi="Verdana"/>
          <w:sz w:val="20"/>
          <w:szCs w:val="20"/>
          <w:lang w:val="es-CR"/>
        </w:rPr>
        <w:fldChar w:fldCharType="end"/>
      </w:r>
      <w:r w:rsidR="00A93D08" w:rsidRPr="00CF684D">
        <w:rPr>
          <w:rFonts w:ascii="Verdana" w:hAnsi="Verdana"/>
          <w:sz w:val="20"/>
          <w:szCs w:val="20"/>
          <w:lang w:val="es-CR"/>
        </w:rPr>
        <w:t>)</w:t>
      </w:r>
      <w:r w:rsidR="00AD5C9D" w:rsidRPr="00CF684D">
        <w:rPr>
          <w:rFonts w:ascii="Verdana" w:hAnsi="Verdana"/>
          <w:sz w:val="20"/>
          <w:szCs w:val="20"/>
          <w:lang w:val="es-CR"/>
        </w:rPr>
        <w:t xml:space="preserve">. </w:t>
      </w:r>
    </w:p>
    <w:p w14:paraId="4DF7C090" w14:textId="77777777" w:rsidR="00CF684D" w:rsidRPr="00CF684D" w:rsidRDefault="00CF684D" w:rsidP="00CF684D">
      <w:pPr>
        <w:tabs>
          <w:tab w:val="left" w:pos="1620"/>
        </w:tabs>
        <w:spacing w:after="0" w:line="240" w:lineRule="auto"/>
        <w:ind w:right="1444"/>
        <w:jc w:val="both"/>
        <w:rPr>
          <w:rFonts w:ascii="Verdana" w:hAnsi="Verdana"/>
          <w:sz w:val="20"/>
          <w:szCs w:val="20"/>
          <w:lang w:val="es-CR"/>
        </w:rPr>
      </w:pPr>
    </w:p>
    <w:p w14:paraId="04DD4315" w14:textId="5569914B" w:rsidR="00946412" w:rsidRPr="00CF684D" w:rsidRDefault="00946412" w:rsidP="00946412">
      <w:pPr>
        <w:pStyle w:val="ListParagraph"/>
        <w:numPr>
          <w:ilvl w:val="1"/>
          <w:numId w:val="43"/>
        </w:numPr>
        <w:tabs>
          <w:tab w:val="left" w:pos="1620"/>
        </w:tabs>
        <w:spacing w:after="0" w:line="240" w:lineRule="auto"/>
        <w:ind w:left="1620" w:right="1444" w:hanging="540"/>
        <w:jc w:val="both"/>
        <w:rPr>
          <w:rFonts w:ascii="Verdana" w:hAnsi="Verdana"/>
          <w:sz w:val="20"/>
          <w:szCs w:val="20"/>
          <w:lang w:val="es-CR"/>
        </w:rPr>
      </w:pPr>
      <w:r w:rsidRPr="00CF684D">
        <w:rPr>
          <w:rFonts w:ascii="Verdana" w:hAnsi="Verdana"/>
          <w:sz w:val="20"/>
          <w:szCs w:val="20"/>
          <w:lang w:val="es-UY"/>
        </w:rPr>
        <w:t xml:space="preserve">Caso </w:t>
      </w:r>
      <w:r w:rsidRPr="00CF684D">
        <w:rPr>
          <w:rFonts w:ascii="Verdana" w:hAnsi="Verdana"/>
          <w:i/>
          <w:sz w:val="20"/>
          <w:szCs w:val="20"/>
          <w:lang w:val="es-UY"/>
        </w:rPr>
        <w:t xml:space="preserve">Mack Chang </w:t>
      </w:r>
      <w:r w:rsidRPr="00CF684D">
        <w:rPr>
          <w:rFonts w:ascii="Verdana" w:hAnsi="Verdana"/>
          <w:sz w:val="20"/>
          <w:szCs w:val="20"/>
          <w:lang w:val="es-UY"/>
        </w:rPr>
        <w:t>se solicita que a</w:t>
      </w:r>
      <w:r w:rsidRPr="00CF684D">
        <w:rPr>
          <w:rFonts w:ascii="Verdana" w:hAnsi="Verdana"/>
          <w:sz w:val="20"/>
          <w:szCs w:val="20"/>
          <w:lang w:val="es-CR"/>
        </w:rPr>
        <w:t xml:space="preserve">porte información específica y actualizada acerca </w:t>
      </w:r>
      <w:r w:rsidR="00CF684D" w:rsidRPr="00CF684D">
        <w:rPr>
          <w:rFonts w:ascii="Verdana" w:hAnsi="Verdana"/>
          <w:sz w:val="20"/>
          <w:szCs w:val="20"/>
          <w:lang w:val="es-CR"/>
        </w:rPr>
        <w:t xml:space="preserve">de los avances llevados a cabo </w:t>
      </w:r>
      <w:r w:rsidRPr="00CF684D">
        <w:rPr>
          <w:rFonts w:ascii="Verdana" w:hAnsi="Verdana"/>
          <w:sz w:val="20"/>
          <w:szCs w:val="20"/>
          <w:lang w:val="es-CR"/>
        </w:rPr>
        <w:t>para la aprehensión del señor Juan Valencia Osorio (</w:t>
      </w:r>
      <w:r w:rsidRPr="00CF684D">
        <w:rPr>
          <w:rFonts w:ascii="Verdana" w:hAnsi="Verdana"/>
          <w:i/>
          <w:sz w:val="20"/>
          <w:szCs w:val="20"/>
          <w:lang w:val="es-CR"/>
        </w:rPr>
        <w:t xml:space="preserve">supra </w:t>
      </w:r>
      <w:r w:rsidRPr="00CF684D">
        <w:rPr>
          <w:rFonts w:ascii="Verdana" w:hAnsi="Verdana"/>
          <w:sz w:val="20"/>
          <w:szCs w:val="20"/>
          <w:lang w:val="es-CR"/>
        </w:rPr>
        <w:t xml:space="preserve">Considerando </w:t>
      </w:r>
      <w:r w:rsidR="00030BF1" w:rsidRPr="00CF684D">
        <w:rPr>
          <w:rFonts w:ascii="Verdana" w:hAnsi="Verdana"/>
          <w:sz w:val="20"/>
          <w:szCs w:val="20"/>
          <w:lang w:val="es-CR"/>
        </w:rPr>
        <w:fldChar w:fldCharType="begin"/>
      </w:r>
      <w:r w:rsidR="00030BF1" w:rsidRPr="00CF684D">
        <w:rPr>
          <w:rFonts w:ascii="Verdana" w:hAnsi="Verdana"/>
          <w:sz w:val="20"/>
          <w:szCs w:val="20"/>
          <w:lang w:val="es-CR"/>
        </w:rPr>
        <w:instrText xml:space="preserve"> REF _Ref437964376 \r \h </w:instrText>
      </w:r>
      <w:r w:rsidR="00030BF1" w:rsidRPr="00CF684D">
        <w:rPr>
          <w:rFonts w:ascii="Verdana" w:hAnsi="Verdana"/>
          <w:sz w:val="20"/>
          <w:szCs w:val="20"/>
          <w:lang w:val="es-CR"/>
        </w:rPr>
      </w:r>
      <w:r w:rsidR="00030BF1" w:rsidRPr="00CF684D">
        <w:rPr>
          <w:rFonts w:ascii="Verdana" w:hAnsi="Verdana"/>
          <w:sz w:val="20"/>
          <w:szCs w:val="20"/>
          <w:lang w:val="es-CR"/>
        </w:rPr>
        <w:fldChar w:fldCharType="separate"/>
      </w:r>
      <w:r w:rsidR="007E3C4B">
        <w:rPr>
          <w:rFonts w:ascii="Verdana" w:hAnsi="Verdana"/>
          <w:sz w:val="20"/>
          <w:szCs w:val="20"/>
          <w:lang w:val="es-CR"/>
        </w:rPr>
        <w:t>75</w:t>
      </w:r>
      <w:r w:rsidR="00030BF1" w:rsidRPr="00CF684D">
        <w:rPr>
          <w:rFonts w:ascii="Verdana" w:hAnsi="Verdana"/>
          <w:sz w:val="20"/>
          <w:szCs w:val="20"/>
          <w:lang w:val="es-CR"/>
        </w:rPr>
        <w:fldChar w:fldCharType="end"/>
      </w:r>
      <w:r w:rsidRPr="00CF684D">
        <w:rPr>
          <w:rFonts w:ascii="Verdana" w:hAnsi="Verdana"/>
          <w:sz w:val="20"/>
          <w:szCs w:val="20"/>
          <w:lang w:val="es-CR"/>
        </w:rPr>
        <w:t>).</w:t>
      </w:r>
    </w:p>
    <w:p w14:paraId="387976C9" w14:textId="77777777" w:rsidR="006A4FFE" w:rsidRPr="008353BF" w:rsidRDefault="006A4FFE" w:rsidP="006A4FFE">
      <w:pPr>
        <w:pStyle w:val="ListParagraph"/>
        <w:rPr>
          <w:rFonts w:ascii="Verdana" w:hAnsi="Verdana"/>
          <w:sz w:val="20"/>
          <w:szCs w:val="20"/>
          <w:highlight w:val="yellow"/>
          <w:lang w:val="es-CR"/>
        </w:rPr>
      </w:pPr>
    </w:p>
    <w:p w14:paraId="795D9FEC" w14:textId="18D34F0D" w:rsidR="006A4FFE" w:rsidRPr="008025B3" w:rsidRDefault="006A4FFE" w:rsidP="008025B3">
      <w:pPr>
        <w:pStyle w:val="ListParagraph"/>
        <w:numPr>
          <w:ilvl w:val="1"/>
          <w:numId w:val="43"/>
        </w:numPr>
        <w:tabs>
          <w:tab w:val="left" w:pos="1620"/>
        </w:tabs>
        <w:spacing w:after="0" w:line="240" w:lineRule="auto"/>
        <w:ind w:left="1620" w:right="1444" w:hanging="540"/>
        <w:jc w:val="both"/>
        <w:rPr>
          <w:rFonts w:ascii="Verdana" w:hAnsi="Verdana"/>
          <w:sz w:val="20"/>
          <w:szCs w:val="20"/>
          <w:lang w:val="es-CR"/>
        </w:rPr>
      </w:pPr>
      <w:r w:rsidRPr="0032068E">
        <w:rPr>
          <w:rFonts w:ascii="Verdana" w:hAnsi="Verdana"/>
          <w:sz w:val="20"/>
          <w:szCs w:val="20"/>
          <w:lang w:val="es-UY"/>
        </w:rPr>
        <w:t xml:space="preserve">Caso </w:t>
      </w:r>
      <w:r w:rsidRPr="0032068E">
        <w:rPr>
          <w:rFonts w:ascii="Verdana" w:hAnsi="Verdana"/>
          <w:i/>
          <w:sz w:val="20"/>
          <w:szCs w:val="20"/>
          <w:lang w:val="es-UY"/>
        </w:rPr>
        <w:t xml:space="preserve">Maritza Urrutia </w:t>
      </w:r>
      <w:r w:rsidRPr="0032068E">
        <w:rPr>
          <w:rFonts w:ascii="Verdana" w:hAnsi="Verdana"/>
          <w:sz w:val="20"/>
          <w:szCs w:val="20"/>
          <w:lang w:val="es-UY"/>
        </w:rPr>
        <w:t xml:space="preserve">se solicita que </w:t>
      </w:r>
      <w:r w:rsidR="008025B3">
        <w:rPr>
          <w:rFonts w:ascii="Verdana" w:hAnsi="Verdana"/>
          <w:sz w:val="20"/>
          <w:szCs w:val="20"/>
          <w:lang w:val="es-CR"/>
        </w:rPr>
        <w:t xml:space="preserve">aporte </w:t>
      </w:r>
      <w:r w:rsidR="008025B3" w:rsidRPr="008025B3">
        <w:rPr>
          <w:rFonts w:ascii="Verdana" w:hAnsi="Verdana"/>
          <w:sz w:val="20"/>
          <w:szCs w:val="20"/>
          <w:lang w:val="es-CR"/>
        </w:rPr>
        <w:t>información actualizada y detallada sobre las medidas que adoptará para continuar y avanzar con la investigación de los hechos del presente caso y la identificación de posibles responsables</w:t>
      </w:r>
      <w:r w:rsidR="008025B3">
        <w:rPr>
          <w:rFonts w:ascii="Verdana" w:hAnsi="Verdana"/>
          <w:sz w:val="20"/>
          <w:szCs w:val="20"/>
          <w:lang w:val="es-CR"/>
        </w:rPr>
        <w:t>, y que en particular informe</w:t>
      </w:r>
      <w:r w:rsidR="008025B3" w:rsidRPr="008025B3">
        <w:rPr>
          <w:rFonts w:ascii="Verdana" w:hAnsi="Verdana"/>
          <w:sz w:val="20"/>
          <w:szCs w:val="20"/>
          <w:lang w:val="es-CR"/>
        </w:rPr>
        <w:t xml:space="preserve"> sobre las diligencias que lleve a cabo para la obtención del testimonio de la víctima Maritza Urrutia a la brevedad posible, siendo necesario que el Estado valore las diversas alternativas que podría implementar para recabar dicho testimonio, sin que el hecho que la víctima </w:t>
      </w:r>
      <w:r w:rsidR="008025B3" w:rsidRPr="008025B3">
        <w:rPr>
          <w:rFonts w:ascii="Verdana" w:hAnsi="Verdana"/>
          <w:sz w:val="20"/>
          <w:szCs w:val="20"/>
          <w:lang w:val="es-CR"/>
        </w:rPr>
        <w:lastRenderedPageBreak/>
        <w:t>resida fuera de Guatemala represente un obstáculo para el avance de la investigación</w:t>
      </w:r>
      <w:r w:rsidRPr="008025B3">
        <w:rPr>
          <w:rFonts w:ascii="Verdana" w:hAnsi="Verdana"/>
          <w:sz w:val="20"/>
          <w:szCs w:val="20"/>
          <w:lang w:val="es-CR"/>
        </w:rPr>
        <w:t xml:space="preserve"> (</w:t>
      </w:r>
      <w:r w:rsidRPr="008025B3">
        <w:rPr>
          <w:rFonts w:ascii="Verdana" w:hAnsi="Verdana"/>
          <w:i/>
          <w:sz w:val="20"/>
          <w:szCs w:val="20"/>
          <w:lang w:val="es-CR"/>
        </w:rPr>
        <w:t xml:space="preserve">supra </w:t>
      </w:r>
      <w:r w:rsidRPr="008025B3">
        <w:rPr>
          <w:rFonts w:ascii="Verdana" w:hAnsi="Verdana"/>
          <w:sz w:val="20"/>
          <w:szCs w:val="20"/>
          <w:lang w:val="es-CR"/>
        </w:rPr>
        <w:t>Considerando</w:t>
      </w:r>
      <w:r w:rsidR="00030BF1" w:rsidRPr="008025B3">
        <w:rPr>
          <w:rFonts w:ascii="Verdana" w:hAnsi="Verdana"/>
          <w:sz w:val="20"/>
          <w:szCs w:val="20"/>
          <w:lang w:val="es-CR"/>
        </w:rPr>
        <w:t xml:space="preserve"> </w:t>
      </w:r>
      <w:r w:rsidR="00030BF1" w:rsidRPr="008025B3">
        <w:rPr>
          <w:rFonts w:ascii="Verdana" w:hAnsi="Verdana"/>
          <w:sz w:val="20"/>
          <w:szCs w:val="20"/>
          <w:lang w:val="es-CR"/>
        </w:rPr>
        <w:fldChar w:fldCharType="begin"/>
      </w:r>
      <w:r w:rsidR="00030BF1" w:rsidRPr="008025B3">
        <w:rPr>
          <w:rFonts w:ascii="Verdana" w:hAnsi="Verdana"/>
          <w:sz w:val="20"/>
          <w:szCs w:val="20"/>
          <w:lang w:val="es-CR"/>
        </w:rPr>
        <w:instrText xml:space="preserve"> REF _Ref437964385 \r \h </w:instrText>
      </w:r>
      <w:r w:rsidR="008353BF" w:rsidRPr="008025B3">
        <w:rPr>
          <w:rFonts w:ascii="Verdana" w:hAnsi="Verdana"/>
          <w:sz w:val="20"/>
          <w:szCs w:val="20"/>
          <w:lang w:val="es-CR"/>
        </w:rPr>
        <w:instrText xml:space="preserve"> \* MERGEFORMAT </w:instrText>
      </w:r>
      <w:r w:rsidR="00030BF1" w:rsidRPr="008025B3">
        <w:rPr>
          <w:rFonts w:ascii="Verdana" w:hAnsi="Verdana"/>
          <w:sz w:val="20"/>
          <w:szCs w:val="20"/>
          <w:lang w:val="es-CR"/>
        </w:rPr>
      </w:r>
      <w:r w:rsidR="00030BF1" w:rsidRPr="008025B3">
        <w:rPr>
          <w:rFonts w:ascii="Verdana" w:hAnsi="Verdana"/>
          <w:sz w:val="20"/>
          <w:szCs w:val="20"/>
          <w:lang w:val="es-CR"/>
        </w:rPr>
        <w:fldChar w:fldCharType="separate"/>
      </w:r>
      <w:r w:rsidR="007E3C4B">
        <w:rPr>
          <w:rFonts w:ascii="Verdana" w:hAnsi="Verdana"/>
          <w:sz w:val="20"/>
          <w:szCs w:val="20"/>
          <w:lang w:val="es-CR"/>
        </w:rPr>
        <w:t>81</w:t>
      </w:r>
      <w:r w:rsidR="00030BF1" w:rsidRPr="008025B3">
        <w:rPr>
          <w:rFonts w:ascii="Verdana" w:hAnsi="Verdana"/>
          <w:sz w:val="20"/>
          <w:szCs w:val="20"/>
          <w:lang w:val="es-CR"/>
        </w:rPr>
        <w:fldChar w:fldCharType="end"/>
      </w:r>
      <w:r w:rsidRPr="008025B3">
        <w:rPr>
          <w:rFonts w:ascii="Verdana" w:hAnsi="Verdana"/>
          <w:sz w:val="20"/>
          <w:szCs w:val="20"/>
          <w:lang w:val="es-CR"/>
        </w:rPr>
        <w:t>).</w:t>
      </w:r>
    </w:p>
    <w:p w14:paraId="277E920B" w14:textId="77777777" w:rsidR="001D279F" w:rsidRPr="0032068E" w:rsidRDefault="001D279F" w:rsidP="001D279F">
      <w:pPr>
        <w:pStyle w:val="ListParagraph"/>
        <w:rPr>
          <w:rFonts w:ascii="Verdana" w:hAnsi="Verdana"/>
          <w:sz w:val="20"/>
          <w:szCs w:val="20"/>
          <w:lang w:val="es-CR"/>
        </w:rPr>
      </w:pPr>
    </w:p>
    <w:p w14:paraId="152970CE" w14:textId="1051D816" w:rsidR="001D279F" w:rsidRPr="008025B3" w:rsidRDefault="001D279F" w:rsidP="008025B3">
      <w:pPr>
        <w:pStyle w:val="ListParagraph"/>
        <w:numPr>
          <w:ilvl w:val="1"/>
          <w:numId w:val="43"/>
        </w:numPr>
        <w:tabs>
          <w:tab w:val="left" w:pos="1620"/>
        </w:tabs>
        <w:spacing w:after="0" w:line="240" w:lineRule="auto"/>
        <w:ind w:left="1620" w:right="1444" w:hanging="540"/>
        <w:jc w:val="both"/>
        <w:rPr>
          <w:rFonts w:ascii="Verdana" w:hAnsi="Verdana"/>
          <w:sz w:val="20"/>
          <w:szCs w:val="20"/>
          <w:lang w:val="es-UY"/>
        </w:rPr>
      </w:pPr>
      <w:r w:rsidRPr="008025B3">
        <w:rPr>
          <w:rFonts w:ascii="Verdana" w:hAnsi="Verdana"/>
          <w:sz w:val="20"/>
          <w:szCs w:val="20"/>
          <w:lang w:val="es-UY"/>
        </w:rPr>
        <w:t>Caso</w:t>
      </w:r>
      <w:r w:rsidRPr="008025B3">
        <w:rPr>
          <w:rFonts w:ascii="Verdana" w:hAnsi="Verdana"/>
          <w:i/>
          <w:sz w:val="20"/>
          <w:szCs w:val="20"/>
          <w:lang w:val="es-UY"/>
        </w:rPr>
        <w:t xml:space="preserve"> Molin</w:t>
      </w:r>
      <w:r w:rsidRPr="008025B3">
        <w:rPr>
          <w:rFonts w:ascii="Verdana" w:hAnsi="Verdana"/>
          <w:i/>
          <w:sz w:val="20"/>
          <w:szCs w:val="20"/>
          <w:lang w:val="es-CR"/>
        </w:rPr>
        <w:t>a</w:t>
      </w:r>
      <w:r w:rsidRPr="008025B3">
        <w:rPr>
          <w:rFonts w:ascii="Verdana" w:hAnsi="Verdana"/>
          <w:i/>
          <w:sz w:val="20"/>
          <w:szCs w:val="20"/>
          <w:lang w:val="es-UY"/>
        </w:rPr>
        <w:t xml:space="preserve"> </w:t>
      </w:r>
      <w:r w:rsidRPr="008025B3">
        <w:rPr>
          <w:rFonts w:ascii="Verdana" w:hAnsi="Verdana"/>
          <w:i/>
          <w:sz w:val="20"/>
          <w:szCs w:val="20"/>
          <w:lang w:val="es-CR"/>
        </w:rPr>
        <w:t>Theissen</w:t>
      </w:r>
      <w:r w:rsidRPr="008025B3">
        <w:rPr>
          <w:rFonts w:ascii="Verdana" w:hAnsi="Verdana"/>
          <w:i/>
          <w:sz w:val="20"/>
          <w:szCs w:val="20"/>
          <w:lang w:val="es-UY"/>
        </w:rPr>
        <w:t xml:space="preserve"> </w:t>
      </w:r>
      <w:r w:rsidRPr="008025B3">
        <w:rPr>
          <w:rFonts w:ascii="Verdana" w:hAnsi="Verdana"/>
          <w:sz w:val="20"/>
          <w:szCs w:val="20"/>
          <w:lang w:val="es-UY"/>
        </w:rPr>
        <w:t xml:space="preserve">se solicita que </w:t>
      </w:r>
      <w:r w:rsidR="008025B3" w:rsidRPr="008025B3">
        <w:rPr>
          <w:rFonts w:ascii="Verdana" w:hAnsi="Verdana"/>
          <w:sz w:val="20"/>
          <w:szCs w:val="20"/>
          <w:lang w:val="es-CR"/>
        </w:rPr>
        <w:t>presente información actualizada y detallada sobre las líneas de investigación que sigue y seguirá para investigar los hechos ocurridos en perjuicio de Marco Antonio Molina Theissen, identificar a los responsables y, de ser el caso, sancionarles, conforme a lo dispuesto en la Sentencia, y sobre las medidas que adoptará para superar los obstáculos estructurales señalados que afectan dicha investigación. Además, se requiere al Estado que aporte un cronograma de las diligencias por realizar con el fin de culminar la etapa de investigación y continuar con el desarrollo del proceso penal para</w:t>
      </w:r>
      <w:r w:rsidR="008025B3" w:rsidRPr="008025B3" w:rsidDel="002F1431">
        <w:rPr>
          <w:rFonts w:ascii="Verdana" w:hAnsi="Verdana"/>
          <w:sz w:val="20"/>
          <w:szCs w:val="20"/>
          <w:lang w:val="es-CR"/>
        </w:rPr>
        <w:t xml:space="preserve"> </w:t>
      </w:r>
      <w:r w:rsidR="008025B3" w:rsidRPr="008025B3">
        <w:rPr>
          <w:rFonts w:ascii="Verdana" w:hAnsi="Verdana"/>
          <w:sz w:val="20"/>
          <w:szCs w:val="20"/>
          <w:lang w:val="es-CR"/>
        </w:rPr>
        <w:t>juzgar y en su caso, sancionar, a los responsables de las violaciones a derechos humanos identificadas en el caso</w:t>
      </w:r>
      <w:r w:rsidRPr="008025B3">
        <w:rPr>
          <w:rFonts w:ascii="Verdana" w:hAnsi="Verdana"/>
          <w:sz w:val="20"/>
          <w:szCs w:val="20"/>
          <w:lang w:val="es-CR"/>
        </w:rPr>
        <w:t xml:space="preserve"> (</w:t>
      </w:r>
      <w:r w:rsidRPr="008025B3">
        <w:rPr>
          <w:rFonts w:ascii="Verdana" w:hAnsi="Verdana"/>
          <w:i/>
          <w:sz w:val="20"/>
          <w:szCs w:val="20"/>
          <w:lang w:val="es-CR"/>
        </w:rPr>
        <w:t xml:space="preserve">supra </w:t>
      </w:r>
      <w:r w:rsidRPr="008025B3">
        <w:rPr>
          <w:rFonts w:ascii="Verdana" w:hAnsi="Verdana"/>
          <w:sz w:val="20"/>
          <w:szCs w:val="20"/>
          <w:lang w:val="es-CR"/>
        </w:rPr>
        <w:t>Considerando</w:t>
      </w:r>
      <w:r w:rsidR="008025B3" w:rsidRPr="008025B3">
        <w:rPr>
          <w:rFonts w:ascii="Verdana" w:hAnsi="Verdana"/>
          <w:sz w:val="20"/>
          <w:szCs w:val="20"/>
          <w:lang w:val="es-CR"/>
        </w:rPr>
        <w:t xml:space="preserve"> 89</w:t>
      </w:r>
      <w:r w:rsidR="00030BF1" w:rsidRPr="008025B3">
        <w:rPr>
          <w:rFonts w:ascii="Verdana" w:hAnsi="Verdana"/>
          <w:sz w:val="20"/>
          <w:szCs w:val="20"/>
          <w:lang w:val="es-CR"/>
        </w:rPr>
        <w:t>)</w:t>
      </w:r>
      <w:r w:rsidR="008025B3" w:rsidRPr="008025B3">
        <w:rPr>
          <w:rFonts w:ascii="Verdana" w:hAnsi="Verdana"/>
          <w:sz w:val="20"/>
          <w:szCs w:val="20"/>
          <w:lang w:val="es-CR"/>
        </w:rPr>
        <w:t>.</w:t>
      </w:r>
    </w:p>
    <w:p w14:paraId="3F803B06" w14:textId="77777777" w:rsidR="00F15D25" w:rsidRPr="008353BF" w:rsidRDefault="00F15D25" w:rsidP="00D901B8">
      <w:pPr>
        <w:tabs>
          <w:tab w:val="left" w:pos="1620"/>
        </w:tabs>
        <w:spacing w:after="0" w:line="240" w:lineRule="auto"/>
        <w:ind w:right="1444"/>
        <w:jc w:val="both"/>
        <w:rPr>
          <w:rFonts w:ascii="Verdana" w:hAnsi="Verdana"/>
          <w:sz w:val="20"/>
          <w:szCs w:val="20"/>
          <w:highlight w:val="yellow"/>
          <w:lang w:val="es-CR"/>
        </w:rPr>
      </w:pPr>
    </w:p>
    <w:p w14:paraId="23D745E9" w14:textId="27502FD2" w:rsidR="00140342" w:rsidRPr="00BF5CC1" w:rsidRDefault="00634002" w:rsidP="00BF5CC1">
      <w:pPr>
        <w:pStyle w:val="ListParagraph"/>
        <w:numPr>
          <w:ilvl w:val="1"/>
          <w:numId w:val="43"/>
        </w:numPr>
        <w:tabs>
          <w:tab w:val="left" w:pos="1620"/>
        </w:tabs>
        <w:spacing w:after="0" w:line="240" w:lineRule="auto"/>
        <w:ind w:left="1620" w:right="1444" w:hanging="540"/>
        <w:jc w:val="both"/>
        <w:rPr>
          <w:rFonts w:ascii="Verdana" w:hAnsi="Verdana"/>
          <w:sz w:val="20"/>
          <w:szCs w:val="20"/>
          <w:lang w:val="es-CR"/>
        </w:rPr>
      </w:pPr>
      <w:r w:rsidRPr="0032068E">
        <w:rPr>
          <w:rFonts w:ascii="Verdana" w:hAnsi="Verdana"/>
          <w:sz w:val="20"/>
          <w:szCs w:val="20"/>
          <w:lang w:val="es-CR"/>
        </w:rPr>
        <w:t xml:space="preserve">Caso </w:t>
      </w:r>
      <w:r w:rsidRPr="0032068E">
        <w:rPr>
          <w:rFonts w:ascii="Verdana" w:hAnsi="Verdana"/>
          <w:i/>
          <w:sz w:val="20"/>
          <w:szCs w:val="20"/>
          <w:lang w:val="es-CR"/>
        </w:rPr>
        <w:t xml:space="preserve">Masacre Plan </w:t>
      </w:r>
      <w:r w:rsidRPr="0032068E">
        <w:rPr>
          <w:rFonts w:ascii="Verdana" w:hAnsi="Verdana"/>
          <w:sz w:val="20"/>
          <w:szCs w:val="20"/>
          <w:lang w:val="es-CR"/>
        </w:rPr>
        <w:t>de</w:t>
      </w:r>
      <w:r w:rsidRPr="0032068E">
        <w:rPr>
          <w:rFonts w:ascii="Verdana" w:hAnsi="Verdana"/>
          <w:i/>
          <w:sz w:val="20"/>
          <w:szCs w:val="20"/>
          <w:lang w:val="es-CR"/>
        </w:rPr>
        <w:t xml:space="preserve"> Sánchez</w:t>
      </w:r>
      <w:r w:rsidR="00D63646" w:rsidRPr="0032068E">
        <w:rPr>
          <w:rFonts w:ascii="Verdana" w:hAnsi="Verdana"/>
          <w:i/>
          <w:sz w:val="20"/>
          <w:szCs w:val="20"/>
          <w:lang w:val="es-CR"/>
        </w:rPr>
        <w:t xml:space="preserve"> </w:t>
      </w:r>
      <w:r w:rsidR="00BF5CC1">
        <w:rPr>
          <w:rFonts w:ascii="Verdana" w:hAnsi="Verdana"/>
          <w:sz w:val="20"/>
          <w:szCs w:val="20"/>
          <w:lang w:val="es-CR"/>
        </w:rPr>
        <w:t xml:space="preserve">se solicita que </w:t>
      </w:r>
      <w:r w:rsidR="00BF5CC1" w:rsidRPr="00BF5CC1">
        <w:rPr>
          <w:rFonts w:ascii="Verdana" w:hAnsi="Verdana"/>
          <w:sz w:val="20"/>
          <w:szCs w:val="20"/>
          <w:lang w:val="es-CR"/>
        </w:rPr>
        <w:t xml:space="preserve">presente información actualizada y detallada sobre la adopción de medidas destinadas a hacer efectiva la captura y enjuiciamiento de los imputados, al igual que sobre los avances en la identificación, captura, enjuiciamiento y, de ser el caso, sanción de otros posibles perpetradores de las violaciones a los derechos </w:t>
      </w:r>
      <w:r w:rsidR="00BF5CC1">
        <w:rPr>
          <w:rFonts w:ascii="Verdana" w:hAnsi="Verdana"/>
          <w:sz w:val="20"/>
          <w:szCs w:val="20"/>
          <w:lang w:val="es-CR"/>
        </w:rPr>
        <w:t xml:space="preserve">humanos ocurridas en </w:t>
      </w:r>
      <w:r w:rsidR="00BF5CC1" w:rsidRPr="00BF5CC1">
        <w:rPr>
          <w:rFonts w:ascii="Verdana" w:hAnsi="Verdana"/>
          <w:sz w:val="20"/>
          <w:szCs w:val="20"/>
          <w:lang w:val="es-CR"/>
        </w:rPr>
        <w:t xml:space="preserve">dicho caso </w:t>
      </w:r>
      <w:r w:rsidR="00140342" w:rsidRPr="00BF5CC1">
        <w:rPr>
          <w:rFonts w:ascii="Verdana" w:hAnsi="Verdana"/>
          <w:sz w:val="20"/>
          <w:szCs w:val="20"/>
          <w:lang w:val="es-CR"/>
        </w:rPr>
        <w:t>(</w:t>
      </w:r>
      <w:r w:rsidR="00140342" w:rsidRPr="00BF5CC1">
        <w:rPr>
          <w:rFonts w:ascii="Verdana" w:hAnsi="Verdana"/>
          <w:i/>
          <w:sz w:val="20"/>
          <w:szCs w:val="20"/>
          <w:lang w:val="es-CR"/>
        </w:rPr>
        <w:t xml:space="preserve">supra </w:t>
      </w:r>
      <w:r w:rsidR="00140342" w:rsidRPr="00BF5CC1">
        <w:rPr>
          <w:rFonts w:ascii="Verdana" w:hAnsi="Verdana"/>
          <w:sz w:val="20"/>
          <w:szCs w:val="20"/>
          <w:lang w:val="es-CR"/>
        </w:rPr>
        <w:t xml:space="preserve">Considerando </w:t>
      </w:r>
      <w:r w:rsidR="00BB03B9" w:rsidRPr="00BF5CC1">
        <w:rPr>
          <w:rFonts w:ascii="Verdana" w:hAnsi="Verdana"/>
          <w:sz w:val="20"/>
          <w:szCs w:val="20"/>
          <w:lang w:val="es-CR"/>
        </w:rPr>
        <w:t>94)</w:t>
      </w:r>
      <w:r w:rsidR="00BF5CC1" w:rsidRPr="00BF5CC1">
        <w:rPr>
          <w:rFonts w:ascii="Verdana" w:hAnsi="Verdana"/>
          <w:sz w:val="20"/>
          <w:szCs w:val="20"/>
          <w:lang w:val="es-CR"/>
        </w:rPr>
        <w:t>.</w:t>
      </w:r>
    </w:p>
    <w:p w14:paraId="1F995738" w14:textId="77777777" w:rsidR="00F15D25" w:rsidRPr="00BF5CC1" w:rsidRDefault="00F15D25" w:rsidP="00D901B8">
      <w:pPr>
        <w:spacing w:after="0" w:line="240" w:lineRule="auto"/>
        <w:ind w:right="1444"/>
        <w:jc w:val="both"/>
        <w:rPr>
          <w:rFonts w:ascii="Verdana" w:hAnsi="Verdana"/>
          <w:sz w:val="20"/>
          <w:szCs w:val="20"/>
          <w:lang w:val="es-CR"/>
        </w:rPr>
      </w:pPr>
    </w:p>
    <w:p w14:paraId="1926C0FC" w14:textId="440FC28C" w:rsidR="00F15D25" w:rsidRPr="00BF5CC1" w:rsidRDefault="00986F05" w:rsidP="00E25D43">
      <w:pPr>
        <w:pStyle w:val="ListParagraph"/>
        <w:numPr>
          <w:ilvl w:val="1"/>
          <w:numId w:val="43"/>
        </w:numPr>
        <w:tabs>
          <w:tab w:val="left" w:pos="1620"/>
        </w:tabs>
        <w:spacing w:after="0" w:line="240" w:lineRule="auto"/>
        <w:ind w:left="1620" w:right="1444" w:hanging="540"/>
        <w:jc w:val="both"/>
        <w:rPr>
          <w:rFonts w:ascii="Verdana" w:hAnsi="Verdana"/>
          <w:sz w:val="20"/>
          <w:szCs w:val="20"/>
          <w:lang w:val="es-CR"/>
        </w:rPr>
      </w:pPr>
      <w:r w:rsidRPr="00BF5CC1">
        <w:rPr>
          <w:rFonts w:ascii="Verdana" w:hAnsi="Verdana"/>
          <w:sz w:val="20"/>
          <w:szCs w:val="20"/>
          <w:lang w:val="es-UY"/>
        </w:rPr>
        <w:t xml:space="preserve">Caso </w:t>
      </w:r>
      <w:r w:rsidRPr="00BF5CC1">
        <w:rPr>
          <w:rFonts w:ascii="Verdana" w:hAnsi="Verdana"/>
          <w:i/>
          <w:sz w:val="20"/>
          <w:szCs w:val="20"/>
          <w:lang w:val="es-UY"/>
        </w:rPr>
        <w:t>Carpio Nicolle</w:t>
      </w:r>
      <w:r w:rsidR="00D63646" w:rsidRPr="00BF5CC1">
        <w:rPr>
          <w:rFonts w:ascii="Verdana" w:hAnsi="Verdana"/>
          <w:i/>
          <w:sz w:val="20"/>
          <w:szCs w:val="20"/>
          <w:lang w:val="es-UY"/>
        </w:rPr>
        <w:t xml:space="preserve"> </w:t>
      </w:r>
      <w:r w:rsidR="00CD4CE0" w:rsidRPr="00BF5CC1">
        <w:rPr>
          <w:rFonts w:ascii="Verdana" w:hAnsi="Verdana"/>
          <w:sz w:val="20"/>
          <w:szCs w:val="20"/>
          <w:lang w:val="es-UY"/>
        </w:rPr>
        <w:t>se solicita que</w:t>
      </w:r>
      <w:r w:rsidR="00AF63B8" w:rsidRPr="00BF5CC1">
        <w:rPr>
          <w:rFonts w:ascii="Verdana" w:hAnsi="Verdana"/>
          <w:sz w:val="20"/>
          <w:szCs w:val="20"/>
          <w:lang w:val="es-UY"/>
        </w:rPr>
        <w:t xml:space="preserve"> presente</w:t>
      </w:r>
      <w:r w:rsidR="00CD4CE0" w:rsidRPr="00BF5CC1">
        <w:rPr>
          <w:rFonts w:ascii="Verdana" w:hAnsi="Verdana"/>
          <w:sz w:val="20"/>
          <w:szCs w:val="20"/>
          <w:lang w:val="es-UY"/>
        </w:rPr>
        <w:t xml:space="preserve"> </w:t>
      </w:r>
      <w:r w:rsidR="00AF63B8" w:rsidRPr="00BF5CC1">
        <w:rPr>
          <w:rFonts w:ascii="Verdana" w:hAnsi="Verdana"/>
          <w:sz w:val="20"/>
          <w:szCs w:val="20"/>
          <w:lang w:val="es-CR"/>
        </w:rPr>
        <w:t>un cronograma de las diligencias por realizar con el fin de identificar, juzgar y</w:t>
      </w:r>
      <w:r w:rsidR="00BF5CC1" w:rsidRPr="00BF5CC1">
        <w:rPr>
          <w:rFonts w:ascii="Verdana" w:hAnsi="Verdana"/>
          <w:sz w:val="20"/>
          <w:szCs w:val="20"/>
          <w:lang w:val="es-CR"/>
        </w:rPr>
        <w:t>, en su caso, sancionar</w:t>
      </w:r>
      <w:r w:rsidR="00AF63B8" w:rsidRPr="00BF5CC1">
        <w:rPr>
          <w:rFonts w:ascii="Verdana" w:hAnsi="Verdana"/>
          <w:sz w:val="20"/>
          <w:szCs w:val="20"/>
          <w:lang w:val="es-CR"/>
        </w:rPr>
        <w:t xml:space="preserve"> a los responsables de las violaciones a derechos humanos identificadas en el caso</w:t>
      </w:r>
      <w:r w:rsidR="003D2A44" w:rsidRPr="00BF5CC1">
        <w:rPr>
          <w:rFonts w:ascii="Verdana" w:hAnsi="Verdana"/>
          <w:sz w:val="20"/>
          <w:szCs w:val="20"/>
          <w:lang w:val="es-CR"/>
        </w:rPr>
        <w:t xml:space="preserve"> </w:t>
      </w:r>
      <w:r w:rsidR="00A93D08" w:rsidRPr="00BF5CC1">
        <w:rPr>
          <w:rFonts w:ascii="Verdana" w:hAnsi="Verdana"/>
          <w:sz w:val="20"/>
          <w:szCs w:val="20"/>
          <w:lang w:val="es-CR"/>
        </w:rPr>
        <w:t>(</w:t>
      </w:r>
      <w:r w:rsidR="00A93D08" w:rsidRPr="00BF5CC1">
        <w:rPr>
          <w:rFonts w:ascii="Verdana" w:hAnsi="Verdana"/>
          <w:i/>
          <w:sz w:val="20"/>
          <w:szCs w:val="20"/>
          <w:lang w:val="es-CR"/>
        </w:rPr>
        <w:t>supra</w:t>
      </w:r>
      <w:r w:rsidR="00BF5CC1" w:rsidRPr="00BF5CC1">
        <w:rPr>
          <w:rFonts w:ascii="Verdana" w:hAnsi="Verdana"/>
          <w:sz w:val="20"/>
          <w:szCs w:val="20"/>
          <w:lang w:val="es-CR"/>
        </w:rPr>
        <w:t xml:space="preserve"> Considerando 100</w:t>
      </w:r>
      <w:r w:rsidR="00A93D08" w:rsidRPr="00BF5CC1">
        <w:rPr>
          <w:rFonts w:ascii="Verdana" w:hAnsi="Verdana"/>
          <w:sz w:val="20"/>
          <w:szCs w:val="20"/>
          <w:lang w:val="es-CR"/>
        </w:rPr>
        <w:t>)</w:t>
      </w:r>
      <w:r w:rsidR="009247DA" w:rsidRPr="00BF5CC1">
        <w:rPr>
          <w:rFonts w:ascii="Verdana" w:hAnsi="Verdana"/>
          <w:sz w:val="20"/>
          <w:szCs w:val="20"/>
          <w:lang w:val="es-UY"/>
        </w:rPr>
        <w:t xml:space="preserve">. </w:t>
      </w:r>
    </w:p>
    <w:p w14:paraId="7EC63AEA" w14:textId="77777777" w:rsidR="00F15D25" w:rsidRPr="00BF5CC1" w:rsidRDefault="00F15D25" w:rsidP="00D901B8">
      <w:pPr>
        <w:pStyle w:val="ListParagraph"/>
        <w:spacing w:after="0" w:line="240" w:lineRule="auto"/>
        <w:ind w:left="1440" w:right="1444"/>
        <w:jc w:val="both"/>
        <w:rPr>
          <w:rFonts w:ascii="Verdana" w:hAnsi="Verdana"/>
          <w:sz w:val="20"/>
          <w:szCs w:val="20"/>
          <w:lang w:val="es-CR"/>
        </w:rPr>
      </w:pPr>
    </w:p>
    <w:p w14:paraId="15CF2C21" w14:textId="653B98DD" w:rsidR="007071EA" w:rsidRPr="00BF5CC1" w:rsidRDefault="00986F05" w:rsidP="00E25D43">
      <w:pPr>
        <w:pStyle w:val="ListParagraph"/>
        <w:numPr>
          <w:ilvl w:val="1"/>
          <w:numId w:val="43"/>
        </w:numPr>
        <w:tabs>
          <w:tab w:val="left" w:pos="1620"/>
        </w:tabs>
        <w:spacing w:after="0" w:line="240" w:lineRule="auto"/>
        <w:ind w:left="1620" w:right="1444" w:hanging="540"/>
        <w:jc w:val="both"/>
        <w:rPr>
          <w:rFonts w:ascii="Verdana" w:hAnsi="Verdana"/>
          <w:sz w:val="20"/>
          <w:szCs w:val="20"/>
          <w:lang w:val="es-CR"/>
        </w:rPr>
      </w:pPr>
      <w:r w:rsidRPr="00BF5CC1">
        <w:rPr>
          <w:rFonts w:ascii="Verdana" w:hAnsi="Verdana"/>
          <w:sz w:val="20"/>
          <w:szCs w:val="20"/>
          <w:lang w:val="es-UY"/>
        </w:rPr>
        <w:t xml:space="preserve">Caso </w:t>
      </w:r>
      <w:r w:rsidRPr="00BF5CC1">
        <w:rPr>
          <w:rFonts w:ascii="Verdana" w:hAnsi="Verdana"/>
          <w:i/>
          <w:sz w:val="20"/>
          <w:szCs w:val="20"/>
          <w:lang w:val="es-UY"/>
        </w:rPr>
        <w:t xml:space="preserve">Tiu Tojín </w:t>
      </w:r>
      <w:r w:rsidR="009A1864" w:rsidRPr="00BF5CC1">
        <w:rPr>
          <w:rFonts w:ascii="Verdana" w:hAnsi="Verdana"/>
          <w:sz w:val="20"/>
          <w:szCs w:val="20"/>
          <w:lang w:val="es-UY"/>
        </w:rPr>
        <w:t xml:space="preserve">se solicita que presente </w:t>
      </w:r>
      <w:r w:rsidR="009A1864" w:rsidRPr="00BF5CC1">
        <w:rPr>
          <w:rFonts w:ascii="Verdana" w:hAnsi="Verdana"/>
          <w:sz w:val="20"/>
          <w:szCs w:val="20"/>
          <w:lang w:val="es-CR"/>
        </w:rPr>
        <w:t>un cronograma de las diligencias por realizar con el fin de identificar, juzgar y</w:t>
      </w:r>
      <w:r w:rsidR="00BF5CC1" w:rsidRPr="00BF5CC1">
        <w:rPr>
          <w:rFonts w:ascii="Verdana" w:hAnsi="Verdana"/>
          <w:sz w:val="20"/>
          <w:szCs w:val="20"/>
          <w:lang w:val="es-CR"/>
        </w:rPr>
        <w:t>, en su caso, sancionar</w:t>
      </w:r>
      <w:r w:rsidR="009A1864" w:rsidRPr="00BF5CC1">
        <w:rPr>
          <w:rFonts w:ascii="Verdana" w:hAnsi="Verdana"/>
          <w:sz w:val="20"/>
          <w:szCs w:val="20"/>
          <w:lang w:val="es-CR"/>
        </w:rPr>
        <w:t xml:space="preserve"> a los responsables de las violaciones a derechos humanos identificadas en el caso </w:t>
      </w:r>
      <w:r w:rsidR="007071EA" w:rsidRPr="00BF5CC1">
        <w:rPr>
          <w:rFonts w:ascii="Verdana" w:hAnsi="Verdana"/>
          <w:sz w:val="20"/>
          <w:szCs w:val="20"/>
          <w:lang w:val="es-CR"/>
        </w:rPr>
        <w:t>(</w:t>
      </w:r>
      <w:r w:rsidR="007071EA" w:rsidRPr="00BF5CC1">
        <w:rPr>
          <w:rFonts w:ascii="Verdana" w:hAnsi="Verdana"/>
          <w:i/>
          <w:sz w:val="20"/>
          <w:szCs w:val="20"/>
          <w:lang w:val="es-CR"/>
        </w:rPr>
        <w:t xml:space="preserve">supra </w:t>
      </w:r>
      <w:r w:rsidR="007071EA" w:rsidRPr="00BF5CC1">
        <w:rPr>
          <w:rFonts w:ascii="Verdana" w:hAnsi="Verdana"/>
          <w:sz w:val="20"/>
          <w:szCs w:val="20"/>
          <w:lang w:val="es-CR"/>
        </w:rPr>
        <w:t>Considerando</w:t>
      </w:r>
      <w:r w:rsidR="00BF5CC1" w:rsidRPr="00BF5CC1">
        <w:rPr>
          <w:rFonts w:ascii="Verdana" w:hAnsi="Verdana"/>
          <w:sz w:val="20"/>
          <w:szCs w:val="20"/>
          <w:lang w:val="es-CR"/>
        </w:rPr>
        <w:t xml:space="preserve"> 107</w:t>
      </w:r>
      <w:r w:rsidR="007071EA" w:rsidRPr="00BF5CC1">
        <w:rPr>
          <w:rFonts w:ascii="Verdana" w:hAnsi="Verdana"/>
          <w:sz w:val="20"/>
          <w:szCs w:val="20"/>
          <w:lang w:val="es-CR"/>
        </w:rPr>
        <w:t>).</w:t>
      </w:r>
    </w:p>
    <w:p w14:paraId="47DCB10D" w14:textId="77777777" w:rsidR="00F15D25" w:rsidRPr="0032068E" w:rsidRDefault="00F15D25" w:rsidP="00D901B8">
      <w:pPr>
        <w:pStyle w:val="ListParagraph"/>
        <w:spacing w:after="0" w:line="240" w:lineRule="auto"/>
        <w:ind w:left="1440" w:right="1444"/>
        <w:jc w:val="both"/>
        <w:rPr>
          <w:rFonts w:ascii="Verdana" w:hAnsi="Verdana"/>
          <w:sz w:val="20"/>
          <w:szCs w:val="20"/>
          <w:lang w:val="es-CR"/>
        </w:rPr>
      </w:pPr>
    </w:p>
    <w:p w14:paraId="78810900" w14:textId="2681482F" w:rsidR="00F15D25" w:rsidRPr="00827E31" w:rsidRDefault="00986F05" w:rsidP="00827E31">
      <w:pPr>
        <w:pStyle w:val="ListParagraph"/>
        <w:numPr>
          <w:ilvl w:val="1"/>
          <w:numId w:val="43"/>
        </w:numPr>
        <w:tabs>
          <w:tab w:val="left" w:pos="1620"/>
        </w:tabs>
        <w:spacing w:after="0" w:line="240" w:lineRule="auto"/>
        <w:ind w:left="1620" w:right="1444" w:hanging="540"/>
        <w:jc w:val="both"/>
        <w:rPr>
          <w:rFonts w:ascii="Verdana" w:hAnsi="Verdana"/>
          <w:sz w:val="20"/>
          <w:szCs w:val="20"/>
          <w:lang w:val="es-CR"/>
        </w:rPr>
      </w:pPr>
      <w:r w:rsidRPr="0032068E">
        <w:rPr>
          <w:rFonts w:ascii="Verdana" w:hAnsi="Verdana"/>
          <w:sz w:val="20"/>
          <w:szCs w:val="20"/>
          <w:lang w:val="es-UY"/>
        </w:rPr>
        <w:t xml:space="preserve">Caso </w:t>
      </w:r>
      <w:r w:rsidRPr="0032068E">
        <w:rPr>
          <w:rFonts w:ascii="Verdana" w:hAnsi="Verdana"/>
          <w:i/>
          <w:sz w:val="20"/>
          <w:szCs w:val="20"/>
          <w:lang w:val="es-UY"/>
        </w:rPr>
        <w:t>Masacre de las Dos Erres</w:t>
      </w:r>
      <w:r w:rsidR="0091613D" w:rsidRPr="0032068E">
        <w:rPr>
          <w:rFonts w:ascii="Verdana" w:hAnsi="Verdana"/>
          <w:i/>
          <w:sz w:val="20"/>
          <w:szCs w:val="20"/>
          <w:lang w:val="es-UY"/>
        </w:rPr>
        <w:t xml:space="preserve"> </w:t>
      </w:r>
      <w:r w:rsidR="0091613D" w:rsidRPr="0032068E">
        <w:rPr>
          <w:rFonts w:ascii="Verdana" w:hAnsi="Verdana"/>
          <w:sz w:val="20"/>
          <w:szCs w:val="20"/>
          <w:lang w:val="es-UY"/>
        </w:rPr>
        <w:t>se solicita que</w:t>
      </w:r>
      <w:r w:rsidR="00CD4CE0" w:rsidRPr="0032068E">
        <w:rPr>
          <w:rFonts w:ascii="Verdana" w:hAnsi="Verdana"/>
          <w:sz w:val="20"/>
          <w:szCs w:val="20"/>
          <w:lang w:val="es-UY"/>
        </w:rPr>
        <w:t xml:space="preserve"> </w:t>
      </w:r>
      <w:r w:rsidR="00827E31">
        <w:rPr>
          <w:rFonts w:ascii="Verdana" w:hAnsi="Verdana"/>
          <w:sz w:val="20"/>
          <w:szCs w:val="20"/>
          <w:lang w:val="es-CR"/>
        </w:rPr>
        <w:t xml:space="preserve">aporte </w:t>
      </w:r>
      <w:r w:rsidR="00827E31" w:rsidRPr="00827E31">
        <w:rPr>
          <w:rFonts w:ascii="Verdana" w:hAnsi="Verdana"/>
          <w:sz w:val="20"/>
          <w:szCs w:val="20"/>
          <w:lang w:val="es-CR"/>
        </w:rPr>
        <w:t xml:space="preserve">información actualizada y detallada sobre la investigación de los hechos del presente caso, en particular sobre el proceso seguido contra el imputado Ríos Montt, y la determinación de la responsabilidad penal de los restantes imputados señalados por el Ministerio Público, así como de cualquier otra persona que pueda estar involucrada con la Masacre de las Dos Erres. Asimismo, se requiere que el Estado presente información sobre las medidas que adopte con el fin de superar los obstáculos estructurales que afectan las investigaciones, enjuiciamientos y capturas de los responsables de dichos hechos, entre ellas la ejecución de las órdenes de aprehensión y de extradición de aquellos imputados que se encuentren fuera de Guatemala. </w:t>
      </w:r>
      <w:r w:rsidR="00827E31">
        <w:rPr>
          <w:rFonts w:ascii="Verdana" w:hAnsi="Verdana"/>
          <w:sz w:val="20"/>
          <w:szCs w:val="20"/>
          <w:lang w:val="es-CR"/>
        </w:rPr>
        <w:t>S</w:t>
      </w:r>
      <w:r w:rsidR="00827E31" w:rsidRPr="00827E31">
        <w:rPr>
          <w:rFonts w:ascii="Verdana" w:hAnsi="Verdana"/>
          <w:sz w:val="20"/>
          <w:szCs w:val="20"/>
          <w:lang w:val="es-CR"/>
        </w:rPr>
        <w:t xml:space="preserve">e solicita a Guatemala que </w:t>
      </w:r>
      <w:r w:rsidR="00827E31" w:rsidRPr="00827E31">
        <w:rPr>
          <w:rFonts w:ascii="Verdana" w:hAnsi="Verdana"/>
          <w:sz w:val="20"/>
          <w:szCs w:val="20"/>
          <w:lang w:val="es-UY"/>
        </w:rPr>
        <w:t xml:space="preserve">presente </w:t>
      </w:r>
      <w:r w:rsidR="00827E31" w:rsidRPr="00827E31">
        <w:rPr>
          <w:rFonts w:ascii="Verdana" w:hAnsi="Verdana"/>
          <w:sz w:val="20"/>
          <w:szCs w:val="20"/>
          <w:lang w:val="es-CR"/>
        </w:rPr>
        <w:t>un cronograma de las diligencias por realizar con el fin de identificar, juzgar y, en su caso, sancionar, a los responsables de las violaciones a derechos humanos identificadas en el caso</w:t>
      </w:r>
      <w:r w:rsidR="00A93D08" w:rsidRPr="00827E31">
        <w:rPr>
          <w:rFonts w:ascii="Verdana" w:hAnsi="Verdana"/>
          <w:sz w:val="20"/>
          <w:szCs w:val="20"/>
          <w:lang w:val="es-CR"/>
        </w:rPr>
        <w:t xml:space="preserve"> (</w:t>
      </w:r>
      <w:r w:rsidR="00A93D08" w:rsidRPr="00827E31">
        <w:rPr>
          <w:rFonts w:ascii="Verdana" w:hAnsi="Verdana"/>
          <w:i/>
          <w:sz w:val="20"/>
          <w:szCs w:val="20"/>
          <w:lang w:val="es-CR"/>
        </w:rPr>
        <w:t xml:space="preserve">supra </w:t>
      </w:r>
      <w:r w:rsidR="00030BF1" w:rsidRPr="00827E31">
        <w:rPr>
          <w:rFonts w:ascii="Verdana" w:hAnsi="Verdana"/>
          <w:sz w:val="20"/>
          <w:szCs w:val="20"/>
          <w:lang w:val="es-CR"/>
        </w:rPr>
        <w:t xml:space="preserve">Considerando </w:t>
      </w:r>
      <w:r w:rsidR="00030BF1" w:rsidRPr="00827E31">
        <w:rPr>
          <w:rFonts w:ascii="Verdana" w:hAnsi="Verdana"/>
          <w:sz w:val="20"/>
          <w:szCs w:val="20"/>
          <w:lang w:val="es-CR"/>
        </w:rPr>
        <w:fldChar w:fldCharType="begin"/>
      </w:r>
      <w:r w:rsidR="00030BF1" w:rsidRPr="00827E31">
        <w:rPr>
          <w:rFonts w:ascii="Verdana" w:hAnsi="Verdana"/>
          <w:sz w:val="20"/>
          <w:szCs w:val="20"/>
          <w:lang w:val="es-CR"/>
        </w:rPr>
        <w:instrText xml:space="preserve"> REF _Ref437964485 \r \h </w:instrText>
      </w:r>
      <w:r w:rsidR="00030BF1" w:rsidRPr="00827E31">
        <w:rPr>
          <w:rFonts w:ascii="Verdana" w:hAnsi="Verdana"/>
          <w:sz w:val="20"/>
          <w:szCs w:val="20"/>
          <w:lang w:val="es-CR"/>
        </w:rPr>
      </w:r>
      <w:r w:rsidR="00030BF1" w:rsidRPr="00827E31">
        <w:rPr>
          <w:rFonts w:ascii="Verdana" w:hAnsi="Verdana"/>
          <w:sz w:val="20"/>
          <w:szCs w:val="20"/>
          <w:lang w:val="es-CR"/>
        </w:rPr>
        <w:fldChar w:fldCharType="separate"/>
      </w:r>
      <w:r w:rsidR="007E3C4B">
        <w:rPr>
          <w:rFonts w:ascii="Verdana" w:hAnsi="Verdana"/>
          <w:sz w:val="20"/>
          <w:szCs w:val="20"/>
          <w:lang w:val="es-CR"/>
        </w:rPr>
        <w:t>114</w:t>
      </w:r>
      <w:r w:rsidR="00030BF1" w:rsidRPr="00827E31">
        <w:rPr>
          <w:rFonts w:ascii="Verdana" w:hAnsi="Verdana"/>
          <w:sz w:val="20"/>
          <w:szCs w:val="20"/>
          <w:lang w:val="es-CR"/>
        </w:rPr>
        <w:fldChar w:fldCharType="end"/>
      </w:r>
      <w:r w:rsidR="00A93D08" w:rsidRPr="00827E31">
        <w:rPr>
          <w:rFonts w:ascii="Verdana" w:hAnsi="Verdana"/>
          <w:sz w:val="20"/>
          <w:szCs w:val="20"/>
          <w:lang w:val="es-CR"/>
        </w:rPr>
        <w:t>)</w:t>
      </w:r>
      <w:r w:rsidR="004D1E54" w:rsidRPr="00827E31">
        <w:rPr>
          <w:rFonts w:ascii="Verdana" w:hAnsi="Verdana"/>
          <w:sz w:val="20"/>
          <w:szCs w:val="20"/>
          <w:lang w:val="es-CR"/>
        </w:rPr>
        <w:t>.</w:t>
      </w:r>
    </w:p>
    <w:p w14:paraId="72B7852C" w14:textId="77777777" w:rsidR="00F15D25" w:rsidRPr="0032068E" w:rsidRDefault="00F15D25" w:rsidP="00D901B8">
      <w:pPr>
        <w:tabs>
          <w:tab w:val="left" w:pos="1620"/>
        </w:tabs>
        <w:spacing w:after="0" w:line="240" w:lineRule="auto"/>
        <w:ind w:right="1444"/>
        <w:jc w:val="both"/>
        <w:rPr>
          <w:rFonts w:ascii="Verdana" w:hAnsi="Verdana"/>
          <w:sz w:val="20"/>
          <w:szCs w:val="20"/>
          <w:lang w:val="es-CR"/>
        </w:rPr>
      </w:pPr>
    </w:p>
    <w:p w14:paraId="057CDE7A" w14:textId="38ED317B" w:rsidR="00057F9E" w:rsidRPr="00827E31" w:rsidRDefault="00986F05" w:rsidP="00E25D43">
      <w:pPr>
        <w:pStyle w:val="ListParagraph"/>
        <w:numPr>
          <w:ilvl w:val="1"/>
          <w:numId w:val="43"/>
        </w:numPr>
        <w:tabs>
          <w:tab w:val="left" w:pos="1620"/>
        </w:tabs>
        <w:spacing w:after="0" w:line="240" w:lineRule="auto"/>
        <w:ind w:left="1620" w:right="1444" w:hanging="540"/>
        <w:jc w:val="both"/>
        <w:rPr>
          <w:rFonts w:ascii="Verdana" w:hAnsi="Verdana"/>
          <w:sz w:val="20"/>
          <w:szCs w:val="20"/>
          <w:lang w:val="es-UY"/>
        </w:rPr>
      </w:pPr>
      <w:r w:rsidRPr="00827E31">
        <w:rPr>
          <w:rFonts w:ascii="Verdana" w:hAnsi="Verdana"/>
          <w:sz w:val="20"/>
          <w:szCs w:val="20"/>
          <w:lang w:val="es-UY"/>
        </w:rPr>
        <w:t xml:space="preserve">Caso </w:t>
      </w:r>
      <w:r w:rsidRPr="00827E31">
        <w:rPr>
          <w:rFonts w:ascii="Verdana" w:hAnsi="Verdana"/>
          <w:i/>
          <w:sz w:val="20"/>
          <w:szCs w:val="20"/>
          <w:lang w:val="es-UY"/>
        </w:rPr>
        <w:t>Chitay Nech</w:t>
      </w:r>
      <w:r w:rsidR="008B6439" w:rsidRPr="00827E31">
        <w:rPr>
          <w:rFonts w:ascii="Verdana" w:hAnsi="Verdana"/>
          <w:i/>
          <w:sz w:val="20"/>
          <w:szCs w:val="20"/>
          <w:lang w:val="es-UY"/>
        </w:rPr>
        <w:t xml:space="preserve"> </w:t>
      </w:r>
      <w:r w:rsidR="0091613D" w:rsidRPr="00827E31">
        <w:rPr>
          <w:rFonts w:ascii="Verdana" w:hAnsi="Verdana"/>
          <w:sz w:val="20"/>
          <w:szCs w:val="20"/>
          <w:lang w:val="es-UY"/>
        </w:rPr>
        <w:t>se solicita que</w:t>
      </w:r>
      <w:r w:rsidR="00CD4CE0" w:rsidRPr="00827E31">
        <w:rPr>
          <w:rFonts w:ascii="Verdana" w:hAnsi="Verdana"/>
          <w:sz w:val="20"/>
          <w:szCs w:val="20"/>
          <w:lang w:val="es-UY"/>
        </w:rPr>
        <w:t xml:space="preserve"> a</w:t>
      </w:r>
      <w:r w:rsidR="00057F9E" w:rsidRPr="00827E31">
        <w:rPr>
          <w:rFonts w:ascii="Verdana" w:hAnsi="Verdana"/>
          <w:sz w:val="20"/>
          <w:szCs w:val="20"/>
          <w:lang w:val="es-CR"/>
        </w:rPr>
        <w:t xml:space="preserve">porte </w:t>
      </w:r>
      <w:r w:rsidR="004169AE" w:rsidRPr="00827E31">
        <w:rPr>
          <w:rFonts w:ascii="Verdana" w:hAnsi="Verdana"/>
          <w:sz w:val="20"/>
          <w:szCs w:val="20"/>
          <w:lang w:val="es-CR"/>
        </w:rPr>
        <w:t>un cronograma de las diligencias por realizar con el fin de identificar, juzgar y en su caso, sancionar, a los responsables de las violaciones a derechos humanos identificadas en el caso</w:t>
      </w:r>
      <w:r w:rsidR="00057F9E" w:rsidRPr="00827E31">
        <w:rPr>
          <w:rFonts w:ascii="Verdana" w:hAnsi="Verdana"/>
          <w:sz w:val="20"/>
          <w:szCs w:val="20"/>
          <w:lang w:val="es-CR"/>
        </w:rPr>
        <w:t xml:space="preserve"> (</w:t>
      </w:r>
      <w:r w:rsidR="00057F9E" w:rsidRPr="00827E31">
        <w:rPr>
          <w:rFonts w:ascii="Verdana" w:hAnsi="Verdana"/>
          <w:i/>
          <w:sz w:val="20"/>
          <w:szCs w:val="20"/>
          <w:lang w:val="es-CR"/>
        </w:rPr>
        <w:t xml:space="preserve">supra </w:t>
      </w:r>
      <w:r w:rsidR="00030BF1" w:rsidRPr="00827E31">
        <w:rPr>
          <w:rFonts w:ascii="Verdana" w:hAnsi="Verdana"/>
          <w:sz w:val="20"/>
          <w:szCs w:val="20"/>
          <w:lang w:val="es-CR"/>
        </w:rPr>
        <w:t>Considerando</w:t>
      </w:r>
      <w:r w:rsidR="00057F9E" w:rsidRPr="00827E31">
        <w:rPr>
          <w:rFonts w:ascii="Verdana" w:hAnsi="Verdana"/>
          <w:sz w:val="20"/>
          <w:szCs w:val="20"/>
          <w:lang w:val="es-CR"/>
        </w:rPr>
        <w:t xml:space="preserve"> </w:t>
      </w:r>
      <w:r w:rsidR="00030BF1" w:rsidRPr="00827E31">
        <w:rPr>
          <w:rFonts w:ascii="Verdana" w:hAnsi="Verdana"/>
          <w:sz w:val="20"/>
          <w:szCs w:val="20"/>
          <w:lang w:val="es-CR"/>
        </w:rPr>
        <w:fldChar w:fldCharType="begin"/>
      </w:r>
      <w:r w:rsidR="00030BF1" w:rsidRPr="00827E31">
        <w:rPr>
          <w:rFonts w:ascii="Verdana" w:hAnsi="Verdana"/>
          <w:sz w:val="20"/>
          <w:szCs w:val="20"/>
          <w:lang w:val="es-CR"/>
        </w:rPr>
        <w:instrText xml:space="preserve"> REF _Ref437964499 \r \h </w:instrText>
      </w:r>
      <w:r w:rsidR="00030BF1" w:rsidRPr="00827E31">
        <w:rPr>
          <w:rFonts w:ascii="Verdana" w:hAnsi="Verdana"/>
          <w:sz w:val="20"/>
          <w:szCs w:val="20"/>
          <w:lang w:val="es-CR"/>
        </w:rPr>
      </w:r>
      <w:r w:rsidR="00030BF1" w:rsidRPr="00827E31">
        <w:rPr>
          <w:rFonts w:ascii="Verdana" w:hAnsi="Verdana"/>
          <w:sz w:val="20"/>
          <w:szCs w:val="20"/>
          <w:lang w:val="es-CR"/>
        </w:rPr>
        <w:fldChar w:fldCharType="separate"/>
      </w:r>
      <w:r w:rsidR="007E3C4B">
        <w:rPr>
          <w:rFonts w:ascii="Verdana" w:hAnsi="Verdana"/>
          <w:sz w:val="20"/>
          <w:szCs w:val="20"/>
          <w:lang w:val="es-CR"/>
        </w:rPr>
        <w:t>121</w:t>
      </w:r>
      <w:r w:rsidR="00030BF1" w:rsidRPr="00827E31">
        <w:rPr>
          <w:rFonts w:ascii="Verdana" w:hAnsi="Verdana"/>
          <w:sz w:val="20"/>
          <w:szCs w:val="20"/>
          <w:lang w:val="es-CR"/>
        </w:rPr>
        <w:fldChar w:fldCharType="end"/>
      </w:r>
      <w:r w:rsidR="00057F9E" w:rsidRPr="00827E31">
        <w:rPr>
          <w:rFonts w:ascii="Verdana" w:hAnsi="Verdana"/>
          <w:sz w:val="20"/>
          <w:szCs w:val="20"/>
          <w:lang w:val="es-CR"/>
        </w:rPr>
        <w:t>).</w:t>
      </w:r>
    </w:p>
    <w:p w14:paraId="226F9A9B" w14:textId="77777777" w:rsidR="00F15D25" w:rsidRPr="0032068E" w:rsidRDefault="00F15D25" w:rsidP="00D901B8">
      <w:pPr>
        <w:pStyle w:val="ListParagraph"/>
        <w:spacing w:after="0" w:line="240" w:lineRule="auto"/>
        <w:ind w:left="0" w:right="1444"/>
        <w:jc w:val="both"/>
        <w:rPr>
          <w:rFonts w:ascii="Verdana" w:hAnsi="Verdana"/>
          <w:sz w:val="20"/>
          <w:szCs w:val="20"/>
          <w:lang w:val="es-CR"/>
        </w:rPr>
      </w:pPr>
    </w:p>
    <w:p w14:paraId="01DE8BEA" w14:textId="488A09FD" w:rsidR="008710DC" w:rsidRPr="0032068E" w:rsidRDefault="008710DC" w:rsidP="008710DC">
      <w:pPr>
        <w:pStyle w:val="ListParagraph"/>
        <w:numPr>
          <w:ilvl w:val="0"/>
          <w:numId w:val="2"/>
        </w:numPr>
        <w:spacing w:after="0" w:line="240" w:lineRule="auto"/>
        <w:ind w:left="0" w:right="1444" w:firstLine="0"/>
        <w:jc w:val="both"/>
        <w:rPr>
          <w:rFonts w:ascii="Verdana" w:hAnsi="Verdana" w:cs="Verdana"/>
          <w:sz w:val="20"/>
          <w:szCs w:val="20"/>
          <w:lang w:val="es-ES_tradnl"/>
        </w:rPr>
      </w:pPr>
      <w:r w:rsidRPr="0032068E">
        <w:rPr>
          <w:rFonts w:ascii="Verdana" w:hAnsi="Verdana"/>
          <w:sz w:val="20"/>
          <w:szCs w:val="20"/>
          <w:lang w:val="es-CR"/>
        </w:rPr>
        <w:lastRenderedPageBreak/>
        <w:t xml:space="preserve">Sin perjuicio de la mencionada solicitud de informe, la Corte se reserva la posibilidad de realizar la </w:t>
      </w:r>
      <w:r w:rsidRPr="0032068E">
        <w:rPr>
          <w:rFonts w:ascii="Verdana" w:hAnsi="Verdana"/>
          <w:sz w:val="20"/>
          <w:szCs w:val="20"/>
          <w:lang w:val="es-UY"/>
        </w:rPr>
        <w:t>supervisión</w:t>
      </w:r>
      <w:r w:rsidRPr="0032068E">
        <w:rPr>
          <w:rFonts w:ascii="Verdana" w:hAnsi="Verdana"/>
          <w:sz w:val="20"/>
          <w:szCs w:val="20"/>
          <w:lang w:val="es-CR"/>
        </w:rPr>
        <w:t xml:space="preserve"> y análisis de cada uno de los </w:t>
      </w:r>
      <w:r w:rsidRPr="0032068E">
        <w:rPr>
          <w:rFonts w:ascii="Verdana" w:hAnsi="Verdana"/>
          <w:i/>
          <w:sz w:val="20"/>
          <w:szCs w:val="20"/>
          <w:lang w:val="es-CR"/>
        </w:rPr>
        <w:t>12 Casos</w:t>
      </w:r>
      <w:r w:rsidRPr="0032068E">
        <w:rPr>
          <w:rFonts w:ascii="Verdana" w:hAnsi="Verdana"/>
          <w:sz w:val="20"/>
          <w:szCs w:val="20"/>
          <w:lang w:val="es-CR"/>
        </w:rPr>
        <w:t xml:space="preserve"> por separado. Asimismo, en caso de </w:t>
      </w:r>
      <w:r w:rsidR="00827E31">
        <w:rPr>
          <w:rFonts w:ascii="Verdana" w:hAnsi="Verdana"/>
          <w:sz w:val="20"/>
          <w:szCs w:val="20"/>
          <w:lang w:val="es-CR"/>
        </w:rPr>
        <w:t xml:space="preserve">considerarlo necesario, </w:t>
      </w:r>
      <w:r w:rsidRPr="0032068E">
        <w:rPr>
          <w:rFonts w:ascii="Verdana" w:hAnsi="Verdana"/>
          <w:sz w:val="20"/>
          <w:szCs w:val="20"/>
          <w:lang w:val="es-CR"/>
        </w:rPr>
        <w:t>la Corte podrá hacer nuevamente uso de la facultad que le brinda el artículo 69.2 del Reglamento (</w:t>
      </w:r>
      <w:r w:rsidRPr="0032068E">
        <w:rPr>
          <w:rFonts w:ascii="Verdana" w:hAnsi="Verdana"/>
          <w:i/>
          <w:sz w:val="20"/>
          <w:szCs w:val="20"/>
          <w:lang w:val="es-CR"/>
        </w:rPr>
        <w:t>supra</w:t>
      </w:r>
      <w:r w:rsidRPr="0032068E">
        <w:rPr>
          <w:rFonts w:ascii="Verdana" w:hAnsi="Verdana"/>
          <w:sz w:val="20"/>
          <w:szCs w:val="20"/>
          <w:lang w:val="es-CR"/>
        </w:rPr>
        <w:t xml:space="preserve"> </w:t>
      </w:r>
      <w:r w:rsidR="00030BF1">
        <w:rPr>
          <w:rFonts w:ascii="Verdana" w:hAnsi="Verdana"/>
          <w:sz w:val="20"/>
          <w:szCs w:val="20"/>
          <w:lang w:val="es-CR"/>
        </w:rPr>
        <w:t xml:space="preserve">Considerando </w:t>
      </w:r>
      <w:r w:rsidR="00030BF1">
        <w:rPr>
          <w:rFonts w:ascii="Verdana" w:hAnsi="Verdana"/>
          <w:sz w:val="20"/>
          <w:szCs w:val="20"/>
          <w:lang w:val="es-CR"/>
        </w:rPr>
        <w:fldChar w:fldCharType="begin"/>
      </w:r>
      <w:r w:rsidR="00030BF1">
        <w:rPr>
          <w:rFonts w:ascii="Verdana" w:hAnsi="Verdana"/>
          <w:sz w:val="20"/>
          <w:szCs w:val="20"/>
          <w:lang w:val="es-CR"/>
        </w:rPr>
        <w:instrText xml:space="preserve"> REF _Ref437281285 \r \h </w:instrText>
      </w:r>
      <w:r w:rsidR="00030BF1">
        <w:rPr>
          <w:rFonts w:ascii="Verdana" w:hAnsi="Verdana"/>
          <w:sz w:val="20"/>
          <w:szCs w:val="20"/>
          <w:lang w:val="es-CR"/>
        </w:rPr>
      </w:r>
      <w:r w:rsidR="00030BF1">
        <w:rPr>
          <w:rFonts w:ascii="Verdana" w:hAnsi="Verdana"/>
          <w:sz w:val="20"/>
          <w:szCs w:val="20"/>
          <w:lang w:val="es-CR"/>
        </w:rPr>
        <w:fldChar w:fldCharType="separate"/>
      </w:r>
      <w:r w:rsidR="007E3C4B">
        <w:rPr>
          <w:rFonts w:ascii="Verdana" w:hAnsi="Verdana"/>
          <w:sz w:val="20"/>
          <w:szCs w:val="20"/>
          <w:lang w:val="es-CR"/>
        </w:rPr>
        <w:t>23</w:t>
      </w:r>
      <w:r w:rsidR="00030BF1">
        <w:rPr>
          <w:rFonts w:ascii="Verdana" w:hAnsi="Verdana"/>
          <w:sz w:val="20"/>
          <w:szCs w:val="20"/>
          <w:lang w:val="es-CR"/>
        </w:rPr>
        <w:fldChar w:fldCharType="end"/>
      </w:r>
      <w:r w:rsidRPr="0032068E">
        <w:rPr>
          <w:rFonts w:ascii="Verdana" w:hAnsi="Verdana"/>
          <w:sz w:val="20"/>
          <w:szCs w:val="20"/>
          <w:lang w:val="es-CR"/>
        </w:rPr>
        <w:t xml:space="preserve">), para solicitar directamente al Ministerio </w:t>
      </w:r>
      <w:r w:rsidRPr="0032068E">
        <w:rPr>
          <w:rFonts w:ascii="Verdana" w:hAnsi="Verdana"/>
          <w:sz w:val="20"/>
          <w:lang w:val="es-MX"/>
        </w:rPr>
        <w:t>Público</w:t>
      </w:r>
      <w:r w:rsidRPr="0032068E">
        <w:rPr>
          <w:rFonts w:ascii="Verdana" w:hAnsi="Verdana"/>
          <w:sz w:val="20"/>
          <w:szCs w:val="20"/>
          <w:lang w:val="es-CR"/>
        </w:rPr>
        <w:t xml:space="preserve"> de Guatemala que brinde información</w:t>
      </w:r>
      <w:r w:rsidRPr="0032068E">
        <w:rPr>
          <w:rFonts w:ascii="Verdana" w:hAnsi="Verdana" w:cs="Verdana"/>
          <w:sz w:val="20"/>
          <w:szCs w:val="20"/>
          <w:lang w:val="es-ES_tradnl"/>
        </w:rPr>
        <w:t xml:space="preserve">. </w:t>
      </w:r>
    </w:p>
    <w:p w14:paraId="51AA33D3" w14:textId="77777777" w:rsidR="008710DC" w:rsidRPr="0032068E" w:rsidRDefault="008710DC" w:rsidP="008710DC">
      <w:pPr>
        <w:pStyle w:val="ListParagraph"/>
        <w:spacing w:after="0" w:line="240" w:lineRule="auto"/>
        <w:ind w:left="0" w:right="1444"/>
        <w:jc w:val="both"/>
        <w:rPr>
          <w:rFonts w:ascii="Verdana" w:hAnsi="Verdana" w:cs="Verdana"/>
          <w:sz w:val="20"/>
          <w:szCs w:val="20"/>
          <w:lang w:val="es-ES_tradnl"/>
        </w:rPr>
      </w:pPr>
    </w:p>
    <w:p w14:paraId="791F8BE1" w14:textId="55ADE66E" w:rsidR="008C3060" w:rsidRPr="008025B3" w:rsidRDefault="008710DC" w:rsidP="008C3060">
      <w:pPr>
        <w:pStyle w:val="ListParagraph"/>
        <w:numPr>
          <w:ilvl w:val="0"/>
          <w:numId w:val="2"/>
        </w:numPr>
        <w:spacing w:after="0" w:line="240" w:lineRule="auto"/>
        <w:ind w:left="0" w:right="1444" w:firstLine="0"/>
        <w:jc w:val="both"/>
        <w:rPr>
          <w:rFonts w:ascii="Verdana" w:hAnsi="Verdana"/>
          <w:b/>
          <w:sz w:val="20"/>
          <w:szCs w:val="20"/>
          <w:lang w:val="es-CR"/>
        </w:rPr>
      </w:pPr>
      <w:r w:rsidRPr="0032068E">
        <w:rPr>
          <w:rFonts w:ascii="Verdana" w:hAnsi="Verdana"/>
          <w:sz w:val="20"/>
          <w:szCs w:val="20"/>
          <w:lang w:val="es-CR"/>
        </w:rPr>
        <w:t>En cuanto a la solicitud planteada por los representantes de las víctimas en su escrito de noviembre de 2015 (</w:t>
      </w:r>
      <w:r w:rsidRPr="0032068E">
        <w:rPr>
          <w:rFonts w:ascii="Verdana" w:hAnsi="Verdana"/>
          <w:i/>
          <w:sz w:val="20"/>
          <w:szCs w:val="20"/>
          <w:lang w:val="es-CR"/>
        </w:rPr>
        <w:t>supra</w:t>
      </w:r>
      <w:r w:rsidRPr="0032068E">
        <w:rPr>
          <w:rFonts w:ascii="Verdana" w:hAnsi="Verdana"/>
          <w:sz w:val="20"/>
          <w:szCs w:val="20"/>
          <w:lang w:val="es-CR"/>
        </w:rPr>
        <w:t xml:space="preserve"> </w:t>
      </w:r>
      <w:r w:rsidR="00030BF1">
        <w:rPr>
          <w:rFonts w:ascii="Verdana" w:hAnsi="Verdana"/>
          <w:sz w:val="20"/>
          <w:szCs w:val="20"/>
          <w:lang w:val="es-CR"/>
        </w:rPr>
        <w:t xml:space="preserve">Considerando </w:t>
      </w:r>
      <w:r w:rsidR="00030BF1">
        <w:rPr>
          <w:rFonts w:ascii="Verdana" w:hAnsi="Verdana"/>
          <w:sz w:val="20"/>
          <w:szCs w:val="20"/>
          <w:lang w:val="es-CR"/>
        </w:rPr>
        <w:fldChar w:fldCharType="begin"/>
      </w:r>
      <w:r w:rsidR="00030BF1">
        <w:rPr>
          <w:rFonts w:ascii="Verdana" w:hAnsi="Verdana"/>
          <w:sz w:val="20"/>
          <w:szCs w:val="20"/>
          <w:lang w:val="es-CR"/>
        </w:rPr>
        <w:instrText xml:space="preserve"> REF _Ref437964602 \r \h </w:instrText>
      </w:r>
      <w:r w:rsidR="00030BF1">
        <w:rPr>
          <w:rFonts w:ascii="Verdana" w:hAnsi="Verdana"/>
          <w:sz w:val="20"/>
          <w:szCs w:val="20"/>
          <w:lang w:val="es-CR"/>
        </w:rPr>
      </w:r>
      <w:r w:rsidR="00030BF1">
        <w:rPr>
          <w:rFonts w:ascii="Verdana" w:hAnsi="Verdana"/>
          <w:sz w:val="20"/>
          <w:szCs w:val="20"/>
          <w:lang w:val="es-CR"/>
        </w:rPr>
        <w:fldChar w:fldCharType="separate"/>
      </w:r>
      <w:r w:rsidR="007E3C4B">
        <w:rPr>
          <w:rFonts w:ascii="Verdana" w:hAnsi="Verdana"/>
          <w:sz w:val="20"/>
          <w:szCs w:val="20"/>
          <w:lang w:val="es-CR"/>
        </w:rPr>
        <w:t>35</w:t>
      </w:r>
      <w:r w:rsidR="00030BF1">
        <w:rPr>
          <w:rFonts w:ascii="Verdana" w:hAnsi="Verdana"/>
          <w:sz w:val="20"/>
          <w:szCs w:val="20"/>
          <w:lang w:val="es-CR"/>
        </w:rPr>
        <w:fldChar w:fldCharType="end"/>
      </w:r>
      <w:r w:rsidRPr="0032068E">
        <w:rPr>
          <w:rFonts w:ascii="Verdana" w:hAnsi="Verdana"/>
          <w:sz w:val="20"/>
          <w:szCs w:val="20"/>
          <w:lang w:val="es-CR"/>
        </w:rPr>
        <w:t>) de que se convoque una audiencia de supervisión de cumplimiento conjunta para 11 de los referidos casos, la Corte valorará la pertinencia de la misma después de haber recibido el informe escrito y las correspondientes observaciones solicitados en la presente Resolución.</w:t>
      </w:r>
    </w:p>
    <w:p w14:paraId="4A462808" w14:textId="77777777" w:rsidR="008C3060" w:rsidRPr="00D33DAD" w:rsidRDefault="008C3060" w:rsidP="008C3060">
      <w:pPr>
        <w:pStyle w:val="ListParagraph"/>
        <w:spacing w:after="0" w:line="240" w:lineRule="auto"/>
        <w:ind w:left="0" w:right="1444"/>
        <w:jc w:val="both"/>
        <w:rPr>
          <w:rFonts w:ascii="Verdana" w:hAnsi="Verdana"/>
          <w:b/>
          <w:sz w:val="20"/>
          <w:szCs w:val="20"/>
          <w:lang w:val="es-CR"/>
        </w:rPr>
      </w:pPr>
    </w:p>
    <w:p w14:paraId="52559A53" w14:textId="3F1552F9" w:rsidR="00186119" w:rsidRDefault="00674C3F" w:rsidP="002E230D">
      <w:pPr>
        <w:spacing w:before="120" w:after="120" w:line="240" w:lineRule="auto"/>
        <w:ind w:left="180" w:right="1444"/>
        <w:jc w:val="both"/>
        <w:rPr>
          <w:rFonts w:ascii="Verdana" w:hAnsi="Verdana"/>
          <w:b/>
          <w:sz w:val="20"/>
          <w:szCs w:val="20"/>
          <w:lang w:val="es-ES"/>
        </w:rPr>
      </w:pPr>
      <w:r w:rsidRPr="0032068E">
        <w:rPr>
          <w:rFonts w:ascii="Verdana" w:hAnsi="Verdana"/>
          <w:b/>
          <w:sz w:val="20"/>
          <w:szCs w:val="20"/>
          <w:lang w:val="es-ES"/>
        </w:rPr>
        <w:t>POR TANTO:</w:t>
      </w:r>
    </w:p>
    <w:p w14:paraId="7100DDE0" w14:textId="301CF040" w:rsidR="00186119" w:rsidRPr="0032068E" w:rsidRDefault="00674C3F" w:rsidP="002E230D">
      <w:pPr>
        <w:spacing w:before="120" w:after="120" w:line="240" w:lineRule="auto"/>
        <w:ind w:left="180" w:right="1444"/>
        <w:jc w:val="both"/>
        <w:rPr>
          <w:rFonts w:ascii="Verdana" w:hAnsi="Verdana"/>
          <w:b/>
          <w:sz w:val="20"/>
          <w:szCs w:val="20"/>
          <w:lang w:val="es-ES"/>
        </w:rPr>
      </w:pPr>
      <w:r w:rsidRPr="0032068E">
        <w:rPr>
          <w:rFonts w:ascii="Verdana" w:hAnsi="Verdana"/>
          <w:b/>
          <w:sz w:val="20"/>
          <w:szCs w:val="20"/>
          <w:lang w:val="es-ES"/>
        </w:rPr>
        <w:t xml:space="preserve">LA CORTE INTERAMERICANA DE DERECHOS HUMANOS, </w:t>
      </w:r>
    </w:p>
    <w:p w14:paraId="57D577D8" w14:textId="6D5C5F60" w:rsidR="00674C3F" w:rsidRDefault="00674C3F" w:rsidP="00674C3F">
      <w:pPr>
        <w:pStyle w:val="ListParagraph"/>
        <w:spacing w:after="0" w:line="240" w:lineRule="auto"/>
        <w:ind w:left="0" w:right="1444"/>
        <w:jc w:val="both"/>
        <w:rPr>
          <w:rFonts w:ascii="Verdana" w:hAnsi="Verdana"/>
          <w:sz w:val="20"/>
          <w:szCs w:val="20"/>
          <w:lang w:val="es-ES"/>
        </w:rPr>
      </w:pPr>
      <w:r w:rsidRPr="0032068E">
        <w:rPr>
          <w:rFonts w:ascii="Verdana" w:hAnsi="Verdana"/>
          <w:sz w:val="20"/>
          <w:szCs w:val="20"/>
          <w:lang w:val="es-ES"/>
        </w:rPr>
        <w:t>en el ejercicio de sus atribuciones de supervisión del cumplimiento de sus decisiones, de conformidad con los artículos 33, 62.1, 62.3</w:t>
      </w:r>
      <w:r w:rsidR="00030BF1">
        <w:rPr>
          <w:rFonts w:ascii="Verdana" w:hAnsi="Verdana"/>
          <w:sz w:val="20"/>
          <w:szCs w:val="20"/>
          <w:lang w:val="es-ES"/>
        </w:rPr>
        <w:t>, 65, 67</w:t>
      </w:r>
      <w:r w:rsidRPr="0032068E">
        <w:rPr>
          <w:rFonts w:ascii="Verdana" w:hAnsi="Verdana"/>
          <w:sz w:val="20"/>
          <w:szCs w:val="20"/>
          <w:lang w:val="es-ES"/>
        </w:rPr>
        <w:t xml:space="preserve"> y 68.1 de la Convención Americana sobre Derechos Humanos, y 24</w:t>
      </w:r>
      <w:r w:rsidR="00030BF1">
        <w:rPr>
          <w:rFonts w:ascii="Verdana" w:hAnsi="Verdana"/>
          <w:sz w:val="20"/>
          <w:szCs w:val="20"/>
          <w:lang w:val="es-ES"/>
        </w:rPr>
        <w:t>, 25</w:t>
      </w:r>
      <w:r w:rsidRPr="0032068E">
        <w:rPr>
          <w:rFonts w:ascii="Verdana" w:hAnsi="Verdana"/>
          <w:sz w:val="20"/>
          <w:szCs w:val="20"/>
          <w:lang w:val="es-ES"/>
        </w:rPr>
        <w:t xml:space="preserve"> y 30 del Estatuto, y 31.2 y 69 del Reglamento,</w:t>
      </w:r>
    </w:p>
    <w:p w14:paraId="1180AED7" w14:textId="77777777" w:rsidR="007079AB" w:rsidRPr="0032068E" w:rsidRDefault="007079AB" w:rsidP="00674C3F">
      <w:pPr>
        <w:pStyle w:val="ListParagraph"/>
        <w:spacing w:after="0" w:line="240" w:lineRule="auto"/>
        <w:ind w:left="0" w:right="1444"/>
        <w:jc w:val="both"/>
        <w:rPr>
          <w:rFonts w:ascii="Verdana" w:hAnsi="Verdana"/>
          <w:sz w:val="20"/>
          <w:szCs w:val="20"/>
          <w:lang w:val="es-ES"/>
        </w:rPr>
      </w:pPr>
    </w:p>
    <w:p w14:paraId="2DB7C3BC" w14:textId="0B8FF536" w:rsidR="00D33DAD" w:rsidRPr="00746AF8" w:rsidRDefault="00674C3F" w:rsidP="00746AF8">
      <w:pPr>
        <w:pStyle w:val="Heading1"/>
        <w:numPr>
          <w:ilvl w:val="0"/>
          <w:numId w:val="0"/>
        </w:numPr>
        <w:ind w:left="360"/>
      </w:pPr>
      <w:bookmarkStart w:id="151" w:name="_Toc439248804"/>
      <w:r w:rsidRPr="0032068E">
        <w:t>RESUELVE:</w:t>
      </w:r>
      <w:bookmarkEnd w:id="151"/>
    </w:p>
    <w:p w14:paraId="1FDE07F3" w14:textId="77777777" w:rsidR="00421D80" w:rsidRDefault="00421D80" w:rsidP="00421D80">
      <w:pPr>
        <w:spacing w:after="0" w:line="240" w:lineRule="auto"/>
        <w:ind w:right="1444"/>
        <w:jc w:val="both"/>
        <w:rPr>
          <w:rFonts w:ascii="Verdana" w:hAnsi="Verdana"/>
          <w:sz w:val="20"/>
          <w:szCs w:val="20"/>
          <w:lang w:val="es-ES"/>
        </w:rPr>
      </w:pPr>
      <w:r>
        <w:rPr>
          <w:rFonts w:ascii="Verdana" w:hAnsi="Verdana"/>
          <w:sz w:val="20"/>
          <w:szCs w:val="20"/>
          <w:lang w:val="es-ES"/>
        </w:rPr>
        <w:t>1.</w:t>
      </w:r>
      <w:r>
        <w:rPr>
          <w:rFonts w:ascii="Verdana" w:hAnsi="Verdana"/>
          <w:sz w:val="20"/>
          <w:szCs w:val="20"/>
          <w:lang w:val="es-ES"/>
        </w:rPr>
        <w:tab/>
      </w:r>
      <w:r w:rsidR="00674C3F" w:rsidRPr="00421D80">
        <w:rPr>
          <w:rFonts w:ascii="Verdana" w:hAnsi="Verdana"/>
          <w:sz w:val="20"/>
          <w:szCs w:val="20"/>
          <w:lang w:val="es-ES"/>
        </w:rPr>
        <w:t xml:space="preserve">Mantener abierto </w:t>
      </w:r>
      <w:r w:rsidR="00674C3F" w:rsidRPr="00421D80">
        <w:rPr>
          <w:rFonts w:ascii="Verdana" w:hAnsi="Verdana"/>
          <w:sz w:val="20"/>
          <w:szCs w:val="20"/>
          <w:lang w:val="es-CR"/>
        </w:rPr>
        <w:t>el</w:t>
      </w:r>
      <w:r w:rsidR="00674C3F" w:rsidRPr="00421D80">
        <w:rPr>
          <w:rFonts w:ascii="Verdana" w:hAnsi="Verdana"/>
          <w:sz w:val="20"/>
          <w:szCs w:val="20"/>
          <w:lang w:val="es-ES"/>
        </w:rPr>
        <w:t xml:space="preserve"> procedimiento de supervisión de cumplimiento de la </w:t>
      </w:r>
      <w:r w:rsidR="00674C3F" w:rsidRPr="00421D80">
        <w:rPr>
          <w:rFonts w:ascii="Verdana" w:hAnsi="Verdana" w:cs="Arial"/>
          <w:sz w:val="20"/>
          <w:lang w:val="es-CR"/>
        </w:rPr>
        <w:t>o</w:t>
      </w:r>
      <w:r>
        <w:rPr>
          <w:rFonts w:ascii="Verdana" w:hAnsi="Verdana" w:cs="Arial"/>
          <w:sz w:val="20"/>
          <w:lang w:val="es-CR"/>
        </w:rPr>
        <w:t>bligación de investigar, juzgar</w:t>
      </w:r>
      <w:r w:rsidR="00674C3F" w:rsidRPr="00421D80">
        <w:rPr>
          <w:rFonts w:ascii="Verdana" w:hAnsi="Verdana" w:cs="Arial"/>
          <w:sz w:val="20"/>
          <w:lang w:val="es-CR"/>
        </w:rPr>
        <w:t xml:space="preserve"> y</w:t>
      </w:r>
      <w:r>
        <w:rPr>
          <w:rFonts w:ascii="Verdana" w:hAnsi="Verdana" w:cs="Arial"/>
          <w:sz w:val="20"/>
          <w:lang w:val="es-CR"/>
        </w:rPr>
        <w:t>,</w:t>
      </w:r>
      <w:r w:rsidR="00674C3F" w:rsidRPr="00421D80">
        <w:rPr>
          <w:rFonts w:ascii="Verdana" w:hAnsi="Verdana" w:cs="Arial"/>
          <w:sz w:val="20"/>
          <w:lang w:val="es-CR"/>
        </w:rPr>
        <w:t xml:space="preserve"> de ser el caso, sancionar a los responsables de las violaciones a los derechos humanos referidas en las Sentencias de los </w:t>
      </w:r>
      <w:r w:rsidR="00674C3F" w:rsidRPr="00421D80">
        <w:rPr>
          <w:rFonts w:ascii="Verdana" w:hAnsi="Verdana" w:cs="Arial"/>
          <w:i/>
          <w:sz w:val="20"/>
          <w:lang w:val="es-CR"/>
        </w:rPr>
        <w:t>12 Casos</w:t>
      </w:r>
      <w:r w:rsidR="00674C3F" w:rsidRPr="00421D80">
        <w:rPr>
          <w:rFonts w:ascii="Verdana" w:hAnsi="Verdana"/>
          <w:sz w:val="20"/>
          <w:szCs w:val="20"/>
          <w:lang w:val="es-ES"/>
        </w:rPr>
        <w:t xml:space="preserve">, de conformidad con </w:t>
      </w:r>
      <w:r w:rsidR="00030BF1" w:rsidRPr="00421D80">
        <w:rPr>
          <w:rFonts w:ascii="Verdana" w:hAnsi="Verdana"/>
          <w:sz w:val="20"/>
          <w:szCs w:val="20"/>
          <w:lang w:val="es-ES"/>
        </w:rPr>
        <w:t>la parte considerativa</w:t>
      </w:r>
      <w:r w:rsidR="00674C3F" w:rsidRPr="00421D80">
        <w:rPr>
          <w:rFonts w:ascii="Verdana" w:hAnsi="Verdana"/>
          <w:sz w:val="20"/>
          <w:szCs w:val="20"/>
          <w:lang w:val="es-ES"/>
        </w:rPr>
        <w:t xml:space="preserve"> de la presente Resolución.</w:t>
      </w:r>
    </w:p>
    <w:p w14:paraId="3B5D818F" w14:textId="77777777" w:rsidR="00421D80" w:rsidRDefault="00421D80" w:rsidP="00421D80">
      <w:pPr>
        <w:spacing w:after="0" w:line="240" w:lineRule="auto"/>
        <w:ind w:right="1444"/>
        <w:jc w:val="both"/>
        <w:rPr>
          <w:rFonts w:ascii="Verdana" w:hAnsi="Verdana"/>
          <w:sz w:val="20"/>
          <w:szCs w:val="20"/>
          <w:lang w:val="es-ES"/>
        </w:rPr>
      </w:pPr>
    </w:p>
    <w:p w14:paraId="0D08C7A6" w14:textId="72B45FAE" w:rsidR="00674C3F" w:rsidRPr="00421D80" w:rsidRDefault="00421D80" w:rsidP="00421D80">
      <w:pPr>
        <w:spacing w:after="0" w:line="240" w:lineRule="auto"/>
        <w:ind w:right="1444"/>
        <w:jc w:val="both"/>
        <w:rPr>
          <w:rFonts w:ascii="Verdana" w:hAnsi="Verdana"/>
          <w:sz w:val="20"/>
          <w:szCs w:val="20"/>
          <w:lang w:val="es-ES"/>
        </w:rPr>
      </w:pPr>
      <w:r>
        <w:rPr>
          <w:rFonts w:ascii="Verdana" w:hAnsi="Verdana"/>
          <w:sz w:val="20"/>
          <w:szCs w:val="20"/>
          <w:lang w:val="es-ES"/>
        </w:rPr>
        <w:t>2.</w:t>
      </w:r>
      <w:r>
        <w:rPr>
          <w:rFonts w:ascii="Verdana" w:hAnsi="Verdana"/>
          <w:sz w:val="20"/>
          <w:szCs w:val="20"/>
          <w:lang w:val="es-ES"/>
        </w:rPr>
        <w:tab/>
      </w:r>
      <w:r w:rsidR="00674C3F" w:rsidRPr="00421D80">
        <w:rPr>
          <w:rFonts w:ascii="Verdana" w:hAnsi="Verdana"/>
          <w:sz w:val="20"/>
          <w:szCs w:val="20"/>
          <w:lang w:val="es-ES"/>
        </w:rPr>
        <w:t>Disponer que el Estado de Guatemala adopte, en definitiva y a la mayor brevedad, todas las medidas que sean necesarias para d</w:t>
      </w:r>
      <w:r>
        <w:rPr>
          <w:rFonts w:ascii="Verdana" w:hAnsi="Verdana"/>
          <w:sz w:val="20"/>
          <w:szCs w:val="20"/>
          <w:lang w:val="es-ES"/>
        </w:rPr>
        <w:t>ar efectivo y pronto cumplimiento a dicha obligación</w:t>
      </w:r>
      <w:r w:rsidR="00674C3F" w:rsidRPr="00421D80">
        <w:rPr>
          <w:rFonts w:ascii="Verdana" w:hAnsi="Verdana"/>
          <w:sz w:val="20"/>
          <w:szCs w:val="20"/>
          <w:lang w:val="es-ES"/>
        </w:rPr>
        <w:t xml:space="preserve"> </w:t>
      </w:r>
      <w:r>
        <w:rPr>
          <w:rFonts w:ascii="Verdana" w:hAnsi="Verdana"/>
          <w:sz w:val="20"/>
          <w:szCs w:val="20"/>
          <w:lang w:val="es-ES"/>
        </w:rPr>
        <w:t>señalada</w:t>
      </w:r>
      <w:r w:rsidR="00674C3F" w:rsidRPr="00421D80">
        <w:rPr>
          <w:rFonts w:ascii="Verdana" w:hAnsi="Verdana"/>
          <w:sz w:val="20"/>
          <w:szCs w:val="20"/>
          <w:lang w:val="es-ES"/>
        </w:rPr>
        <w:t xml:space="preserve"> en el punto resolutivo anterior, de conformidad con lo estipulado en el artículo 68.1 de la Convención Americana sobre Derechos Humanos.</w:t>
      </w:r>
    </w:p>
    <w:p w14:paraId="24DFEAEC" w14:textId="77777777" w:rsidR="00674C3F" w:rsidRPr="0032068E" w:rsidRDefault="00674C3F" w:rsidP="00674C3F">
      <w:pPr>
        <w:spacing w:after="0" w:line="240" w:lineRule="auto"/>
        <w:ind w:right="1444"/>
        <w:jc w:val="both"/>
        <w:rPr>
          <w:rFonts w:ascii="Verdana" w:hAnsi="Verdana"/>
          <w:sz w:val="20"/>
          <w:szCs w:val="20"/>
          <w:lang w:val="es-ES"/>
        </w:rPr>
      </w:pPr>
    </w:p>
    <w:p w14:paraId="3D441B61" w14:textId="6FFB391E" w:rsidR="00674C3F" w:rsidRPr="00421D80" w:rsidRDefault="00421D80" w:rsidP="00421D80">
      <w:pPr>
        <w:spacing w:after="0" w:line="240" w:lineRule="auto"/>
        <w:ind w:right="1444"/>
        <w:jc w:val="both"/>
        <w:rPr>
          <w:rFonts w:ascii="Verdana" w:hAnsi="Verdana"/>
          <w:sz w:val="20"/>
          <w:szCs w:val="20"/>
          <w:lang w:val="es-ES"/>
        </w:rPr>
      </w:pPr>
      <w:r>
        <w:rPr>
          <w:rFonts w:ascii="Verdana" w:hAnsi="Verdana"/>
          <w:sz w:val="20"/>
          <w:szCs w:val="20"/>
          <w:lang w:val="es-ES"/>
        </w:rPr>
        <w:t>3.</w:t>
      </w:r>
      <w:r>
        <w:rPr>
          <w:rFonts w:ascii="Verdana" w:hAnsi="Verdana"/>
          <w:sz w:val="20"/>
          <w:szCs w:val="20"/>
          <w:lang w:val="es-ES"/>
        </w:rPr>
        <w:tab/>
      </w:r>
      <w:r w:rsidR="00674C3F" w:rsidRPr="00421D80">
        <w:rPr>
          <w:rFonts w:ascii="Verdana" w:hAnsi="Verdana"/>
          <w:sz w:val="20"/>
          <w:szCs w:val="20"/>
          <w:lang w:val="es-ES"/>
        </w:rPr>
        <w:t xml:space="preserve">Disponer que el Estado </w:t>
      </w:r>
      <w:r>
        <w:rPr>
          <w:rFonts w:ascii="Verdana" w:hAnsi="Verdana"/>
          <w:sz w:val="20"/>
          <w:szCs w:val="20"/>
          <w:lang w:val="es-ES"/>
        </w:rPr>
        <w:t xml:space="preserve">de Guatemala </w:t>
      </w:r>
      <w:r w:rsidR="00674C3F" w:rsidRPr="00421D80">
        <w:rPr>
          <w:rFonts w:ascii="Verdana" w:hAnsi="Verdana"/>
          <w:sz w:val="20"/>
          <w:szCs w:val="20"/>
          <w:lang w:val="es-ES"/>
        </w:rPr>
        <w:t xml:space="preserve">presente a la Corte Interamericana de Derechos Humanos, a más tardar el </w:t>
      </w:r>
      <w:r w:rsidR="00944532">
        <w:rPr>
          <w:rFonts w:ascii="Verdana" w:hAnsi="Verdana"/>
          <w:sz w:val="20"/>
          <w:szCs w:val="20"/>
          <w:lang w:val="es-ES"/>
        </w:rPr>
        <w:t>12 de junio</w:t>
      </w:r>
      <w:r w:rsidRPr="00421D80">
        <w:rPr>
          <w:rFonts w:ascii="Verdana" w:hAnsi="Verdana"/>
          <w:sz w:val="20"/>
          <w:szCs w:val="20"/>
          <w:lang w:val="es-ES"/>
        </w:rPr>
        <w:t xml:space="preserve"> </w:t>
      </w:r>
      <w:r w:rsidR="00674C3F" w:rsidRPr="00421D80">
        <w:rPr>
          <w:rFonts w:ascii="Verdana" w:hAnsi="Verdana"/>
          <w:sz w:val="20"/>
          <w:szCs w:val="20"/>
          <w:lang w:val="es-ES"/>
        </w:rPr>
        <w:t xml:space="preserve">de 2016, un informe en el cual indique de manera conjunta todas las medidas adoptadas para cumplir con la reparación correspondiente a la </w:t>
      </w:r>
      <w:r w:rsidR="00674C3F" w:rsidRPr="00421D80">
        <w:rPr>
          <w:rFonts w:ascii="Verdana" w:hAnsi="Verdana" w:cs="Arial"/>
          <w:sz w:val="20"/>
          <w:lang w:val="es-CR"/>
        </w:rPr>
        <w:t>obligación de invest</w:t>
      </w:r>
      <w:r w:rsidR="00582867" w:rsidRPr="00421D80">
        <w:rPr>
          <w:rFonts w:ascii="Verdana" w:hAnsi="Verdana" w:cs="Arial"/>
          <w:sz w:val="20"/>
          <w:lang w:val="es-CR"/>
        </w:rPr>
        <w:t>igar, juzgar</w:t>
      </w:r>
      <w:r w:rsidR="00674C3F" w:rsidRPr="00421D80">
        <w:rPr>
          <w:rFonts w:ascii="Verdana" w:hAnsi="Verdana" w:cs="Arial"/>
          <w:sz w:val="20"/>
          <w:lang w:val="es-CR"/>
        </w:rPr>
        <w:t xml:space="preserve"> y</w:t>
      </w:r>
      <w:r w:rsidR="00582867" w:rsidRPr="00421D80">
        <w:rPr>
          <w:rFonts w:ascii="Verdana" w:hAnsi="Verdana" w:cs="Arial"/>
          <w:sz w:val="20"/>
          <w:lang w:val="es-CR"/>
        </w:rPr>
        <w:t>,</w:t>
      </w:r>
      <w:r w:rsidR="00674C3F" w:rsidRPr="00421D80">
        <w:rPr>
          <w:rFonts w:ascii="Verdana" w:hAnsi="Verdana" w:cs="Arial"/>
          <w:sz w:val="20"/>
          <w:lang w:val="es-CR"/>
        </w:rPr>
        <w:t xml:space="preserve"> de ser el caso, sancionar a los responsables de las violaciones a los derechos humanos referidas en las Sentencias de los </w:t>
      </w:r>
      <w:r w:rsidR="00674C3F" w:rsidRPr="00421D80">
        <w:rPr>
          <w:rFonts w:ascii="Verdana" w:hAnsi="Verdana" w:cs="Arial"/>
          <w:i/>
          <w:sz w:val="20"/>
          <w:lang w:val="es-CR"/>
        </w:rPr>
        <w:t xml:space="preserve">12 Casos, </w:t>
      </w:r>
      <w:r w:rsidR="00674C3F" w:rsidRPr="00421D80">
        <w:rPr>
          <w:rFonts w:ascii="Verdana" w:hAnsi="Verdana" w:cs="Arial"/>
          <w:sz w:val="20"/>
          <w:lang w:val="es-CR"/>
        </w:rPr>
        <w:t>y en el cual señale los correctivos a asumir para corregir las falencias identificadas en la presente Resolución</w:t>
      </w:r>
      <w:r w:rsidR="00674C3F" w:rsidRPr="00421D80">
        <w:rPr>
          <w:rFonts w:ascii="Verdana" w:hAnsi="Verdana"/>
          <w:sz w:val="20"/>
          <w:szCs w:val="20"/>
          <w:lang w:val="es-ES"/>
        </w:rPr>
        <w:t xml:space="preserve">. </w:t>
      </w:r>
      <w:r w:rsidR="00EC5420" w:rsidRPr="00421D80">
        <w:rPr>
          <w:rFonts w:ascii="Verdana" w:hAnsi="Verdana"/>
          <w:sz w:val="20"/>
          <w:szCs w:val="20"/>
          <w:lang w:val="es-ES"/>
        </w:rPr>
        <w:t xml:space="preserve"> La Corte valorará el grado de cumplimiento de las demás medidas pendientes en los casos </w:t>
      </w:r>
      <w:r w:rsidR="00EC5420" w:rsidRPr="00421D80">
        <w:rPr>
          <w:rFonts w:ascii="Verdana" w:hAnsi="Verdana"/>
          <w:i/>
          <w:sz w:val="20"/>
          <w:szCs w:val="20"/>
          <w:lang w:val="es-ES"/>
        </w:rPr>
        <w:t>Bámaca Velásquez</w:t>
      </w:r>
      <w:r w:rsidR="00EC5420" w:rsidRPr="00421D80">
        <w:rPr>
          <w:rFonts w:ascii="Verdana" w:hAnsi="Verdana"/>
          <w:sz w:val="20"/>
          <w:szCs w:val="20"/>
          <w:lang w:val="es-ES"/>
        </w:rPr>
        <w:t xml:space="preserve">, </w:t>
      </w:r>
      <w:r w:rsidR="00EC5420" w:rsidRPr="00421D80">
        <w:rPr>
          <w:rFonts w:ascii="Verdana" w:hAnsi="Verdana"/>
          <w:i/>
          <w:sz w:val="20"/>
          <w:szCs w:val="20"/>
          <w:lang w:val="es-ES"/>
        </w:rPr>
        <w:t>Carpio Nicolle, Chitay Nech</w:t>
      </w:r>
      <w:r w:rsidR="00582867" w:rsidRPr="00421D80">
        <w:rPr>
          <w:rFonts w:ascii="Verdana" w:hAnsi="Verdana"/>
          <w:i/>
          <w:sz w:val="20"/>
          <w:szCs w:val="20"/>
          <w:lang w:val="es-ES"/>
        </w:rPr>
        <w:t xml:space="preserve"> y otros</w:t>
      </w:r>
      <w:r w:rsidR="00EC5420" w:rsidRPr="00421D80">
        <w:rPr>
          <w:rFonts w:ascii="Verdana" w:hAnsi="Verdana"/>
          <w:i/>
          <w:sz w:val="20"/>
          <w:szCs w:val="20"/>
          <w:lang w:val="es-ES"/>
        </w:rPr>
        <w:t xml:space="preserve">, Masacre de las Dos Erres, Masacre Plan de Sánchez, Molina Theissen, Panel Blanca </w:t>
      </w:r>
      <w:r w:rsidR="00EC5420" w:rsidRPr="00421D80">
        <w:rPr>
          <w:rFonts w:ascii="Verdana" w:hAnsi="Verdana"/>
          <w:sz w:val="20"/>
          <w:szCs w:val="20"/>
          <w:lang w:val="es-ES"/>
        </w:rPr>
        <w:t xml:space="preserve">y </w:t>
      </w:r>
      <w:r w:rsidR="00EC5420" w:rsidRPr="00421D80">
        <w:rPr>
          <w:rFonts w:ascii="Verdana" w:hAnsi="Verdana"/>
          <w:i/>
          <w:sz w:val="20"/>
          <w:szCs w:val="20"/>
          <w:lang w:val="es-ES"/>
        </w:rPr>
        <w:t>Tiu Tojín</w:t>
      </w:r>
      <w:r w:rsidR="00EC5420" w:rsidRPr="00421D80">
        <w:rPr>
          <w:rFonts w:ascii="Verdana" w:hAnsi="Verdana"/>
          <w:sz w:val="20"/>
          <w:szCs w:val="20"/>
          <w:lang w:val="es-ES"/>
        </w:rPr>
        <w:t xml:space="preserve"> posteriormente, y de forma independiente. Para ello, se pedirán en una oportunidad posterior los informes correspondientes a dichos puntos resolutivos restantes.</w:t>
      </w:r>
      <w:r w:rsidR="00674C3F" w:rsidRPr="00421D80">
        <w:rPr>
          <w:rFonts w:ascii="Verdana" w:hAnsi="Verdana"/>
          <w:sz w:val="20"/>
          <w:szCs w:val="20"/>
          <w:lang w:val="es-ES"/>
        </w:rPr>
        <w:t xml:space="preserve"> </w:t>
      </w:r>
    </w:p>
    <w:p w14:paraId="78DB2230" w14:textId="77777777" w:rsidR="00674C3F" w:rsidRPr="0032068E" w:rsidRDefault="00674C3F" w:rsidP="00674C3F">
      <w:pPr>
        <w:spacing w:after="0" w:line="240" w:lineRule="auto"/>
        <w:ind w:right="1444"/>
        <w:jc w:val="both"/>
        <w:rPr>
          <w:rFonts w:ascii="Verdana" w:hAnsi="Verdana"/>
          <w:sz w:val="20"/>
          <w:szCs w:val="20"/>
          <w:lang w:val="es-ES"/>
        </w:rPr>
      </w:pPr>
    </w:p>
    <w:p w14:paraId="09BB965C" w14:textId="1C27E0A2" w:rsidR="00674C3F" w:rsidRPr="00421D80" w:rsidRDefault="00421D80" w:rsidP="00421D80">
      <w:pPr>
        <w:spacing w:after="0" w:line="240" w:lineRule="auto"/>
        <w:ind w:right="1444"/>
        <w:jc w:val="both"/>
        <w:rPr>
          <w:rFonts w:ascii="Verdana" w:hAnsi="Verdana"/>
          <w:sz w:val="20"/>
          <w:szCs w:val="20"/>
          <w:lang w:val="es-ES"/>
        </w:rPr>
      </w:pPr>
      <w:r>
        <w:rPr>
          <w:rFonts w:ascii="Verdana" w:hAnsi="Verdana"/>
          <w:sz w:val="20"/>
          <w:szCs w:val="20"/>
          <w:lang w:val="es-ES"/>
        </w:rPr>
        <w:t>4.</w:t>
      </w:r>
      <w:r>
        <w:rPr>
          <w:rFonts w:ascii="Verdana" w:hAnsi="Verdana"/>
          <w:sz w:val="20"/>
          <w:szCs w:val="20"/>
          <w:lang w:val="es-ES"/>
        </w:rPr>
        <w:tab/>
      </w:r>
      <w:r w:rsidR="00674C3F" w:rsidRPr="00421D80">
        <w:rPr>
          <w:rFonts w:ascii="Verdana" w:hAnsi="Verdana"/>
          <w:sz w:val="20"/>
          <w:szCs w:val="20"/>
          <w:lang w:val="es-ES"/>
        </w:rPr>
        <w:t>Disponer que los representantes de las víctimas y la Comisión Interamericana de Derechos Humanos presenten observaciones al informe del Estado mencionado en el punto resolutivo anterior, en los plazos de cuatro y seis semanas, respectivamente, contados</w:t>
      </w:r>
      <w:r w:rsidR="001A20A3">
        <w:rPr>
          <w:rFonts w:ascii="Verdana" w:hAnsi="Verdana"/>
          <w:sz w:val="20"/>
          <w:szCs w:val="20"/>
          <w:lang w:val="es-ES"/>
        </w:rPr>
        <w:t xml:space="preserve"> a partir de la recepción del informe</w:t>
      </w:r>
      <w:r w:rsidR="00674C3F" w:rsidRPr="00421D80">
        <w:rPr>
          <w:rFonts w:ascii="Verdana" w:hAnsi="Verdana"/>
          <w:sz w:val="20"/>
          <w:szCs w:val="20"/>
          <w:lang w:val="es-ES"/>
        </w:rPr>
        <w:t xml:space="preserve">. </w:t>
      </w:r>
    </w:p>
    <w:p w14:paraId="7C83F1E7" w14:textId="77777777" w:rsidR="00674C3F" w:rsidRPr="0032068E" w:rsidRDefault="00674C3F" w:rsidP="00674C3F">
      <w:pPr>
        <w:spacing w:after="0" w:line="240" w:lineRule="auto"/>
        <w:ind w:left="180" w:right="1444"/>
        <w:jc w:val="both"/>
        <w:rPr>
          <w:rFonts w:ascii="Verdana" w:hAnsi="Verdana"/>
          <w:sz w:val="20"/>
          <w:szCs w:val="20"/>
          <w:lang w:val="es-ES"/>
        </w:rPr>
      </w:pPr>
    </w:p>
    <w:p w14:paraId="63541E29" w14:textId="66D02EA0" w:rsidR="0018425E" w:rsidRDefault="001A20A3" w:rsidP="00674C3F">
      <w:pPr>
        <w:spacing w:after="0" w:line="240" w:lineRule="auto"/>
        <w:ind w:right="1444"/>
        <w:jc w:val="both"/>
        <w:rPr>
          <w:rFonts w:ascii="Verdana" w:hAnsi="Verdana"/>
          <w:sz w:val="20"/>
          <w:szCs w:val="20"/>
          <w:lang w:val="es-ES"/>
        </w:rPr>
      </w:pPr>
      <w:r>
        <w:rPr>
          <w:rFonts w:ascii="Verdana" w:hAnsi="Verdana"/>
          <w:sz w:val="20"/>
          <w:szCs w:val="20"/>
          <w:lang w:val="es-ES"/>
        </w:rPr>
        <w:t>5.</w:t>
      </w:r>
      <w:r>
        <w:rPr>
          <w:rFonts w:ascii="Verdana" w:hAnsi="Verdana"/>
          <w:sz w:val="20"/>
          <w:szCs w:val="20"/>
          <w:lang w:val="es-ES"/>
        </w:rPr>
        <w:tab/>
      </w:r>
      <w:r w:rsidR="00674C3F" w:rsidRPr="001A20A3">
        <w:rPr>
          <w:rFonts w:ascii="Verdana" w:hAnsi="Verdana"/>
          <w:sz w:val="20"/>
          <w:szCs w:val="20"/>
          <w:lang w:val="es-ES"/>
        </w:rPr>
        <w:t>Disponer que la Secretaría de la Corte notifique la presente Resolución al Estado, a los representantes de las víctimas y a la Comisión Interamericana de Derechos Humanos.</w:t>
      </w:r>
    </w:p>
    <w:p w14:paraId="773957D0" w14:textId="77777777" w:rsidR="00A35D7E" w:rsidRDefault="00A35D7E" w:rsidP="00A35D7E">
      <w:pPr>
        <w:tabs>
          <w:tab w:val="left" w:pos="567"/>
        </w:tabs>
        <w:spacing w:after="0" w:line="240" w:lineRule="auto"/>
        <w:rPr>
          <w:rFonts w:ascii="Verdana" w:eastAsia="Times" w:hAnsi="Verdana" w:cs="Times New Roman"/>
          <w:sz w:val="20"/>
          <w:szCs w:val="20"/>
          <w:lang w:val="es-ES"/>
        </w:rPr>
      </w:pPr>
    </w:p>
    <w:p w14:paraId="6DEAC557" w14:textId="77777777" w:rsidR="00A35D7E" w:rsidRPr="005B2A00" w:rsidRDefault="00A35D7E" w:rsidP="00A35D7E">
      <w:pPr>
        <w:tabs>
          <w:tab w:val="left" w:pos="567"/>
        </w:tabs>
        <w:spacing w:after="0" w:line="240" w:lineRule="auto"/>
        <w:jc w:val="both"/>
        <w:rPr>
          <w:rFonts w:ascii="Verdana" w:hAnsi="Verdana"/>
          <w:sz w:val="20"/>
          <w:lang w:val="es-CR"/>
        </w:rPr>
      </w:pPr>
      <w:r>
        <w:rPr>
          <w:rFonts w:ascii="Verdana" w:eastAsia="Times" w:hAnsi="Verdana" w:cs="Times New Roman"/>
          <w:sz w:val="20"/>
          <w:szCs w:val="20"/>
          <w:lang w:val="es-ES"/>
        </w:rPr>
        <w:lastRenderedPageBreak/>
        <w:t xml:space="preserve">Resolución de la Corte Interamericana de Derechos Humanos. 12 Casos contra Guatemala.  Supervisión Conjunta de Cumplimiento de Sentencias respecto de la obligación de investigar, juzgar y, de ser el caso, sancionar a los responsables de las violaciones a los derechos humanos. </w:t>
      </w:r>
    </w:p>
    <w:p w14:paraId="62A18155" w14:textId="77777777" w:rsidR="00A35D7E" w:rsidRPr="005B2A00" w:rsidRDefault="00A35D7E" w:rsidP="00A35D7E">
      <w:pPr>
        <w:tabs>
          <w:tab w:val="left" w:pos="567"/>
        </w:tabs>
        <w:spacing w:after="0" w:line="240" w:lineRule="auto"/>
        <w:jc w:val="both"/>
        <w:rPr>
          <w:rFonts w:ascii="Verdana" w:hAnsi="Verdana"/>
          <w:sz w:val="20"/>
          <w:lang w:val="es-CR"/>
        </w:rPr>
      </w:pPr>
    </w:p>
    <w:p w14:paraId="68EB74EA" w14:textId="77777777" w:rsidR="00A35D7E" w:rsidRPr="00BC00FF" w:rsidRDefault="00A35D7E" w:rsidP="00A35D7E">
      <w:pPr>
        <w:spacing w:after="0" w:line="240" w:lineRule="auto"/>
        <w:jc w:val="both"/>
        <w:rPr>
          <w:rFonts w:ascii="Verdana" w:eastAsia="Times" w:hAnsi="Verdana" w:cs="Times New Roman"/>
          <w:sz w:val="20"/>
          <w:szCs w:val="20"/>
          <w:lang w:val="es-CR"/>
        </w:rPr>
      </w:pPr>
    </w:p>
    <w:p w14:paraId="2BF12973" w14:textId="77777777" w:rsidR="00A35D7E" w:rsidRDefault="00A35D7E" w:rsidP="00A35D7E">
      <w:pPr>
        <w:spacing w:after="0" w:line="240" w:lineRule="auto"/>
        <w:jc w:val="both"/>
        <w:rPr>
          <w:rFonts w:ascii="Verdana" w:eastAsia="Times" w:hAnsi="Verdana" w:cs="Times New Roman"/>
          <w:sz w:val="20"/>
          <w:szCs w:val="20"/>
          <w:lang w:val="es-ES"/>
        </w:rPr>
      </w:pPr>
    </w:p>
    <w:p w14:paraId="5DCFDE97" w14:textId="77777777" w:rsidR="00A35D7E" w:rsidRDefault="00A35D7E" w:rsidP="00A35D7E">
      <w:pPr>
        <w:spacing w:after="0" w:line="240" w:lineRule="auto"/>
        <w:rPr>
          <w:rFonts w:ascii="Verdana" w:eastAsia="Times" w:hAnsi="Verdana" w:cs="Times New Roman"/>
          <w:sz w:val="20"/>
          <w:szCs w:val="20"/>
          <w:lang w:val="es-ES"/>
        </w:rPr>
      </w:pPr>
    </w:p>
    <w:p w14:paraId="0A9B4171" w14:textId="77777777" w:rsidR="00A35D7E" w:rsidRPr="002C0A2B" w:rsidRDefault="00A35D7E" w:rsidP="00A35D7E">
      <w:pPr>
        <w:spacing w:after="0" w:line="240" w:lineRule="auto"/>
        <w:jc w:val="both"/>
        <w:rPr>
          <w:rFonts w:ascii="Verdana" w:eastAsia="Times" w:hAnsi="Verdana" w:cs="Times New Roman"/>
          <w:sz w:val="20"/>
          <w:szCs w:val="20"/>
          <w:lang w:val="es-CR"/>
        </w:rPr>
      </w:pPr>
    </w:p>
    <w:p w14:paraId="012A45D3" w14:textId="77777777" w:rsidR="00A35D7E" w:rsidRPr="002C0A2B" w:rsidRDefault="00A35D7E" w:rsidP="00A35D7E">
      <w:pPr>
        <w:spacing w:after="0" w:line="240" w:lineRule="auto"/>
        <w:jc w:val="center"/>
        <w:rPr>
          <w:rFonts w:ascii="Verdana" w:eastAsia="Times" w:hAnsi="Verdana" w:cs="Times New Roman"/>
          <w:sz w:val="20"/>
          <w:szCs w:val="20"/>
          <w:lang w:val="es-ES"/>
        </w:rPr>
      </w:pPr>
      <w:r w:rsidRPr="002C0A2B">
        <w:rPr>
          <w:rFonts w:ascii="Verdana" w:eastAsia="Times" w:hAnsi="Verdana" w:cs="Times New Roman"/>
          <w:sz w:val="20"/>
          <w:szCs w:val="20"/>
          <w:lang w:val="es-ES"/>
        </w:rPr>
        <w:t>Humberto Antonio Sierra Porto</w:t>
      </w:r>
    </w:p>
    <w:p w14:paraId="4DC564DA" w14:textId="77777777" w:rsidR="00A35D7E" w:rsidRPr="002C0A2B" w:rsidRDefault="00A35D7E" w:rsidP="00A35D7E">
      <w:pPr>
        <w:spacing w:after="0" w:line="240" w:lineRule="auto"/>
        <w:jc w:val="center"/>
        <w:rPr>
          <w:rFonts w:ascii="Verdana" w:eastAsia="Times" w:hAnsi="Verdana" w:cs="Times New Roman"/>
          <w:sz w:val="20"/>
          <w:szCs w:val="20"/>
          <w:lang w:val="es-ES"/>
        </w:rPr>
      </w:pPr>
      <w:r w:rsidRPr="002C0A2B">
        <w:rPr>
          <w:rFonts w:ascii="Verdana" w:eastAsia="Times" w:hAnsi="Verdana" w:cs="Times New Roman"/>
          <w:sz w:val="20"/>
          <w:szCs w:val="20"/>
          <w:lang w:val="es-ES"/>
        </w:rPr>
        <w:t xml:space="preserve">Presidente </w:t>
      </w:r>
    </w:p>
    <w:p w14:paraId="28BAD7B0" w14:textId="77777777" w:rsidR="00A35D7E" w:rsidRDefault="00A35D7E" w:rsidP="00A35D7E">
      <w:pPr>
        <w:spacing w:after="0" w:line="240" w:lineRule="auto"/>
        <w:jc w:val="both"/>
        <w:rPr>
          <w:rFonts w:ascii="Verdana" w:eastAsia="Times" w:hAnsi="Verdana" w:cs="Times New Roman"/>
          <w:sz w:val="20"/>
          <w:szCs w:val="20"/>
          <w:lang w:val="es-ES"/>
        </w:rPr>
      </w:pPr>
    </w:p>
    <w:p w14:paraId="22F14DBC" w14:textId="77777777" w:rsidR="00A35D7E" w:rsidRPr="002C0A2B" w:rsidRDefault="00A35D7E" w:rsidP="00A35D7E">
      <w:pPr>
        <w:spacing w:after="0" w:line="240" w:lineRule="auto"/>
        <w:jc w:val="both"/>
        <w:rPr>
          <w:rFonts w:ascii="Verdana" w:eastAsia="Times" w:hAnsi="Verdana" w:cs="Times New Roman"/>
          <w:sz w:val="20"/>
          <w:szCs w:val="20"/>
          <w:lang w:val="es-ES"/>
        </w:rPr>
      </w:pPr>
    </w:p>
    <w:p w14:paraId="1E3FF420" w14:textId="77777777" w:rsidR="00A35D7E" w:rsidRPr="002C0A2B" w:rsidRDefault="00A35D7E" w:rsidP="00A35D7E">
      <w:pPr>
        <w:spacing w:after="0" w:line="240" w:lineRule="auto"/>
        <w:jc w:val="both"/>
        <w:rPr>
          <w:rFonts w:ascii="Verdana" w:eastAsia="Times" w:hAnsi="Verdana" w:cs="Times New Roman"/>
          <w:sz w:val="20"/>
          <w:szCs w:val="20"/>
          <w:lang w:val="es-ES"/>
        </w:rPr>
      </w:pPr>
    </w:p>
    <w:p w14:paraId="16852667" w14:textId="77777777" w:rsidR="00A35D7E" w:rsidRDefault="00A35D7E" w:rsidP="00A35D7E">
      <w:pPr>
        <w:spacing w:after="0" w:line="240" w:lineRule="auto"/>
        <w:jc w:val="both"/>
        <w:rPr>
          <w:rFonts w:ascii="Verdana" w:eastAsia="Times" w:hAnsi="Verdana" w:cs="Times New Roman"/>
          <w:sz w:val="20"/>
          <w:szCs w:val="20"/>
          <w:lang w:val="es-ES"/>
        </w:rPr>
      </w:pPr>
    </w:p>
    <w:p w14:paraId="0D1EE86E" w14:textId="77777777" w:rsidR="00A35D7E" w:rsidRPr="002C0A2B" w:rsidRDefault="00A35D7E" w:rsidP="00A35D7E">
      <w:pPr>
        <w:spacing w:after="0" w:line="240" w:lineRule="auto"/>
        <w:jc w:val="both"/>
        <w:rPr>
          <w:rFonts w:ascii="Verdana" w:eastAsia="Times" w:hAnsi="Verdana" w:cs="Times New Roman"/>
          <w:sz w:val="20"/>
          <w:szCs w:val="20"/>
          <w:lang w:val="es-ES"/>
        </w:rPr>
      </w:pPr>
    </w:p>
    <w:p w14:paraId="75C78179" w14:textId="77777777" w:rsidR="00A35D7E" w:rsidRDefault="00A35D7E" w:rsidP="00A35D7E">
      <w:pPr>
        <w:spacing w:after="0" w:line="240" w:lineRule="auto"/>
        <w:jc w:val="both"/>
        <w:rPr>
          <w:rFonts w:ascii="Verdana" w:eastAsia="Times" w:hAnsi="Verdana" w:cs="Times New Roman"/>
          <w:sz w:val="20"/>
          <w:szCs w:val="20"/>
          <w:lang w:val="es-ES"/>
        </w:rPr>
      </w:pPr>
      <w:r>
        <w:rPr>
          <w:rFonts w:ascii="Verdana" w:eastAsia="Times" w:hAnsi="Verdana" w:cs="Times New Roman"/>
          <w:sz w:val="20"/>
          <w:szCs w:val="20"/>
          <w:lang w:val="es-ES"/>
        </w:rPr>
        <w:t>Roberto F. Caldas</w:t>
      </w:r>
      <w:r>
        <w:rPr>
          <w:rFonts w:ascii="Verdana" w:eastAsia="Times" w:hAnsi="Verdana" w:cs="Times New Roman"/>
          <w:sz w:val="20"/>
          <w:szCs w:val="20"/>
          <w:lang w:val="es-ES"/>
        </w:rPr>
        <w:tab/>
      </w:r>
      <w:r>
        <w:rPr>
          <w:rFonts w:ascii="Verdana" w:eastAsia="Times" w:hAnsi="Verdana" w:cs="Times New Roman"/>
          <w:sz w:val="20"/>
          <w:szCs w:val="20"/>
          <w:lang w:val="es-ES"/>
        </w:rPr>
        <w:tab/>
      </w:r>
      <w:r>
        <w:rPr>
          <w:rFonts w:ascii="Verdana" w:eastAsia="Times" w:hAnsi="Verdana" w:cs="Times New Roman"/>
          <w:sz w:val="20"/>
          <w:szCs w:val="20"/>
          <w:lang w:val="es-ES"/>
        </w:rPr>
        <w:tab/>
      </w:r>
      <w:r>
        <w:rPr>
          <w:rFonts w:ascii="Verdana" w:eastAsia="Times" w:hAnsi="Verdana" w:cs="Times New Roman"/>
          <w:sz w:val="20"/>
          <w:szCs w:val="20"/>
          <w:lang w:val="es-ES"/>
        </w:rPr>
        <w:tab/>
      </w:r>
      <w:r>
        <w:rPr>
          <w:rFonts w:ascii="Verdana" w:eastAsia="Times" w:hAnsi="Verdana" w:cs="Times New Roman"/>
          <w:sz w:val="20"/>
          <w:szCs w:val="20"/>
          <w:lang w:val="es-ES"/>
        </w:rPr>
        <w:tab/>
      </w:r>
      <w:r>
        <w:rPr>
          <w:rFonts w:ascii="Verdana" w:eastAsia="Times" w:hAnsi="Verdana" w:cs="Times New Roman"/>
          <w:sz w:val="20"/>
          <w:szCs w:val="20"/>
          <w:lang w:val="es-ES"/>
        </w:rPr>
        <w:tab/>
      </w:r>
      <w:r w:rsidRPr="002C0A2B">
        <w:rPr>
          <w:rFonts w:ascii="Verdana" w:eastAsia="Times" w:hAnsi="Verdana" w:cs="Times New Roman"/>
          <w:sz w:val="20"/>
          <w:szCs w:val="20"/>
          <w:lang w:val="es-ES"/>
        </w:rPr>
        <w:t>Manuel E. Ventura Robles</w:t>
      </w:r>
    </w:p>
    <w:p w14:paraId="01BF0409" w14:textId="77777777" w:rsidR="00A35D7E" w:rsidRDefault="00A35D7E" w:rsidP="00A35D7E">
      <w:pPr>
        <w:spacing w:after="0" w:line="240" w:lineRule="auto"/>
        <w:jc w:val="both"/>
        <w:rPr>
          <w:rFonts w:ascii="Verdana" w:eastAsia="Times" w:hAnsi="Verdana" w:cs="Times New Roman"/>
          <w:sz w:val="20"/>
          <w:szCs w:val="20"/>
          <w:lang w:val="es-ES"/>
        </w:rPr>
      </w:pPr>
    </w:p>
    <w:p w14:paraId="180A712A" w14:textId="77777777" w:rsidR="00A35D7E" w:rsidRDefault="00A35D7E" w:rsidP="00A35D7E">
      <w:pPr>
        <w:spacing w:after="0" w:line="240" w:lineRule="auto"/>
        <w:jc w:val="both"/>
        <w:rPr>
          <w:rFonts w:ascii="Verdana" w:eastAsia="Times" w:hAnsi="Verdana" w:cs="Times New Roman"/>
          <w:sz w:val="20"/>
          <w:szCs w:val="20"/>
          <w:lang w:val="es-ES"/>
        </w:rPr>
      </w:pPr>
    </w:p>
    <w:p w14:paraId="63A40BF5" w14:textId="77777777" w:rsidR="00A35D7E" w:rsidRDefault="00A35D7E" w:rsidP="00A35D7E">
      <w:pPr>
        <w:spacing w:after="0" w:line="240" w:lineRule="auto"/>
        <w:jc w:val="both"/>
        <w:rPr>
          <w:rFonts w:ascii="Verdana" w:eastAsia="Times" w:hAnsi="Verdana" w:cs="Times New Roman"/>
          <w:sz w:val="20"/>
          <w:szCs w:val="20"/>
          <w:lang w:val="es-ES"/>
        </w:rPr>
      </w:pPr>
    </w:p>
    <w:p w14:paraId="276BB396" w14:textId="77777777" w:rsidR="00A35D7E" w:rsidRDefault="00A35D7E" w:rsidP="00A35D7E">
      <w:pPr>
        <w:spacing w:after="0" w:line="240" w:lineRule="auto"/>
        <w:jc w:val="both"/>
        <w:rPr>
          <w:rFonts w:ascii="Verdana" w:eastAsia="Times" w:hAnsi="Verdana" w:cs="Times New Roman"/>
          <w:sz w:val="20"/>
          <w:szCs w:val="20"/>
          <w:lang w:val="es-ES"/>
        </w:rPr>
      </w:pPr>
    </w:p>
    <w:p w14:paraId="69D54573" w14:textId="77777777" w:rsidR="00A35D7E" w:rsidRDefault="00A35D7E" w:rsidP="00A35D7E">
      <w:pPr>
        <w:spacing w:after="0" w:line="240" w:lineRule="auto"/>
        <w:jc w:val="both"/>
        <w:rPr>
          <w:rFonts w:ascii="Verdana" w:eastAsia="Times" w:hAnsi="Verdana" w:cs="Times New Roman"/>
          <w:sz w:val="20"/>
          <w:szCs w:val="20"/>
          <w:lang w:val="es-ES"/>
        </w:rPr>
      </w:pPr>
    </w:p>
    <w:p w14:paraId="35D64351" w14:textId="77777777" w:rsidR="00A35D7E" w:rsidRDefault="00A35D7E" w:rsidP="00A35D7E">
      <w:pPr>
        <w:spacing w:after="0" w:line="240" w:lineRule="auto"/>
        <w:jc w:val="both"/>
        <w:rPr>
          <w:rFonts w:ascii="Verdana" w:eastAsia="Times" w:hAnsi="Verdana" w:cs="Times New Roman"/>
          <w:sz w:val="20"/>
          <w:szCs w:val="20"/>
          <w:lang w:val="es-ES"/>
        </w:rPr>
      </w:pPr>
      <w:r>
        <w:rPr>
          <w:rFonts w:ascii="Verdana" w:eastAsia="Times" w:hAnsi="Verdana" w:cs="Times New Roman"/>
          <w:sz w:val="20"/>
          <w:szCs w:val="20"/>
          <w:lang w:val="es-ES"/>
        </w:rPr>
        <w:t>Diego García-</w:t>
      </w:r>
      <w:r w:rsidRPr="002C0A2B">
        <w:rPr>
          <w:rFonts w:ascii="Verdana" w:eastAsia="Times" w:hAnsi="Verdana" w:cs="Times New Roman"/>
          <w:sz w:val="20"/>
          <w:szCs w:val="20"/>
          <w:lang w:val="es-ES"/>
        </w:rPr>
        <w:t>Sayán</w:t>
      </w:r>
      <w:r w:rsidRPr="005068C2">
        <w:rPr>
          <w:rFonts w:ascii="Verdana" w:eastAsia="Times" w:hAnsi="Verdana" w:cs="Times New Roman"/>
          <w:sz w:val="20"/>
          <w:szCs w:val="20"/>
          <w:lang w:val="es-ES"/>
        </w:rPr>
        <w:t xml:space="preserve"> </w:t>
      </w:r>
      <w:r>
        <w:rPr>
          <w:rFonts w:ascii="Verdana" w:eastAsia="Times" w:hAnsi="Verdana" w:cs="Times New Roman"/>
          <w:sz w:val="20"/>
          <w:szCs w:val="20"/>
          <w:lang w:val="es-ES"/>
        </w:rPr>
        <w:tab/>
      </w:r>
      <w:r>
        <w:rPr>
          <w:rFonts w:ascii="Verdana" w:eastAsia="Times" w:hAnsi="Verdana" w:cs="Times New Roman"/>
          <w:sz w:val="20"/>
          <w:szCs w:val="20"/>
          <w:lang w:val="es-ES"/>
        </w:rPr>
        <w:tab/>
      </w:r>
      <w:r>
        <w:rPr>
          <w:rFonts w:ascii="Verdana" w:eastAsia="Times" w:hAnsi="Verdana" w:cs="Times New Roman"/>
          <w:sz w:val="20"/>
          <w:szCs w:val="20"/>
          <w:lang w:val="es-ES"/>
        </w:rPr>
        <w:tab/>
      </w:r>
      <w:r>
        <w:rPr>
          <w:rFonts w:ascii="Verdana" w:eastAsia="Times" w:hAnsi="Verdana" w:cs="Times New Roman"/>
          <w:sz w:val="20"/>
          <w:szCs w:val="20"/>
          <w:lang w:val="es-ES"/>
        </w:rPr>
        <w:tab/>
      </w:r>
      <w:r>
        <w:rPr>
          <w:rFonts w:ascii="Verdana" w:eastAsia="Times" w:hAnsi="Verdana" w:cs="Times New Roman"/>
          <w:sz w:val="20"/>
          <w:szCs w:val="20"/>
          <w:lang w:val="es-ES"/>
        </w:rPr>
        <w:tab/>
      </w:r>
      <w:r>
        <w:rPr>
          <w:rFonts w:ascii="Verdana" w:eastAsia="Times" w:hAnsi="Verdana" w:cs="Times New Roman"/>
          <w:sz w:val="20"/>
          <w:szCs w:val="20"/>
          <w:lang w:val="es-ES"/>
        </w:rPr>
        <w:tab/>
      </w:r>
      <w:r w:rsidRPr="002C0A2B">
        <w:rPr>
          <w:rFonts w:ascii="Verdana" w:eastAsia="Times" w:hAnsi="Verdana" w:cs="Times New Roman"/>
          <w:sz w:val="20"/>
          <w:szCs w:val="20"/>
          <w:lang w:val="es-ES"/>
        </w:rPr>
        <w:t>Alberto Pérez Pérez</w:t>
      </w:r>
      <w:r w:rsidRPr="00512D32">
        <w:rPr>
          <w:rFonts w:ascii="Verdana" w:eastAsia="Times" w:hAnsi="Verdana" w:cs="Times New Roman"/>
          <w:sz w:val="20"/>
          <w:szCs w:val="20"/>
          <w:lang w:val="es-ES"/>
        </w:rPr>
        <w:t xml:space="preserve"> </w:t>
      </w:r>
      <w:r>
        <w:rPr>
          <w:rFonts w:ascii="Verdana" w:eastAsia="Times" w:hAnsi="Verdana" w:cs="Times New Roman"/>
          <w:sz w:val="20"/>
          <w:szCs w:val="20"/>
          <w:lang w:val="es-ES"/>
        </w:rPr>
        <w:tab/>
      </w:r>
    </w:p>
    <w:p w14:paraId="77E13B89" w14:textId="77777777" w:rsidR="00A35D7E" w:rsidRDefault="00A35D7E" w:rsidP="00A35D7E">
      <w:pPr>
        <w:spacing w:after="0" w:line="240" w:lineRule="auto"/>
        <w:jc w:val="both"/>
        <w:rPr>
          <w:rFonts w:ascii="Verdana" w:eastAsia="Times" w:hAnsi="Verdana" w:cs="Times New Roman"/>
          <w:sz w:val="20"/>
          <w:szCs w:val="20"/>
          <w:lang w:val="es-ES"/>
        </w:rPr>
      </w:pPr>
    </w:p>
    <w:p w14:paraId="16B5F10E" w14:textId="77777777" w:rsidR="00A35D7E" w:rsidRDefault="00A35D7E" w:rsidP="00A35D7E">
      <w:pPr>
        <w:spacing w:after="0" w:line="240" w:lineRule="auto"/>
        <w:jc w:val="both"/>
        <w:rPr>
          <w:rFonts w:ascii="Verdana" w:eastAsia="Times" w:hAnsi="Verdana" w:cs="Times New Roman"/>
          <w:sz w:val="20"/>
          <w:szCs w:val="20"/>
          <w:lang w:val="es-ES"/>
        </w:rPr>
      </w:pPr>
    </w:p>
    <w:p w14:paraId="5CED6A58" w14:textId="77777777" w:rsidR="00A35D7E" w:rsidRDefault="00A35D7E" w:rsidP="00A35D7E">
      <w:pPr>
        <w:spacing w:after="0" w:line="240" w:lineRule="auto"/>
        <w:jc w:val="both"/>
        <w:rPr>
          <w:rFonts w:ascii="Verdana" w:eastAsia="Times" w:hAnsi="Verdana" w:cs="Times New Roman"/>
          <w:sz w:val="20"/>
          <w:szCs w:val="20"/>
          <w:lang w:val="es-ES"/>
        </w:rPr>
      </w:pPr>
    </w:p>
    <w:p w14:paraId="1B159E05" w14:textId="77777777" w:rsidR="00A35D7E" w:rsidRDefault="00A35D7E" w:rsidP="00A35D7E">
      <w:pPr>
        <w:spacing w:after="0" w:line="240" w:lineRule="auto"/>
        <w:jc w:val="both"/>
        <w:rPr>
          <w:rFonts w:ascii="Verdana" w:eastAsia="Times" w:hAnsi="Verdana" w:cs="Times New Roman"/>
          <w:sz w:val="20"/>
          <w:szCs w:val="20"/>
          <w:lang w:val="es-ES"/>
        </w:rPr>
      </w:pPr>
    </w:p>
    <w:p w14:paraId="275BD672" w14:textId="77777777" w:rsidR="00A35D7E" w:rsidRPr="002C0A2B" w:rsidRDefault="00A35D7E" w:rsidP="00A35D7E">
      <w:pPr>
        <w:spacing w:after="0" w:line="240" w:lineRule="auto"/>
        <w:jc w:val="both"/>
        <w:rPr>
          <w:rFonts w:ascii="Verdana" w:eastAsia="Times" w:hAnsi="Verdana" w:cs="Times New Roman"/>
          <w:sz w:val="20"/>
          <w:szCs w:val="20"/>
          <w:lang w:val="es-ES"/>
        </w:rPr>
      </w:pPr>
    </w:p>
    <w:p w14:paraId="093EA8D6" w14:textId="77777777" w:rsidR="00A35D7E" w:rsidRPr="002C0A2B" w:rsidRDefault="00A35D7E" w:rsidP="00A35D7E">
      <w:pPr>
        <w:spacing w:after="0" w:line="240" w:lineRule="auto"/>
        <w:jc w:val="both"/>
        <w:rPr>
          <w:rFonts w:ascii="Verdana" w:eastAsia="Times" w:hAnsi="Verdana" w:cs="Times New Roman"/>
          <w:sz w:val="20"/>
          <w:szCs w:val="20"/>
          <w:lang w:val="es-ES"/>
        </w:rPr>
      </w:pPr>
      <w:r w:rsidRPr="002C0A2B">
        <w:rPr>
          <w:rFonts w:ascii="Verdana" w:eastAsia="Times" w:hAnsi="Verdana" w:cs="Times New Roman"/>
          <w:sz w:val="20"/>
          <w:szCs w:val="20"/>
          <w:lang w:val="es-ES"/>
        </w:rPr>
        <w:t xml:space="preserve">Eduardo Vio Grossi                                              </w:t>
      </w:r>
      <w:r>
        <w:rPr>
          <w:rFonts w:ascii="Verdana" w:eastAsia="Times" w:hAnsi="Verdana" w:cs="Times New Roman"/>
          <w:sz w:val="20"/>
          <w:szCs w:val="20"/>
          <w:lang w:val="es-ES"/>
        </w:rPr>
        <w:t xml:space="preserve">         </w:t>
      </w:r>
      <w:r w:rsidRPr="002C0A2B">
        <w:rPr>
          <w:rFonts w:ascii="Verdana" w:eastAsia="Times" w:hAnsi="Verdana" w:cs="Times New Roman"/>
          <w:sz w:val="20"/>
          <w:szCs w:val="20"/>
          <w:lang w:val="es-ES"/>
        </w:rPr>
        <w:t>Eduardo Ferrer Mac-Gregor Poisot</w:t>
      </w:r>
    </w:p>
    <w:p w14:paraId="43DFCFEA" w14:textId="77777777" w:rsidR="00A35D7E" w:rsidRDefault="00A35D7E" w:rsidP="00A35D7E">
      <w:pPr>
        <w:spacing w:after="0" w:line="240" w:lineRule="auto"/>
        <w:jc w:val="both"/>
        <w:rPr>
          <w:rFonts w:ascii="Verdana" w:eastAsia="Times" w:hAnsi="Verdana" w:cs="Times New Roman"/>
          <w:sz w:val="20"/>
          <w:szCs w:val="20"/>
          <w:lang w:val="es-ES"/>
        </w:rPr>
      </w:pPr>
    </w:p>
    <w:p w14:paraId="7C382A5B" w14:textId="77777777" w:rsidR="00A35D7E" w:rsidRDefault="00A35D7E" w:rsidP="00A35D7E">
      <w:pPr>
        <w:spacing w:after="0" w:line="240" w:lineRule="auto"/>
        <w:jc w:val="both"/>
        <w:rPr>
          <w:rFonts w:ascii="Verdana" w:eastAsia="Times" w:hAnsi="Verdana" w:cs="Times New Roman"/>
          <w:sz w:val="20"/>
          <w:szCs w:val="20"/>
          <w:lang w:val="es-ES"/>
        </w:rPr>
      </w:pPr>
    </w:p>
    <w:p w14:paraId="11BDE9E9" w14:textId="77777777" w:rsidR="00A35D7E" w:rsidRDefault="00A35D7E" w:rsidP="00A35D7E">
      <w:pPr>
        <w:spacing w:after="0" w:line="240" w:lineRule="auto"/>
        <w:jc w:val="both"/>
        <w:rPr>
          <w:rFonts w:ascii="Verdana" w:eastAsia="Times" w:hAnsi="Verdana" w:cs="Times New Roman"/>
          <w:sz w:val="20"/>
          <w:szCs w:val="20"/>
          <w:lang w:val="es-ES"/>
        </w:rPr>
      </w:pPr>
    </w:p>
    <w:p w14:paraId="3DC34512" w14:textId="77777777" w:rsidR="00A35D7E" w:rsidRDefault="00A35D7E" w:rsidP="00A35D7E">
      <w:pPr>
        <w:spacing w:after="0" w:line="240" w:lineRule="auto"/>
        <w:jc w:val="both"/>
        <w:rPr>
          <w:rFonts w:ascii="Verdana" w:eastAsia="Times" w:hAnsi="Verdana" w:cs="Times New Roman"/>
          <w:sz w:val="20"/>
          <w:szCs w:val="20"/>
          <w:lang w:val="es-ES"/>
        </w:rPr>
      </w:pPr>
    </w:p>
    <w:p w14:paraId="073D8A93" w14:textId="77777777" w:rsidR="00A35D7E" w:rsidRDefault="00A35D7E" w:rsidP="00A35D7E">
      <w:pPr>
        <w:spacing w:after="0" w:line="240" w:lineRule="auto"/>
        <w:rPr>
          <w:rFonts w:ascii="Verdana" w:eastAsia="Times" w:hAnsi="Verdana" w:cs="Times New Roman"/>
          <w:sz w:val="20"/>
          <w:szCs w:val="20"/>
          <w:lang w:val="es-ES"/>
        </w:rPr>
      </w:pPr>
    </w:p>
    <w:p w14:paraId="5EF9E45F" w14:textId="77777777" w:rsidR="00A35D7E" w:rsidRDefault="00A35D7E" w:rsidP="00A35D7E">
      <w:pPr>
        <w:spacing w:after="0" w:line="240" w:lineRule="auto"/>
        <w:jc w:val="center"/>
        <w:rPr>
          <w:rFonts w:ascii="Verdana" w:eastAsia="Times" w:hAnsi="Verdana" w:cs="Times New Roman"/>
          <w:sz w:val="20"/>
          <w:szCs w:val="20"/>
          <w:lang w:val="es-ES"/>
        </w:rPr>
      </w:pPr>
    </w:p>
    <w:p w14:paraId="33BAE87B" w14:textId="77777777" w:rsidR="00A35D7E" w:rsidRPr="002C0A2B" w:rsidRDefault="00A35D7E" w:rsidP="00A35D7E">
      <w:pPr>
        <w:spacing w:after="0" w:line="240" w:lineRule="auto"/>
        <w:jc w:val="center"/>
        <w:rPr>
          <w:rFonts w:ascii="Verdana" w:eastAsia="Times" w:hAnsi="Verdana" w:cs="Times New Roman"/>
          <w:sz w:val="20"/>
          <w:szCs w:val="20"/>
          <w:lang w:val="es-ES"/>
        </w:rPr>
      </w:pPr>
      <w:r w:rsidRPr="002C0A2B">
        <w:rPr>
          <w:rFonts w:ascii="Verdana" w:eastAsia="Times" w:hAnsi="Verdana" w:cs="Times New Roman"/>
          <w:sz w:val="20"/>
          <w:szCs w:val="20"/>
          <w:lang w:val="es-ES"/>
        </w:rPr>
        <w:t>Pablo Saavedra Alessandri</w:t>
      </w:r>
    </w:p>
    <w:p w14:paraId="2475739A" w14:textId="77777777" w:rsidR="00A35D7E" w:rsidRPr="002C0A2B" w:rsidRDefault="00A35D7E" w:rsidP="00A35D7E">
      <w:pPr>
        <w:spacing w:after="0" w:line="240" w:lineRule="auto"/>
        <w:jc w:val="center"/>
        <w:rPr>
          <w:rFonts w:ascii="Verdana" w:eastAsia="Times" w:hAnsi="Verdana" w:cs="Times New Roman"/>
          <w:sz w:val="20"/>
          <w:szCs w:val="20"/>
          <w:lang w:val="es-ES"/>
        </w:rPr>
      </w:pPr>
      <w:r w:rsidRPr="002C0A2B">
        <w:rPr>
          <w:rFonts w:ascii="Verdana" w:eastAsia="Times" w:hAnsi="Verdana" w:cs="Times New Roman"/>
          <w:sz w:val="20"/>
          <w:szCs w:val="20"/>
          <w:lang w:val="es-ES"/>
        </w:rPr>
        <w:t>Secretario</w:t>
      </w:r>
    </w:p>
    <w:p w14:paraId="48E0A845" w14:textId="77777777" w:rsidR="00A35D7E" w:rsidRPr="002C0A2B" w:rsidRDefault="00A35D7E" w:rsidP="00A35D7E">
      <w:pPr>
        <w:spacing w:after="0" w:line="240" w:lineRule="auto"/>
        <w:rPr>
          <w:rFonts w:ascii="Verdana" w:eastAsia="Times" w:hAnsi="Verdana" w:cs="Times New Roman"/>
          <w:sz w:val="20"/>
          <w:szCs w:val="20"/>
          <w:lang w:val="es-ES"/>
        </w:rPr>
      </w:pPr>
    </w:p>
    <w:p w14:paraId="6DA44A49" w14:textId="77777777" w:rsidR="00A35D7E" w:rsidRPr="002C0A2B" w:rsidRDefault="00A35D7E" w:rsidP="00A35D7E">
      <w:pPr>
        <w:spacing w:after="0" w:line="240" w:lineRule="auto"/>
        <w:jc w:val="both"/>
        <w:rPr>
          <w:rFonts w:ascii="Verdana" w:eastAsia="Times" w:hAnsi="Verdana" w:cs="Times New Roman"/>
          <w:sz w:val="20"/>
          <w:szCs w:val="20"/>
          <w:lang w:val="es-ES"/>
        </w:rPr>
      </w:pPr>
    </w:p>
    <w:p w14:paraId="52C2CFF3" w14:textId="77777777" w:rsidR="00A35D7E" w:rsidRPr="002C0A2B" w:rsidRDefault="00A35D7E" w:rsidP="00A35D7E">
      <w:pPr>
        <w:spacing w:after="0" w:line="240" w:lineRule="auto"/>
        <w:jc w:val="both"/>
        <w:rPr>
          <w:rFonts w:ascii="Verdana" w:eastAsia="Times" w:hAnsi="Verdana" w:cs="Times New Roman"/>
          <w:sz w:val="20"/>
          <w:szCs w:val="20"/>
          <w:lang w:val="es-ES"/>
        </w:rPr>
      </w:pPr>
      <w:r w:rsidRPr="002C0A2B">
        <w:rPr>
          <w:rFonts w:ascii="Verdana" w:eastAsia="Times" w:hAnsi="Verdana" w:cs="Times New Roman"/>
          <w:sz w:val="20"/>
          <w:szCs w:val="20"/>
          <w:lang w:val="es-ES"/>
        </w:rPr>
        <w:t>Comuníquese y ejecútese,</w:t>
      </w:r>
    </w:p>
    <w:p w14:paraId="16B079AB" w14:textId="77777777" w:rsidR="00A35D7E" w:rsidRPr="002C0A2B" w:rsidRDefault="00A35D7E" w:rsidP="00A35D7E">
      <w:pPr>
        <w:spacing w:after="0" w:line="240" w:lineRule="auto"/>
        <w:jc w:val="both"/>
        <w:rPr>
          <w:rFonts w:ascii="Verdana" w:eastAsia="Times" w:hAnsi="Verdana" w:cs="Times New Roman"/>
          <w:sz w:val="20"/>
          <w:szCs w:val="20"/>
          <w:lang w:val="es-ES"/>
        </w:rPr>
      </w:pPr>
    </w:p>
    <w:p w14:paraId="0B38472D" w14:textId="77777777" w:rsidR="00A35D7E" w:rsidRPr="002C0A2B" w:rsidRDefault="00A35D7E" w:rsidP="00A35D7E">
      <w:pPr>
        <w:spacing w:after="0" w:line="240" w:lineRule="auto"/>
        <w:jc w:val="both"/>
        <w:rPr>
          <w:rFonts w:ascii="Verdana" w:eastAsia="Times" w:hAnsi="Verdana" w:cs="Times New Roman"/>
          <w:sz w:val="20"/>
          <w:szCs w:val="20"/>
          <w:lang w:val="es-ES"/>
        </w:rPr>
      </w:pPr>
    </w:p>
    <w:p w14:paraId="090F49B7" w14:textId="77777777" w:rsidR="00A35D7E" w:rsidRPr="002C0A2B" w:rsidRDefault="00A35D7E" w:rsidP="00A35D7E">
      <w:pPr>
        <w:spacing w:after="0" w:line="240" w:lineRule="auto"/>
        <w:jc w:val="both"/>
        <w:rPr>
          <w:rFonts w:ascii="Verdana" w:eastAsia="Times" w:hAnsi="Verdana" w:cs="Times New Roman"/>
          <w:sz w:val="20"/>
          <w:szCs w:val="20"/>
          <w:lang w:val="es-ES"/>
        </w:rPr>
      </w:pPr>
    </w:p>
    <w:p w14:paraId="2A8BA615" w14:textId="77777777" w:rsidR="00A35D7E" w:rsidRPr="002C0A2B" w:rsidRDefault="00A35D7E" w:rsidP="00A35D7E">
      <w:pPr>
        <w:spacing w:after="0" w:line="240" w:lineRule="auto"/>
        <w:jc w:val="both"/>
        <w:rPr>
          <w:rFonts w:ascii="Verdana" w:eastAsia="Times" w:hAnsi="Verdana" w:cs="Times New Roman"/>
          <w:sz w:val="20"/>
          <w:szCs w:val="20"/>
          <w:lang w:val="es-CR"/>
        </w:rPr>
      </w:pPr>
    </w:p>
    <w:p w14:paraId="4A6F3ABC" w14:textId="77777777" w:rsidR="00A35D7E" w:rsidRPr="002C0A2B" w:rsidRDefault="00A35D7E" w:rsidP="00A35D7E">
      <w:pPr>
        <w:spacing w:after="0" w:line="240" w:lineRule="auto"/>
        <w:ind w:left="5040"/>
        <w:rPr>
          <w:rFonts w:ascii="Verdana" w:eastAsia="Times" w:hAnsi="Verdana" w:cs="Times New Roman"/>
          <w:sz w:val="20"/>
          <w:szCs w:val="20"/>
          <w:lang w:val="es-ES"/>
        </w:rPr>
      </w:pPr>
      <w:r w:rsidRPr="002C0A2B">
        <w:rPr>
          <w:rFonts w:ascii="Verdana" w:eastAsia="Times" w:hAnsi="Verdana" w:cs="Times New Roman"/>
          <w:sz w:val="20"/>
          <w:szCs w:val="20"/>
          <w:lang w:val="es-ES"/>
        </w:rPr>
        <w:t xml:space="preserve">       Humberto Antonio Sierra Porto</w:t>
      </w:r>
      <w:r w:rsidRPr="002C0A2B">
        <w:rPr>
          <w:rFonts w:ascii="Verdana" w:eastAsia="Times" w:hAnsi="Verdana" w:cs="Times New Roman"/>
          <w:sz w:val="20"/>
          <w:szCs w:val="20"/>
          <w:lang w:val="es-ES"/>
        </w:rPr>
        <w:tab/>
      </w:r>
    </w:p>
    <w:p w14:paraId="282D2699" w14:textId="77777777" w:rsidR="00A35D7E" w:rsidRPr="002C0A2B" w:rsidRDefault="00A35D7E" w:rsidP="00A35D7E">
      <w:pPr>
        <w:spacing w:after="0" w:line="240" w:lineRule="auto"/>
        <w:ind w:left="5760"/>
        <w:rPr>
          <w:rFonts w:ascii="Verdana" w:eastAsia="Times" w:hAnsi="Verdana" w:cs="Times New Roman"/>
          <w:sz w:val="20"/>
          <w:szCs w:val="20"/>
          <w:lang w:val="es-ES"/>
        </w:rPr>
      </w:pPr>
      <w:r>
        <w:rPr>
          <w:rFonts w:ascii="Verdana" w:eastAsia="Times" w:hAnsi="Verdana" w:cs="Times New Roman"/>
          <w:sz w:val="20"/>
          <w:szCs w:val="20"/>
          <w:lang w:val="es-ES"/>
        </w:rPr>
        <w:t xml:space="preserve">          </w:t>
      </w:r>
      <w:r w:rsidRPr="002C0A2B">
        <w:rPr>
          <w:rFonts w:ascii="Verdana" w:eastAsia="Times" w:hAnsi="Verdana" w:cs="Times New Roman"/>
          <w:sz w:val="20"/>
          <w:szCs w:val="20"/>
          <w:lang w:val="es-ES"/>
        </w:rPr>
        <w:t>Presidente</w:t>
      </w:r>
    </w:p>
    <w:p w14:paraId="672E8F6D" w14:textId="77777777" w:rsidR="00A35D7E" w:rsidRPr="002C0A2B" w:rsidRDefault="00A35D7E" w:rsidP="00A35D7E">
      <w:pPr>
        <w:spacing w:after="0" w:line="240" w:lineRule="auto"/>
        <w:jc w:val="both"/>
        <w:rPr>
          <w:rFonts w:ascii="Verdana" w:eastAsia="Times" w:hAnsi="Verdana" w:cs="Times New Roman"/>
          <w:sz w:val="20"/>
          <w:szCs w:val="20"/>
          <w:lang w:val="es-ES"/>
        </w:rPr>
      </w:pPr>
    </w:p>
    <w:p w14:paraId="00412C42" w14:textId="77777777" w:rsidR="00A35D7E" w:rsidRPr="002C0A2B" w:rsidRDefault="00A35D7E" w:rsidP="00A35D7E">
      <w:pPr>
        <w:spacing w:after="0" w:line="240" w:lineRule="auto"/>
        <w:jc w:val="both"/>
        <w:rPr>
          <w:rFonts w:ascii="Verdana" w:eastAsia="Times" w:hAnsi="Verdana" w:cs="Times New Roman"/>
          <w:sz w:val="20"/>
          <w:szCs w:val="20"/>
          <w:lang w:val="es-ES"/>
        </w:rPr>
      </w:pPr>
    </w:p>
    <w:p w14:paraId="5F4B836B" w14:textId="77777777" w:rsidR="00A35D7E" w:rsidRPr="002C0A2B" w:rsidRDefault="00A35D7E" w:rsidP="00A35D7E">
      <w:pPr>
        <w:spacing w:after="0" w:line="240" w:lineRule="auto"/>
        <w:jc w:val="both"/>
        <w:rPr>
          <w:rFonts w:ascii="Verdana" w:eastAsia="Times" w:hAnsi="Verdana" w:cs="Times New Roman"/>
          <w:sz w:val="20"/>
          <w:szCs w:val="20"/>
          <w:lang w:val="es-ES"/>
        </w:rPr>
      </w:pPr>
    </w:p>
    <w:p w14:paraId="6EFD767D" w14:textId="77777777" w:rsidR="00A35D7E" w:rsidRPr="002C0A2B" w:rsidRDefault="00A35D7E" w:rsidP="00A35D7E">
      <w:pPr>
        <w:spacing w:after="0" w:line="240" w:lineRule="auto"/>
        <w:jc w:val="both"/>
        <w:rPr>
          <w:rFonts w:ascii="Verdana" w:eastAsia="Times" w:hAnsi="Verdana" w:cs="Times New Roman"/>
          <w:sz w:val="20"/>
          <w:szCs w:val="20"/>
          <w:lang w:val="es-ES"/>
        </w:rPr>
      </w:pPr>
    </w:p>
    <w:p w14:paraId="0CB780BD" w14:textId="77777777" w:rsidR="00A35D7E" w:rsidRPr="002C0A2B" w:rsidRDefault="00A35D7E" w:rsidP="00A35D7E">
      <w:pPr>
        <w:spacing w:after="0" w:line="240" w:lineRule="auto"/>
        <w:jc w:val="both"/>
        <w:rPr>
          <w:rFonts w:ascii="Verdana" w:eastAsia="Times" w:hAnsi="Verdana" w:cs="Times New Roman"/>
          <w:sz w:val="20"/>
          <w:szCs w:val="20"/>
          <w:lang w:val="es-ES"/>
        </w:rPr>
      </w:pPr>
      <w:r w:rsidRPr="002C0A2B">
        <w:rPr>
          <w:rFonts w:ascii="Verdana" w:eastAsia="Times" w:hAnsi="Verdana" w:cs="Times New Roman"/>
          <w:sz w:val="20"/>
          <w:szCs w:val="20"/>
          <w:lang w:val="es-ES"/>
        </w:rPr>
        <w:t>Pablo Saavedra Alessandri</w:t>
      </w:r>
    </w:p>
    <w:p w14:paraId="76D298B7" w14:textId="77777777" w:rsidR="00A35D7E" w:rsidRPr="005068C2" w:rsidRDefault="00A35D7E" w:rsidP="00A35D7E">
      <w:pPr>
        <w:spacing w:after="0" w:line="240" w:lineRule="auto"/>
        <w:rPr>
          <w:rFonts w:ascii="Verdana" w:eastAsia="Times" w:hAnsi="Verdana" w:cs="Times New Roman"/>
          <w:sz w:val="20"/>
          <w:szCs w:val="20"/>
        </w:rPr>
      </w:pPr>
      <w:r w:rsidRPr="002C0A2B">
        <w:rPr>
          <w:rFonts w:ascii="Verdana" w:eastAsia="Times" w:hAnsi="Verdana" w:cs="Times New Roman"/>
          <w:sz w:val="20"/>
          <w:szCs w:val="20"/>
          <w:lang w:val="es-ES"/>
        </w:rPr>
        <w:tab/>
      </w:r>
      <w:r w:rsidRPr="002C0A2B">
        <w:rPr>
          <w:rFonts w:ascii="Verdana" w:eastAsia="Times" w:hAnsi="Verdana" w:cs="Times New Roman"/>
          <w:sz w:val="20"/>
          <w:szCs w:val="20"/>
        </w:rPr>
        <w:t>Secretario</w:t>
      </w:r>
    </w:p>
    <w:p w14:paraId="6B357DE1" w14:textId="77777777" w:rsidR="00A35D7E" w:rsidRPr="00674C3F" w:rsidRDefault="00A35D7E" w:rsidP="00674C3F">
      <w:pPr>
        <w:spacing w:after="0" w:line="240" w:lineRule="auto"/>
        <w:ind w:right="1444"/>
        <w:jc w:val="both"/>
        <w:rPr>
          <w:rFonts w:ascii="Verdana" w:hAnsi="Verdana"/>
          <w:sz w:val="20"/>
          <w:szCs w:val="20"/>
          <w:lang w:val="es-ES"/>
        </w:rPr>
      </w:pPr>
    </w:p>
    <w:sectPr w:rsidR="00A35D7E" w:rsidRPr="00674C3F" w:rsidSect="0018425E">
      <w:footerReference w:type="default" r:id="rId8"/>
      <w:pgSz w:w="12240" w:h="15840"/>
      <w:pgMar w:top="1440" w:right="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2B0869" w14:textId="77777777" w:rsidR="007E32D6" w:rsidRDefault="007E32D6" w:rsidP="0052428B">
      <w:pPr>
        <w:spacing w:after="0" w:line="240" w:lineRule="auto"/>
      </w:pPr>
      <w:r>
        <w:separator/>
      </w:r>
    </w:p>
  </w:endnote>
  <w:endnote w:type="continuationSeparator" w:id="0">
    <w:p w14:paraId="1E36D9D8" w14:textId="77777777" w:rsidR="007E32D6" w:rsidRDefault="007E32D6" w:rsidP="00524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Italic">
    <w:altName w:val="Verdana"/>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Univers">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3957054"/>
      <w:docPartObj>
        <w:docPartGallery w:val="Page Numbers (Bottom of Page)"/>
        <w:docPartUnique/>
      </w:docPartObj>
    </w:sdtPr>
    <w:sdtEndPr>
      <w:rPr>
        <w:rFonts w:ascii="Verdana" w:hAnsi="Verdana"/>
        <w:sz w:val="18"/>
        <w:szCs w:val="18"/>
      </w:rPr>
    </w:sdtEndPr>
    <w:sdtContent>
      <w:p w14:paraId="616CA27F" w14:textId="77777777" w:rsidR="0018425E" w:rsidRPr="000E71F6" w:rsidRDefault="0018425E" w:rsidP="0018425E">
        <w:pPr>
          <w:pStyle w:val="Footer"/>
          <w:ind w:right="1444"/>
          <w:jc w:val="center"/>
          <w:rPr>
            <w:rFonts w:ascii="Verdana" w:hAnsi="Verdana"/>
            <w:sz w:val="18"/>
            <w:szCs w:val="18"/>
          </w:rPr>
        </w:pPr>
        <w:r w:rsidRPr="000E71F6">
          <w:rPr>
            <w:rFonts w:ascii="Verdana" w:hAnsi="Verdana"/>
            <w:sz w:val="18"/>
            <w:szCs w:val="18"/>
          </w:rPr>
          <w:fldChar w:fldCharType="begin"/>
        </w:r>
        <w:r w:rsidRPr="000E71F6">
          <w:rPr>
            <w:rFonts w:ascii="Verdana" w:hAnsi="Verdana"/>
            <w:sz w:val="18"/>
            <w:szCs w:val="18"/>
          </w:rPr>
          <w:instrText xml:space="preserve"> PAGE   \* MERGEFORMAT </w:instrText>
        </w:r>
        <w:r w:rsidRPr="000E71F6">
          <w:rPr>
            <w:rFonts w:ascii="Verdana" w:hAnsi="Verdana"/>
            <w:sz w:val="18"/>
            <w:szCs w:val="18"/>
          </w:rPr>
          <w:fldChar w:fldCharType="separate"/>
        </w:r>
        <w:r w:rsidR="007E3C4B">
          <w:rPr>
            <w:rFonts w:ascii="Verdana" w:hAnsi="Verdana"/>
            <w:noProof/>
            <w:sz w:val="18"/>
            <w:szCs w:val="18"/>
          </w:rPr>
          <w:t>31</w:t>
        </w:r>
        <w:r w:rsidRPr="000E71F6">
          <w:rPr>
            <w:rFonts w:ascii="Verdana" w:hAnsi="Verdana"/>
            <w:sz w:val="18"/>
            <w:szCs w:val="18"/>
          </w:rPr>
          <w:fldChar w:fldCharType="end"/>
        </w:r>
      </w:p>
    </w:sdtContent>
  </w:sdt>
  <w:p w14:paraId="1FA2C86B" w14:textId="77777777" w:rsidR="0018425E" w:rsidRDefault="0018425E" w:rsidP="006739ED">
    <w:pPr>
      <w:pStyle w:val="Footer"/>
      <w:ind w:right="144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486722" w14:textId="77777777" w:rsidR="007E32D6" w:rsidRDefault="007E32D6" w:rsidP="0052428B">
      <w:pPr>
        <w:spacing w:after="0" w:line="240" w:lineRule="auto"/>
      </w:pPr>
      <w:r>
        <w:separator/>
      </w:r>
    </w:p>
  </w:footnote>
  <w:footnote w:type="continuationSeparator" w:id="0">
    <w:p w14:paraId="12AD986D" w14:textId="77777777" w:rsidR="007E32D6" w:rsidRDefault="007E32D6" w:rsidP="0052428B">
      <w:pPr>
        <w:spacing w:after="0" w:line="240" w:lineRule="auto"/>
      </w:pPr>
      <w:r>
        <w:continuationSeparator/>
      </w:r>
    </w:p>
  </w:footnote>
  <w:footnote w:id="1">
    <w:p w14:paraId="08D026C7" w14:textId="77777777" w:rsidR="0018425E" w:rsidRPr="00556DE0" w:rsidRDefault="0018425E" w:rsidP="00F57746">
      <w:pPr>
        <w:pStyle w:val="FootnoteText"/>
        <w:ind w:right="1444"/>
        <w:jc w:val="both"/>
        <w:rPr>
          <w:rFonts w:ascii="Verdana" w:hAnsi="Verdana"/>
          <w:sz w:val="16"/>
          <w:szCs w:val="16"/>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t xml:space="preserve">Con relación al caso </w:t>
      </w:r>
      <w:r w:rsidRPr="00556DE0">
        <w:rPr>
          <w:rFonts w:ascii="Verdana" w:hAnsi="Verdana"/>
          <w:i/>
          <w:sz w:val="16"/>
          <w:szCs w:val="16"/>
        </w:rPr>
        <w:t>Blake</w:t>
      </w:r>
      <w:r w:rsidRPr="00556DE0">
        <w:rPr>
          <w:rFonts w:ascii="Verdana" w:hAnsi="Verdana"/>
          <w:sz w:val="16"/>
          <w:szCs w:val="16"/>
        </w:rPr>
        <w:t xml:space="preserve">, la ordenada en el punto resolutivo 1; al caso </w:t>
      </w:r>
      <w:r w:rsidRPr="00556DE0">
        <w:rPr>
          <w:rFonts w:ascii="Verdana" w:hAnsi="Verdana"/>
          <w:i/>
          <w:sz w:val="16"/>
          <w:szCs w:val="16"/>
        </w:rPr>
        <w:t>Niños de la Calle</w:t>
      </w:r>
      <w:r w:rsidRPr="00556DE0">
        <w:rPr>
          <w:rFonts w:ascii="Verdana" w:hAnsi="Verdana"/>
          <w:sz w:val="16"/>
          <w:szCs w:val="16"/>
        </w:rPr>
        <w:t xml:space="preserve">, en el punto 8; al caso </w:t>
      </w:r>
      <w:r w:rsidRPr="00556DE0">
        <w:rPr>
          <w:rFonts w:ascii="Verdana" w:hAnsi="Verdana"/>
          <w:i/>
          <w:sz w:val="16"/>
          <w:szCs w:val="16"/>
        </w:rPr>
        <w:t>Bámaca Velásquez</w:t>
      </w:r>
      <w:r w:rsidRPr="00556DE0">
        <w:rPr>
          <w:rFonts w:ascii="Verdana" w:hAnsi="Verdana"/>
          <w:sz w:val="16"/>
          <w:szCs w:val="16"/>
        </w:rPr>
        <w:t xml:space="preserve">, en el punto 2; al caso </w:t>
      </w:r>
      <w:r w:rsidRPr="00556DE0">
        <w:rPr>
          <w:rFonts w:ascii="Verdana" w:hAnsi="Verdana"/>
          <w:i/>
          <w:sz w:val="16"/>
          <w:szCs w:val="16"/>
        </w:rPr>
        <w:t>Maritza Urrutia</w:t>
      </w:r>
      <w:r w:rsidRPr="00556DE0">
        <w:rPr>
          <w:rFonts w:ascii="Verdana" w:hAnsi="Verdana"/>
          <w:sz w:val="16"/>
          <w:szCs w:val="16"/>
        </w:rPr>
        <w:t xml:space="preserve">, en el punto 5; al caso </w:t>
      </w:r>
      <w:r w:rsidRPr="00556DE0">
        <w:rPr>
          <w:rFonts w:ascii="Verdana" w:hAnsi="Verdana"/>
          <w:i/>
          <w:sz w:val="16"/>
          <w:szCs w:val="16"/>
        </w:rPr>
        <w:t>Masacre Plan de Sánchez</w:t>
      </w:r>
      <w:r w:rsidRPr="00556DE0">
        <w:rPr>
          <w:rFonts w:ascii="Verdana" w:hAnsi="Verdana"/>
          <w:sz w:val="16"/>
          <w:szCs w:val="16"/>
        </w:rPr>
        <w:t xml:space="preserve">, en el punto 1; al caso </w:t>
      </w:r>
      <w:r w:rsidRPr="00556DE0">
        <w:rPr>
          <w:rFonts w:ascii="Verdana" w:hAnsi="Verdana"/>
          <w:i/>
          <w:sz w:val="16"/>
          <w:szCs w:val="16"/>
        </w:rPr>
        <w:t>Molina Theissen</w:t>
      </w:r>
      <w:r w:rsidRPr="00556DE0">
        <w:rPr>
          <w:rFonts w:ascii="Verdana" w:hAnsi="Verdana"/>
          <w:sz w:val="16"/>
          <w:szCs w:val="16"/>
        </w:rPr>
        <w:t xml:space="preserve">, en el punto 3; al caso </w:t>
      </w:r>
      <w:r w:rsidRPr="00556DE0">
        <w:rPr>
          <w:rFonts w:ascii="Verdana" w:hAnsi="Verdana"/>
          <w:i/>
          <w:sz w:val="16"/>
          <w:szCs w:val="16"/>
        </w:rPr>
        <w:t>Carpio Nicolle</w:t>
      </w:r>
      <w:r w:rsidRPr="00556DE0">
        <w:rPr>
          <w:rFonts w:ascii="Verdana" w:hAnsi="Verdana"/>
          <w:sz w:val="16"/>
          <w:szCs w:val="16"/>
        </w:rPr>
        <w:t xml:space="preserve">, en el punto 1; al caso </w:t>
      </w:r>
      <w:r w:rsidRPr="00556DE0">
        <w:rPr>
          <w:rFonts w:ascii="Verdana" w:hAnsi="Verdana"/>
          <w:i/>
          <w:sz w:val="16"/>
          <w:szCs w:val="16"/>
        </w:rPr>
        <w:t>Tiu Tojín</w:t>
      </w:r>
      <w:r w:rsidRPr="00556DE0">
        <w:rPr>
          <w:rFonts w:ascii="Verdana" w:hAnsi="Verdana"/>
          <w:sz w:val="16"/>
          <w:szCs w:val="16"/>
        </w:rPr>
        <w:t xml:space="preserve">, en el punto 6; al caso de la </w:t>
      </w:r>
      <w:r w:rsidRPr="00556DE0">
        <w:rPr>
          <w:rFonts w:ascii="Verdana" w:hAnsi="Verdana"/>
          <w:i/>
          <w:sz w:val="16"/>
          <w:szCs w:val="16"/>
        </w:rPr>
        <w:t>Masacre de las Dos Erres</w:t>
      </w:r>
      <w:r w:rsidRPr="00556DE0">
        <w:rPr>
          <w:rFonts w:ascii="Verdana" w:hAnsi="Verdana"/>
          <w:sz w:val="16"/>
          <w:szCs w:val="16"/>
        </w:rPr>
        <w:t xml:space="preserve">, en el punto 8; al caso </w:t>
      </w:r>
      <w:r w:rsidRPr="00556DE0">
        <w:rPr>
          <w:rFonts w:ascii="Verdana" w:hAnsi="Verdana"/>
          <w:i/>
          <w:sz w:val="16"/>
          <w:szCs w:val="16"/>
        </w:rPr>
        <w:t>Chitay Nech</w:t>
      </w:r>
      <w:r w:rsidRPr="00556DE0">
        <w:rPr>
          <w:rFonts w:ascii="Verdana" w:hAnsi="Verdana"/>
          <w:sz w:val="16"/>
          <w:szCs w:val="16"/>
        </w:rPr>
        <w:t xml:space="preserve">, en el punto 12; al caso </w:t>
      </w:r>
      <w:r w:rsidRPr="00556DE0">
        <w:rPr>
          <w:rFonts w:ascii="Verdana" w:hAnsi="Verdana"/>
          <w:i/>
          <w:sz w:val="16"/>
          <w:szCs w:val="16"/>
        </w:rPr>
        <w:t>Mack Chang</w:t>
      </w:r>
      <w:r w:rsidRPr="00556DE0">
        <w:rPr>
          <w:rFonts w:ascii="Verdana" w:hAnsi="Verdana"/>
          <w:sz w:val="16"/>
          <w:szCs w:val="16"/>
        </w:rPr>
        <w:t xml:space="preserve">, en el punto 5; y al caso de la </w:t>
      </w:r>
      <w:r w:rsidRPr="00556DE0">
        <w:rPr>
          <w:rFonts w:ascii="Verdana" w:hAnsi="Verdana"/>
          <w:i/>
          <w:sz w:val="16"/>
          <w:szCs w:val="16"/>
        </w:rPr>
        <w:t>Panel Blanca</w:t>
      </w:r>
      <w:r w:rsidRPr="00556DE0">
        <w:rPr>
          <w:rFonts w:ascii="Verdana" w:hAnsi="Verdana"/>
          <w:sz w:val="16"/>
          <w:szCs w:val="16"/>
        </w:rPr>
        <w:t xml:space="preserve">, en el punto 2. </w:t>
      </w:r>
    </w:p>
  </w:footnote>
  <w:footnote w:id="2">
    <w:p w14:paraId="61C03924" w14:textId="77777777" w:rsidR="0018425E" w:rsidRPr="00556DE0" w:rsidRDefault="0018425E" w:rsidP="00F57746">
      <w:pPr>
        <w:pStyle w:val="FootnoteText"/>
        <w:ind w:right="1444"/>
        <w:jc w:val="both"/>
        <w:rPr>
          <w:rFonts w:ascii="Verdana" w:hAnsi="Verdana"/>
          <w:sz w:val="16"/>
          <w:szCs w:val="16"/>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r>
      <w:r w:rsidRPr="00556DE0">
        <w:rPr>
          <w:rFonts w:ascii="Verdana" w:hAnsi="Verdana" w:cs="Arial"/>
          <w:sz w:val="16"/>
          <w:szCs w:val="16"/>
          <w:lang w:val="es-CR"/>
        </w:rPr>
        <w:t>Los días 27 de noviembre de 2002, 27 de noviembre de 2003, 27 de noviembre de 2007 y 22 de enero de 2009.</w:t>
      </w:r>
    </w:p>
  </w:footnote>
  <w:footnote w:id="3">
    <w:p w14:paraId="6C23E6B2" w14:textId="77777777" w:rsidR="0018425E" w:rsidRPr="00556DE0" w:rsidRDefault="0018425E" w:rsidP="00F57746">
      <w:pPr>
        <w:pStyle w:val="FootnoteText"/>
        <w:ind w:right="1444"/>
        <w:jc w:val="both"/>
        <w:rPr>
          <w:rFonts w:ascii="Verdana" w:hAnsi="Verdana"/>
          <w:sz w:val="16"/>
          <w:szCs w:val="16"/>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r>
      <w:r w:rsidRPr="00556DE0">
        <w:rPr>
          <w:rFonts w:ascii="Verdana" w:hAnsi="Verdana" w:cs="Arial"/>
          <w:sz w:val="16"/>
          <w:szCs w:val="16"/>
          <w:lang w:val="es-CR"/>
        </w:rPr>
        <w:t>Los días 27 de noviembre de 2003 y 27 de noviembre de 2007.</w:t>
      </w:r>
    </w:p>
  </w:footnote>
  <w:footnote w:id="4">
    <w:p w14:paraId="265D0334" w14:textId="77777777" w:rsidR="0018425E" w:rsidRPr="00556DE0" w:rsidRDefault="0018425E" w:rsidP="00F57746">
      <w:pPr>
        <w:pStyle w:val="FootnoteText"/>
        <w:ind w:right="1444"/>
        <w:jc w:val="both"/>
        <w:rPr>
          <w:rFonts w:ascii="Verdana" w:hAnsi="Verdana"/>
          <w:sz w:val="16"/>
          <w:szCs w:val="16"/>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r>
      <w:r w:rsidRPr="00556DE0">
        <w:rPr>
          <w:rFonts w:ascii="Verdana" w:hAnsi="Verdana" w:cs="Arial"/>
          <w:sz w:val="16"/>
          <w:szCs w:val="16"/>
          <w:lang w:val="es-CR"/>
        </w:rPr>
        <w:t>Los días 27 de noviembre de 2003, 14 de junio de 2005  y 27 de enero de 2009.</w:t>
      </w:r>
    </w:p>
  </w:footnote>
  <w:footnote w:id="5">
    <w:p w14:paraId="5950B5A9" w14:textId="77777777" w:rsidR="0018425E" w:rsidRPr="00556DE0" w:rsidRDefault="0018425E" w:rsidP="00F57746">
      <w:pPr>
        <w:pStyle w:val="FootnoteText"/>
        <w:ind w:right="1444"/>
        <w:jc w:val="both"/>
        <w:rPr>
          <w:rFonts w:ascii="Verdana" w:hAnsi="Verdana"/>
          <w:sz w:val="16"/>
          <w:szCs w:val="16"/>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r>
      <w:r w:rsidRPr="00556DE0">
        <w:rPr>
          <w:rFonts w:ascii="Verdana" w:hAnsi="Verdana" w:cs="Arial"/>
          <w:sz w:val="16"/>
          <w:szCs w:val="16"/>
          <w:lang w:val="es-CR"/>
        </w:rPr>
        <w:t>Los días 27 de noviembre de 2003, 3 de marzo de 2005, 4 de julio de 2006, 10 de julio de 2007, 27 de enero de 2009 y 18 de noviembre de 2010.</w:t>
      </w:r>
    </w:p>
  </w:footnote>
  <w:footnote w:id="6">
    <w:p w14:paraId="75D6C7D9" w14:textId="77777777" w:rsidR="0018425E" w:rsidRPr="00556DE0" w:rsidRDefault="0018425E" w:rsidP="00F57746">
      <w:pPr>
        <w:pStyle w:val="FootnoteText"/>
        <w:ind w:right="1444"/>
        <w:jc w:val="both"/>
        <w:rPr>
          <w:rFonts w:ascii="Verdana" w:hAnsi="Verdana"/>
          <w:sz w:val="16"/>
          <w:szCs w:val="16"/>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r>
      <w:r w:rsidRPr="00556DE0">
        <w:rPr>
          <w:rFonts w:ascii="Verdana" w:hAnsi="Verdana" w:cs="Arial"/>
          <w:sz w:val="16"/>
          <w:szCs w:val="16"/>
          <w:lang w:val="es-CR"/>
        </w:rPr>
        <w:t>Los días 12 de septiembre de 2005, 26 de noviembre de 2007 y 16 de noviembre de 2009.</w:t>
      </w:r>
    </w:p>
  </w:footnote>
  <w:footnote w:id="7">
    <w:p w14:paraId="0855F116" w14:textId="77777777" w:rsidR="0018425E" w:rsidRPr="00556DE0" w:rsidRDefault="0018425E" w:rsidP="00F57746">
      <w:pPr>
        <w:pStyle w:val="FootnoteText"/>
        <w:ind w:right="1444"/>
        <w:jc w:val="both"/>
        <w:rPr>
          <w:rFonts w:ascii="Verdana" w:hAnsi="Verdana"/>
          <w:sz w:val="16"/>
          <w:szCs w:val="16"/>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t>Los días 21 de septiembre de 2005, 21 de noviembre de 2007 y 22 de enero de 2009.</w:t>
      </w:r>
    </w:p>
  </w:footnote>
  <w:footnote w:id="8">
    <w:p w14:paraId="446769E2" w14:textId="77777777" w:rsidR="0018425E" w:rsidRPr="00556DE0" w:rsidRDefault="0018425E" w:rsidP="00F57746">
      <w:pPr>
        <w:pStyle w:val="FootnoteText"/>
        <w:ind w:right="1444"/>
        <w:jc w:val="both"/>
        <w:rPr>
          <w:rFonts w:ascii="Verdana" w:hAnsi="Verdana"/>
          <w:sz w:val="16"/>
          <w:szCs w:val="16"/>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r>
      <w:r w:rsidRPr="00556DE0">
        <w:rPr>
          <w:rFonts w:ascii="Verdana" w:hAnsi="Verdana" w:cs="Arial"/>
          <w:sz w:val="16"/>
          <w:szCs w:val="16"/>
          <w:lang w:val="es-CR"/>
        </w:rPr>
        <w:t>Los días 10 de julio de 2007 y 16 de noviembre de 2009.</w:t>
      </w:r>
    </w:p>
  </w:footnote>
  <w:footnote w:id="9">
    <w:p w14:paraId="640E808D" w14:textId="77777777" w:rsidR="0018425E" w:rsidRPr="00556DE0" w:rsidRDefault="0018425E" w:rsidP="00F57746">
      <w:pPr>
        <w:pStyle w:val="FootnoteText"/>
        <w:ind w:right="1444"/>
        <w:jc w:val="both"/>
        <w:rPr>
          <w:rFonts w:ascii="Verdana" w:hAnsi="Verdana"/>
          <w:sz w:val="16"/>
          <w:szCs w:val="16"/>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t>Los días 28 de noviembre de 2007, 5 de agosto de 2008, 1 de julio de 2009 y 21 de febrero de 2011.</w:t>
      </w:r>
    </w:p>
  </w:footnote>
  <w:footnote w:id="10">
    <w:p w14:paraId="4AC1AA7A" w14:textId="77777777" w:rsidR="0018425E" w:rsidRPr="00556DE0" w:rsidRDefault="0018425E" w:rsidP="00F57746">
      <w:pPr>
        <w:pStyle w:val="FootnoteText"/>
        <w:ind w:right="1444"/>
        <w:jc w:val="both"/>
        <w:rPr>
          <w:rFonts w:ascii="Verdana" w:hAnsi="Verdana"/>
          <w:sz w:val="16"/>
          <w:szCs w:val="16"/>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t>Los días 10 de julio de 2007 y 1 de julio de 2009.</w:t>
      </w:r>
    </w:p>
  </w:footnote>
  <w:footnote w:id="11">
    <w:p w14:paraId="02B5E9B5" w14:textId="5E12843C" w:rsidR="0018425E" w:rsidRPr="00556DE0" w:rsidRDefault="0018425E" w:rsidP="00F57746">
      <w:pPr>
        <w:pStyle w:val="FootnoteText"/>
        <w:ind w:right="1444"/>
        <w:jc w:val="both"/>
        <w:rPr>
          <w:rFonts w:ascii="Verdana" w:hAnsi="Verdana"/>
          <w:sz w:val="16"/>
          <w:szCs w:val="16"/>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r>
      <w:r w:rsidRPr="00556DE0">
        <w:rPr>
          <w:rFonts w:ascii="Verdana" w:hAnsi="Verdana" w:cs="Arial"/>
          <w:sz w:val="16"/>
          <w:szCs w:val="16"/>
          <w:lang w:val="es-CR"/>
        </w:rPr>
        <w:t>El día 16 de mayo de 2011.</w:t>
      </w:r>
    </w:p>
  </w:footnote>
  <w:footnote w:id="12">
    <w:p w14:paraId="17D38100" w14:textId="77777777" w:rsidR="0018425E" w:rsidRPr="00556DE0" w:rsidRDefault="0018425E" w:rsidP="00F57746">
      <w:pPr>
        <w:pStyle w:val="FootnoteText"/>
        <w:ind w:right="1444"/>
        <w:jc w:val="both"/>
        <w:rPr>
          <w:rFonts w:ascii="Verdana" w:hAnsi="Verdana"/>
          <w:sz w:val="16"/>
          <w:szCs w:val="16"/>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r>
      <w:r w:rsidRPr="00556DE0">
        <w:rPr>
          <w:rFonts w:ascii="Verdana" w:hAnsi="Verdana" w:cs="Arial"/>
          <w:sz w:val="16"/>
          <w:szCs w:val="16"/>
          <w:lang w:val="es-CR"/>
        </w:rPr>
        <w:t>Los días 6 de julio de 2011 y 4 de septiembre de 2012.</w:t>
      </w:r>
    </w:p>
  </w:footnote>
  <w:footnote w:id="13">
    <w:p w14:paraId="280891FA" w14:textId="77777777" w:rsidR="0018425E" w:rsidRPr="00556DE0" w:rsidRDefault="0018425E" w:rsidP="00F57746">
      <w:pPr>
        <w:pStyle w:val="FootnoteText"/>
        <w:ind w:right="1444"/>
        <w:jc w:val="both"/>
        <w:rPr>
          <w:rFonts w:ascii="Verdana" w:hAnsi="Verdana"/>
          <w:sz w:val="16"/>
          <w:szCs w:val="16"/>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r>
      <w:r w:rsidRPr="00556DE0">
        <w:rPr>
          <w:rFonts w:ascii="Verdana" w:hAnsi="Verdana" w:cs="Arial"/>
          <w:sz w:val="16"/>
          <w:szCs w:val="16"/>
          <w:lang w:val="es-CR"/>
        </w:rPr>
        <w:t>Los días 1 de diciembre de 2011 y 22 de agosto de 2013.</w:t>
      </w:r>
    </w:p>
  </w:footnote>
  <w:footnote w:id="14">
    <w:p w14:paraId="1C2C9E79" w14:textId="2BCE22C8" w:rsidR="0018425E" w:rsidRPr="00556DE0" w:rsidRDefault="0018425E" w:rsidP="00F57746">
      <w:pPr>
        <w:pStyle w:val="FootnoteText"/>
        <w:ind w:right="1444"/>
        <w:jc w:val="both"/>
        <w:rPr>
          <w:rFonts w:ascii="Verdana" w:hAnsi="Verdana"/>
          <w:sz w:val="16"/>
          <w:szCs w:val="16"/>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t xml:space="preserve">Esta resolución se refirió a los casos </w:t>
      </w:r>
      <w:r w:rsidRPr="00556DE0">
        <w:rPr>
          <w:rFonts w:ascii="Verdana" w:hAnsi="Verdana"/>
          <w:i/>
          <w:sz w:val="16"/>
          <w:szCs w:val="16"/>
        </w:rPr>
        <w:t>Blake, Niños de la Calle, Bámaca Velásquez, Maritza Urrutia, Masacre Plan de Sánchez, Mack Chang, Molina Theissen, Carpio Nicolle, Masacre las Dos Erres, Tiu Tojín y Chitay Nech</w:t>
      </w:r>
      <w:r w:rsidRPr="00556DE0">
        <w:rPr>
          <w:rFonts w:ascii="Verdana" w:hAnsi="Verdana"/>
          <w:sz w:val="16"/>
          <w:szCs w:val="16"/>
        </w:rPr>
        <w:t>.</w:t>
      </w:r>
      <w:r w:rsidRPr="00556DE0">
        <w:rPr>
          <w:rFonts w:ascii="Verdana" w:hAnsi="Verdana"/>
          <w:i/>
          <w:sz w:val="16"/>
          <w:szCs w:val="16"/>
        </w:rPr>
        <w:t xml:space="preserve"> </w:t>
      </w:r>
      <w:r w:rsidRPr="00556DE0">
        <w:rPr>
          <w:rFonts w:ascii="Verdana" w:hAnsi="Verdana"/>
          <w:sz w:val="16"/>
          <w:szCs w:val="16"/>
        </w:rPr>
        <w:t xml:space="preserve">En ella, la Corte principalmente valoró la posición de desacato asumida por el Estado de Guatemala en la audiencia privada realizada el 16 de mayo de 2014, mediante la cual, </w:t>
      </w:r>
      <w:r w:rsidRPr="00556DE0">
        <w:rPr>
          <w:rFonts w:ascii="Verdana" w:hAnsi="Verdana"/>
          <w:i/>
          <w:sz w:val="16"/>
          <w:szCs w:val="16"/>
        </w:rPr>
        <w:t>inter alia,</w:t>
      </w:r>
      <w:r w:rsidRPr="00556DE0">
        <w:rPr>
          <w:rFonts w:ascii="Verdana" w:hAnsi="Verdana"/>
          <w:sz w:val="16"/>
          <w:szCs w:val="16"/>
        </w:rPr>
        <w:t xml:space="preserve"> cuestionó la competencia temporal del Tribunal, y realizó consideraciones sobre la aplicación de la Ley de Reconciliación Nacional (</w:t>
      </w:r>
      <w:r w:rsidRPr="00556DE0">
        <w:rPr>
          <w:rFonts w:ascii="Verdana" w:hAnsi="Verdana"/>
          <w:i/>
          <w:sz w:val="16"/>
          <w:szCs w:val="16"/>
        </w:rPr>
        <w:t xml:space="preserve">infra </w:t>
      </w:r>
      <w:r w:rsidRPr="00556DE0">
        <w:rPr>
          <w:rFonts w:ascii="Verdana" w:hAnsi="Verdana"/>
          <w:sz w:val="16"/>
          <w:szCs w:val="16"/>
        </w:rPr>
        <w:t xml:space="preserve">Considerandos </w:t>
      </w:r>
      <w:r w:rsidRPr="00556DE0">
        <w:rPr>
          <w:rFonts w:ascii="Verdana" w:hAnsi="Verdana"/>
          <w:sz w:val="16"/>
          <w:szCs w:val="16"/>
        </w:rPr>
        <w:fldChar w:fldCharType="begin"/>
      </w:r>
      <w:r w:rsidRPr="00556DE0">
        <w:rPr>
          <w:rFonts w:ascii="Verdana" w:hAnsi="Verdana"/>
          <w:sz w:val="16"/>
          <w:szCs w:val="16"/>
        </w:rPr>
        <w:instrText xml:space="preserve"> REF _Ref438113907 \r \h  \* MERGEFORMAT </w:instrText>
      </w:r>
      <w:r w:rsidRPr="00556DE0">
        <w:rPr>
          <w:rFonts w:ascii="Verdana" w:hAnsi="Verdana"/>
          <w:sz w:val="16"/>
          <w:szCs w:val="16"/>
        </w:rPr>
      </w:r>
      <w:r w:rsidRPr="00556DE0">
        <w:rPr>
          <w:rFonts w:ascii="Verdana" w:hAnsi="Verdana"/>
          <w:sz w:val="16"/>
          <w:szCs w:val="16"/>
        </w:rPr>
        <w:fldChar w:fldCharType="separate"/>
      </w:r>
      <w:r w:rsidR="007E3C4B">
        <w:rPr>
          <w:rFonts w:ascii="Verdana" w:hAnsi="Verdana"/>
          <w:sz w:val="16"/>
          <w:szCs w:val="16"/>
        </w:rPr>
        <w:t>25</w:t>
      </w:r>
      <w:r w:rsidRPr="00556DE0">
        <w:rPr>
          <w:rFonts w:ascii="Verdana" w:hAnsi="Verdana"/>
          <w:sz w:val="16"/>
          <w:szCs w:val="16"/>
        </w:rPr>
        <w:fldChar w:fldCharType="end"/>
      </w:r>
      <w:r w:rsidRPr="00556DE0">
        <w:rPr>
          <w:rFonts w:ascii="Verdana" w:hAnsi="Verdana"/>
          <w:sz w:val="16"/>
          <w:szCs w:val="16"/>
        </w:rPr>
        <w:t xml:space="preserve"> y </w:t>
      </w:r>
      <w:r w:rsidRPr="00556DE0">
        <w:rPr>
          <w:rFonts w:ascii="Verdana" w:hAnsi="Verdana"/>
          <w:sz w:val="16"/>
          <w:szCs w:val="16"/>
        </w:rPr>
        <w:fldChar w:fldCharType="begin"/>
      </w:r>
      <w:r w:rsidRPr="00556DE0">
        <w:rPr>
          <w:rFonts w:ascii="Verdana" w:hAnsi="Verdana"/>
          <w:sz w:val="16"/>
          <w:szCs w:val="16"/>
        </w:rPr>
        <w:instrText xml:space="preserve"> REF _Ref437013194 \r \h  \* MERGEFORMAT </w:instrText>
      </w:r>
      <w:r w:rsidRPr="00556DE0">
        <w:rPr>
          <w:rFonts w:ascii="Verdana" w:hAnsi="Verdana"/>
          <w:sz w:val="16"/>
          <w:szCs w:val="16"/>
        </w:rPr>
      </w:r>
      <w:r w:rsidRPr="00556DE0">
        <w:rPr>
          <w:rFonts w:ascii="Verdana" w:hAnsi="Verdana"/>
          <w:sz w:val="16"/>
          <w:szCs w:val="16"/>
        </w:rPr>
        <w:fldChar w:fldCharType="separate"/>
      </w:r>
      <w:r w:rsidR="007E3C4B">
        <w:rPr>
          <w:rFonts w:ascii="Verdana" w:hAnsi="Verdana"/>
          <w:sz w:val="16"/>
          <w:szCs w:val="16"/>
        </w:rPr>
        <w:t>26</w:t>
      </w:r>
      <w:r w:rsidRPr="00556DE0">
        <w:rPr>
          <w:rFonts w:ascii="Verdana" w:hAnsi="Verdana"/>
          <w:sz w:val="16"/>
          <w:szCs w:val="16"/>
        </w:rPr>
        <w:fldChar w:fldCharType="end"/>
      </w:r>
      <w:r w:rsidRPr="00556DE0">
        <w:rPr>
          <w:rFonts w:ascii="Verdana" w:hAnsi="Verdana"/>
          <w:sz w:val="16"/>
          <w:szCs w:val="16"/>
        </w:rPr>
        <w:t>). No se valoró el grado de cumplimiento por parte del Estado de su obligación de investigar.</w:t>
      </w:r>
    </w:p>
  </w:footnote>
  <w:footnote w:id="15">
    <w:p w14:paraId="76C859ED" w14:textId="36D0FC6D" w:rsidR="0018425E" w:rsidRPr="00556DE0" w:rsidRDefault="0018425E" w:rsidP="00F57746">
      <w:pPr>
        <w:pStyle w:val="FootnoteText"/>
        <w:ind w:right="1444"/>
        <w:jc w:val="both"/>
        <w:rPr>
          <w:rFonts w:ascii="Verdana" w:hAnsi="Verdana"/>
          <w:i/>
          <w:sz w:val="16"/>
          <w:szCs w:val="16"/>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t xml:space="preserve">Dicha solicitud abarcó los casos </w:t>
      </w:r>
      <w:r w:rsidRPr="00556DE0">
        <w:rPr>
          <w:rFonts w:ascii="Verdana" w:hAnsi="Verdana"/>
          <w:i/>
          <w:sz w:val="16"/>
          <w:szCs w:val="16"/>
        </w:rPr>
        <w:t xml:space="preserve">Panel Blanca, Blake, Niños de la Calle, Bámaca Velásquez, Mack Chang, Maritza Urrutia, Masacre Plan de Sánchez, Molina Theissen, Carpio Nicolle, Tiu Tojín y Masacre de las Dos Erres. </w:t>
      </w:r>
    </w:p>
  </w:footnote>
  <w:footnote w:id="16">
    <w:p w14:paraId="7F2ECE5B" w14:textId="0BAA4206" w:rsidR="0018425E" w:rsidRPr="00556DE0" w:rsidRDefault="0018425E" w:rsidP="00F57746">
      <w:pPr>
        <w:pStyle w:val="FootnoteText"/>
        <w:ind w:right="1444"/>
        <w:jc w:val="both"/>
        <w:rPr>
          <w:rFonts w:ascii="Verdana" w:hAnsi="Verdana"/>
          <w:color w:val="008000"/>
          <w:sz w:val="16"/>
          <w:szCs w:val="16"/>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t xml:space="preserve">Un informe de supervisión conjunta correspondiente a los casos </w:t>
      </w:r>
      <w:r w:rsidRPr="00556DE0">
        <w:rPr>
          <w:rFonts w:ascii="Verdana" w:hAnsi="Verdana"/>
          <w:i/>
          <w:sz w:val="16"/>
          <w:szCs w:val="16"/>
        </w:rPr>
        <w:t>Panel Blanca, Blake, Villagrán Morales, Bámaca Velásquez, Maritza Urrutia, Masacre Plan de Sánchez, Molina Theissen, Tiu Tojín, Masacre de las Dos Erres, Carpio Nicolle y Mack Chang</w:t>
      </w:r>
      <w:r w:rsidRPr="00556DE0">
        <w:rPr>
          <w:rFonts w:ascii="Verdana" w:hAnsi="Verdana"/>
          <w:sz w:val="16"/>
          <w:szCs w:val="16"/>
        </w:rPr>
        <w:t xml:space="preserve"> , de fecha 27 de junio de 2011; un informe de supervisión conjunta correspondiente a los casos </w:t>
      </w:r>
      <w:r w:rsidRPr="00556DE0">
        <w:rPr>
          <w:rFonts w:ascii="Verdana" w:hAnsi="Verdana"/>
          <w:i/>
          <w:sz w:val="16"/>
          <w:szCs w:val="16"/>
        </w:rPr>
        <w:t xml:space="preserve">Blake, Villagrán Morales, Bámaca Velásquez, Maritza Urrutia, Masacre Plan de Sánchez, Molina Theissen, Tiu Tojín, Masacre de las Dos Erres, Carpio Nicolle, Chitay Nech </w:t>
      </w:r>
      <w:r w:rsidRPr="00556DE0">
        <w:rPr>
          <w:rFonts w:ascii="Verdana" w:hAnsi="Verdana"/>
          <w:sz w:val="16"/>
          <w:szCs w:val="16"/>
        </w:rPr>
        <w:t>y</w:t>
      </w:r>
      <w:r w:rsidRPr="00556DE0">
        <w:rPr>
          <w:rFonts w:ascii="Verdana" w:hAnsi="Verdana"/>
          <w:i/>
          <w:sz w:val="16"/>
          <w:szCs w:val="16"/>
        </w:rPr>
        <w:t xml:space="preserve"> Mack Chang </w:t>
      </w:r>
      <w:r w:rsidRPr="00556DE0">
        <w:rPr>
          <w:rFonts w:ascii="Verdana" w:hAnsi="Verdana"/>
          <w:sz w:val="16"/>
          <w:szCs w:val="16"/>
        </w:rPr>
        <w:t xml:space="preserve">de 16 de mayo de 2014; tres informes del caso </w:t>
      </w:r>
      <w:r w:rsidRPr="00556DE0">
        <w:rPr>
          <w:rFonts w:ascii="Verdana" w:hAnsi="Verdana"/>
          <w:i/>
          <w:sz w:val="16"/>
          <w:szCs w:val="16"/>
        </w:rPr>
        <w:t>Blake</w:t>
      </w:r>
      <w:r w:rsidRPr="00556DE0">
        <w:rPr>
          <w:rFonts w:ascii="Verdana" w:hAnsi="Verdana"/>
          <w:sz w:val="16"/>
          <w:szCs w:val="16"/>
        </w:rPr>
        <w:t xml:space="preserve">; tres del caso </w:t>
      </w:r>
      <w:r w:rsidRPr="00556DE0">
        <w:rPr>
          <w:rFonts w:ascii="Verdana" w:hAnsi="Verdana"/>
          <w:i/>
          <w:sz w:val="16"/>
          <w:szCs w:val="16"/>
        </w:rPr>
        <w:t>Bámaca Velásquez</w:t>
      </w:r>
      <w:r w:rsidRPr="00556DE0">
        <w:rPr>
          <w:rFonts w:ascii="Verdana" w:hAnsi="Verdana"/>
          <w:sz w:val="16"/>
          <w:szCs w:val="16"/>
        </w:rPr>
        <w:t xml:space="preserve">; cuatro del caso </w:t>
      </w:r>
      <w:r w:rsidRPr="00556DE0">
        <w:rPr>
          <w:rFonts w:ascii="Verdana" w:hAnsi="Verdana"/>
          <w:i/>
          <w:sz w:val="16"/>
          <w:szCs w:val="16"/>
        </w:rPr>
        <w:t>Maritza Urrutia</w:t>
      </w:r>
      <w:r w:rsidRPr="00556DE0">
        <w:rPr>
          <w:rFonts w:ascii="Verdana" w:hAnsi="Verdana"/>
          <w:sz w:val="16"/>
          <w:szCs w:val="16"/>
        </w:rPr>
        <w:t xml:space="preserve">; tres del caso </w:t>
      </w:r>
      <w:r w:rsidRPr="00556DE0">
        <w:rPr>
          <w:rFonts w:ascii="Verdana" w:hAnsi="Verdana"/>
          <w:i/>
          <w:sz w:val="16"/>
          <w:szCs w:val="16"/>
        </w:rPr>
        <w:t>Masacre Plan de Sánchez</w:t>
      </w:r>
      <w:r w:rsidRPr="00556DE0">
        <w:rPr>
          <w:rFonts w:ascii="Verdana" w:hAnsi="Verdana"/>
          <w:sz w:val="16"/>
          <w:szCs w:val="16"/>
        </w:rPr>
        <w:t xml:space="preserve">; dos del caso </w:t>
      </w:r>
      <w:r w:rsidRPr="00556DE0">
        <w:rPr>
          <w:rFonts w:ascii="Verdana" w:hAnsi="Verdana"/>
          <w:i/>
          <w:sz w:val="16"/>
          <w:szCs w:val="16"/>
        </w:rPr>
        <w:t>Molina Theissen</w:t>
      </w:r>
      <w:r w:rsidRPr="00556DE0">
        <w:rPr>
          <w:rFonts w:ascii="Verdana" w:hAnsi="Verdana"/>
          <w:sz w:val="16"/>
          <w:szCs w:val="16"/>
        </w:rPr>
        <w:t xml:space="preserve">; uno del caso </w:t>
      </w:r>
      <w:r w:rsidRPr="00556DE0">
        <w:rPr>
          <w:rFonts w:ascii="Verdana" w:hAnsi="Verdana"/>
          <w:i/>
          <w:sz w:val="16"/>
          <w:szCs w:val="16"/>
        </w:rPr>
        <w:t>Carpio Nicolle</w:t>
      </w:r>
      <w:r w:rsidRPr="00556DE0">
        <w:rPr>
          <w:rFonts w:ascii="Verdana" w:hAnsi="Verdana"/>
          <w:sz w:val="16"/>
          <w:szCs w:val="16"/>
        </w:rPr>
        <w:t xml:space="preserve">; dos del caso </w:t>
      </w:r>
      <w:r w:rsidRPr="00556DE0">
        <w:rPr>
          <w:rFonts w:ascii="Verdana" w:hAnsi="Verdana"/>
          <w:i/>
          <w:sz w:val="16"/>
          <w:szCs w:val="16"/>
        </w:rPr>
        <w:t>Tiu Tojín</w:t>
      </w:r>
      <w:r w:rsidRPr="00556DE0">
        <w:rPr>
          <w:rFonts w:ascii="Verdana" w:hAnsi="Verdana"/>
          <w:sz w:val="16"/>
          <w:szCs w:val="16"/>
        </w:rPr>
        <w:t xml:space="preserve">; cuatro del caso de la </w:t>
      </w:r>
      <w:r w:rsidRPr="00556DE0">
        <w:rPr>
          <w:rFonts w:ascii="Verdana" w:hAnsi="Verdana"/>
          <w:i/>
          <w:sz w:val="16"/>
          <w:szCs w:val="16"/>
        </w:rPr>
        <w:t>Masacre de las Dos Erres</w:t>
      </w:r>
      <w:r w:rsidRPr="00556DE0">
        <w:rPr>
          <w:rFonts w:ascii="Verdana" w:hAnsi="Verdana"/>
          <w:sz w:val="16"/>
          <w:szCs w:val="16"/>
        </w:rPr>
        <w:t xml:space="preserve">; tres del caso </w:t>
      </w:r>
      <w:r w:rsidRPr="00556DE0">
        <w:rPr>
          <w:rFonts w:ascii="Verdana" w:hAnsi="Verdana"/>
          <w:i/>
          <w:sz w:val="16"/>
          <w:szCs w:val="16"/>
        </w:rPr>
        <w:t>Chitay Nech,</w:t>
      </w:r>
      <w:r w:rsidRPr="00556DE0">
        <w:rPr>
          <w:rFonts w:ascii="Verdana" w:hAnsi="Verdana"/>
          <w:sz w:val="16"/>
          <w:szCs w:val="16"/>
        </w:rPr>
        <w:t xml:space="preserve"> dos del caso </w:t>
      </w:r>
      <w:r w:rsidRPr="00556DE0">
        <w:rPr>
          <w:rFonts w:ascii="Verdana" w:hAnsi="Verdana"/>
          <w:i/>
          <w:sz w:val="16"/>
          <w:szCs w:val="16"/>
        </w:rPr>
        <w:t xml:space="preserve">Myrna Mack Chang y </w:t>
      </w:r>
      <w:r w:rsidRPr="00556DE0">
        <w:rPr>
          <w:rFonts w:ascii="Verdana" w:hAnsi="Verdana"/>
          <w:sz w:val="16"/>
          <w:szCs w:val="16"/>
        </w:rPr>
        <w:t>uno del caso</w:t>
      </w:r>
      <w:r w:rsidRPr="00556DE0">
        <w:rPr>
          <w:rFonts w:ascii="Verdana" w:hAnsi="Verdana"/>
          <w:i/>
          <w:sz w:val="16"/>
          <w:szCs w:val="16"/>
        </w:rPr>
        <w:t xml:space="preserve"> Panel Blanca.</w:t>
      </w:r>
    </w:p>
  </w:footnote>
  <w:footnote w:id="17">
    <w:p w14:paraId="41AF839A" w14:textId="118F0273" w:rsidR="0018425E" w:rsidRPr="00556DE0" w:rsidRDefault="0018425E" w:rsidP="00F57746">
      <w:pPr>
        <w:pStyle w:val="FootnoteText"/>
        <w:ind w:right="1444"/>
        <w:jc w:val="both"/>
        <w:rPr>
          <w:rFonts w:ascii="Verdana" w:hAnsi="Verdana"/>
          <w:sz w:val="16"/>
          <w:szCs w:val="16"/>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t>El Centro por la Justicia y el Derecho Internacional (CEJIL), el Centro Para la Acción Legal en Derechos Humanos (CALDH), la Fundación Myrna Mack, y los familiares de las víctimas por cuenta propia.</w:t>
      </w:r>
    </w:p>
  </w:footnote>
  <w:footnote w:id="18">
    <w:p w14:paraId="05587F3E" w14:textId="01BE5144" w:rsidR="0018425E" w:rsidRPr="00556DE0" w:rsidRDefault="0018425E" w:rsidP="00F57746">
      <w:pPr>
        <w:pStyle w:val="FootnoteText"/>
        <w:ind w:right="1444"/>
        <w:jc w:val="both"/>
        <w:rPr>
          <w:rFonts w:ascii="Verdana" w:hAnsi="Verdana"/>
          <w:color w:val="000000" w:themeColor="text1"/>
          <w:sz w:val="16"/>
          <w:szCs w:val="16"/>
          <w:lang w:val="es-CR"/>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t xml:space="preserve">Un escrito de observaciones del caso </w:t>
      </w:r>
      <w:r w:rsidRPr="00556DE0">
        <w:rPr>
          <w:rFonts w:ascii="Verdana" w:hAnsi="Verdana"/>
          <w:i/>
          <w:sz w:val="16"/>
          <w:szCs w:val="16"/>
        </w:rPr>
        <w:t>Blake</w:t>
      </w:r>
      <w:r w:rsidRPr="00556DE0">
        <w:rPr>
          <w:rFonts w:ascii="Verdana" w:hAnsi="Verdana"/>
          <w:sz w:val="16"/>
          <w:szCs w:val="16"/>
        </w:rPr>
        <w:t xml:space="preserve">; un escritos del caso </w:t>
      </w:r>
      <w:r w:rsidRPr="00556DE0">
        <w:rPr>
          <w:rFonts w:ascii="Verdana" w:hAnsi="Verdana"/>
          <w:i/>
          <w:sz w:val="16"/>
          <w:szCs w:val="16"/>
        </w:rPr>
        <w:t>“Niños de la Calle” (Villagrán Morales)</w:t>
      </w:r>
      <w:r w:rsidRPr="00556DE0">
        <w:rPr>
          <w:rFonts w:ascii="Verdana" w:hAnsi="Verdana"/>
          <w:sz w:val="16"/>
          <w:szCs w:val="16"/>
        </w:rPr>
        <w:t xml:space="preserve">; cinco escritos del caso </w:t>
      </w:r>
      <w:r w:rsidRPr="00556DE0">
        <w:rPr>
          <w:rFonts w:ascii="Verdana" w:hAnsi="Verdana"/>
          <w:i/>
          <w:sz w:val="16"/>
          <w:szCs w:val="16"/>
        </w:rPr>
        <w:t>Bámaca Velásquez</w:t>
      </w:r>
      <w:r w:rsidRPr="00556DE0">
        <w:rPr>
          <w:rFonts w:ascii="Verdana" w:hAnsi="Verdana"/>
          <w:sz w:val="16"/>
          <w:szCs w:val="16"/>
        </w:rPr>
        <w:t xml:space="preserve">; cuatro  escritos del caso </w:t>
      </w:r>
      <w:r w:rsidRPr="00556DE0">
        <w:rPr>
          <w:rFonts w:ascii="Verdana" w:hAnsi="Verdana"/>
          <w:i/>
          <w:sz w:val="16"/>
          <w:szCs w:val="16"/>
        </w:rPr>
        <w:t>Maritza Urrutia</w:t>
      </w:r>
      <w:r w:rsidRPr="00556DE0">
        <w:rPr>
          <w:rFonts w:ascii="Verdana" w:hAnsi="Verdana"/>
          <w:sz w:val="16"/>
          <w:szCs w:val="16"/>
        </w:rPr>
        <w:t xml:space="preserve">; tres del caso </w:t>
      </w:r>
      <w:r w:rsidRPr="00556DE0">
        <w:rPr>
          <w:rFonts w:ascii="Verdana" w:hAnsi="Verdana"/>
          <w:i/>
          <w:sz w:val="16"/>
          <w:szCs w:val="16"/>
        </w:rPr>
        <w:t>Masacre Plan de Sánchez</w:t>
      </w:r>
      <w:r w:rsidRPr="00556DE0">
        <w:rPr>
          <w:rFonts w:ascii="Verdana" w:hAnsi="Verdana"/>
          <w:sz w:val="16"/>
          <w:szCs w:val="16"/>
        </w:rPr>
        <w:t xml:space="preserve">; tres del caso </w:t>
      </w:r>
      <w:r w:rsidRPr="00556DE0">
        <w:rPr>
          <w:rFonts w:ascii="Verdana" w:hAnsi="Verdana"/>
          <w:i/>
          <w:sz w:val="16"/>
          <w:szCs w:val="16"/>
        </w:rPr>
        <w:t>Molina Theissen</w:t>
      </w:r>
      <w:r w:rsidRPr="00556DE0">
        <w:rPr>
          <w:rFonts w:ascii="Verdana" w:hAnsi="Verdana"/>
          <w:sz w:val="16"/>
          <w:szCs w:val="16"/>
        </w:rPr>
        <w:t xml:space="preserve">; uno del caso </w:t>
      </w:r>
      <w:r w:rsidRPr="00556DE0">
        <w:rPr>
          <w:rFonts w:ascii="Verdana" w:hAnsi="Verdana"/>
          <w:i/>
          <w:sz w:val="16"/>
          <w:szCs w:val="16"/>
        </w:rPr>
        <w:t>Carpio Nicolle</w:t>
      </w:r>
      <w:r w:rsidRPr="00556DE0">
        <w:rPr>
          <w:rFonts w:ascii="Verdana" w:hAnsi="Verdana"/>
          <w:sz w:val="16"/>
          <w:szCs w:val="16"/>
        </w:rPr>
        <w:t xml:space="preserve">; dos del caso </w:t>
      </w:r>
      <w:r w:rsidRPr="00556DE0">
        <w:rPr>
          <w:rFonts w:ascii="Verdana" w:hAnsi="Verdana"/>
          <w:i/>
          <w:sz w:val="16"/>
          <w:szCs w:val="16"/>
        </w:rPr>
        <w:t>Tiu Tojín</w:t>
      </w:r>
      <w:r w:rsidRPr="00556DE0">
        <w:rPr>
          <w:rFonts w:ascii="Verdana" w:hAnsi="Verdana"/>
          <w:sz w:val="16"/>
          <w:szCs w:val="16"/>
        </w:rPr>
        <w:t xml:space="preserve">; cinco del caso de la </w:t>
      </w:r>
      <w:r w:rsidRPr="00556DE0">
        <w:rPr>
          <w:rFonts w:ascii="Verdana" w:hAnsi="Verdana"/>
          <w:i/>
          <w:sz w:val="16"/>
          <w:szCs w:val="16"/>
        </w:rPr>
        <w:t>Masacre de las Dos Erres</w:t>
      </w:r>
      <w:r w:rsidRPr="00556DE0">
        <w:rPr>
          <w:rFonts w:ascii="Verdana" w:hAnsi="Verdana"/>
          <w:sz w:val="16"/>
          <w:szCs w:val="16"/>
        </w:rPr>
        <w:t xml:space="preserve">; cuatro del caso </w:t>
      </w:r>
      <w:r w:rsidRPr="00556DE0">
        <w:rPr>
          <w:rFonts w:ascii="Verdana" w:hAnsi="Verdana"/>
          <w:i/>
          <w:sz w:val="16"/>
          <w:szCs w:val="16"/>
        </w:rPr>
        <w:t>Chitay Nech</w:t>
      </w:r>
      <w:r w:rsidRPr="00556DE0">
        <w:rPr>
          <w:rFonts w:ascii="Verdana" w:hAnsi="Verdana"/>
          <w:color w:val="000000" w:themeColor="text1"/>
          <w:sz w:val="16"/>
          <w:szCs w:val="16"/>
        </w:rPr>
        <w:t xml:space="preserve">; y tres del caso </w:t>
      </w:r>
      <w:r w:rsidRPr="00556DE0">
        <w:rPr>
          <w:rFonts w:ascii="Verdana" w:hAnsi="Verdana"/>
          <w:i/>
          <w:color w:val="000000" w:themeColor="text1"/>
          <w:sz w:val="16"/>
          <w:szCs w:val="16"/>
        </w:rPr>
        <w:t>Myrna Mack Chang</w:t>
      </w:r>
      <w:r w:rsidRPr="00556DE0">
        <w:rPr>
          <w:rFonts w:ascii="Verdana" w:hAnsi="Verdana"/>
          <w:color w:val="000000" w:themeColor="text1"/>
          <w:sz w:val="16"/>
          <w:szCs w:val="16"/>
        </w:rPr>
        <w:t>.</w:t>
      </w:r>
    </w:p>
  </w:footnote>
  <w:footnote w:id="19">
    <w:p w14:paraId="2F162E43" w14:textId="0A299249" w:rsidR="0018425E" w:rsidRPr="00556DE0" w:rsidRDefault="0018425E" w:rsidP="00F57746">
      <w:pPr>
        <w:pStyle w:val="FootnoteText"/>
        <w:ind w:right="1444"/>
        <w:jc w:val="both"/>
        <w:rPr>
          <w:rFonts w:ascii="Verdana" w:hAnsi="Verdana"/>
          <w:sz w:val="16"/>
          <w:szCs w:val="16"/>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t xml:space="preserve">Un escrito de observaciones conjunto de los casos </w:t>
      </w:r>
      <w:r w:rsidRPr="00556DE0">
        <w:rPr>
          <w:rFonts w:ascii="Verdana" w:hAnsi="Verdana"/>
          <w:i/>
          <w:sz w:val="16"/>
          <w:szCs w:val="16"/>
        </w:rPr>
        <w:t>Panel Blanca, Blake, Niños de la Calle, Bámaca Velásquez, Maritza Urrutia, Masacre Plan de Sánchez, Molina Theissen, Tiu Tojín, Masacre de las Dos Erres, Carpio Nicolle, y Mack Chang</w:t>
      </w:r>
      <w:r w:rsidRPr="00556DE0">
        <w:rPr>
          <w:rFonts w:ascii="Verdana" w:hAnsi="Verdana"/>
          <w:sz w:val="16"/>
          <w:szCs w:val="16"/>
        </w:rPr>
        <w:t xml:space="preserve">, de fecha 19 de septiembre de 2011; dos escritos del caso </w:t>
      </w:r>
      <w:r w:rsidRPr="00556DE0">
        <w:rPr>
          <w:rFonts w:ascii="Verdana" w:hAnsi="Verdana"/>
          <w:i/>
          <w:sz w:val="16"/>
          <w:szCs w:val="16"/>
        </w:rPr>
        <w:t>Blake</w:t>
      </w:r>
      <w:r w:rsidRPr="00556DE0">
        <w:rPr>
          <w:rFonts w:ascii="Verdana" w:hAnsi="Verdana"/>
          <w:sz w:val="16"/>
          <w:szCs w:val="16"/>
        </w:rPr>
        <w:t xml:space="preserve">; un escrito del caso </w:t>
      </w:r>
      <w:r w:rsidRPr="00556DE0">
        <w:rPr>
          <w:rFonts w:ascii="Verdana" w:hAnsi="Verdana"/>
          <w:i/>
          <w:sz w:val="16"/>
          <w:szCs w:val="16"/>
        </w:rPr>
        <w:t>“Niños de la Calle” (Villagrán Morales)</w:t>
      </w:r>
      <w:r w:rsidRPr="00556DE0">
        <w:rPr>
          <w:rFonts w:ascii="Verdana" w:hAnsi="Verdana"/>
          <w:sz w:val="16"/>
          <w:szCs w:val="16"/>
        </w:rPr>
        <w:t xml:space="preserve">; tres escritos del caso </w:t>
      </w:r>
      <w:r w:rsidRPr="00556DE0">
        <w:rPr>
          <w:rFonts w:ascii="Verdana" w:hAnsi="Verdana"/>
          <w:i/>
          <w:sz w:val="16"/>
          <w:szCs w:val="16"/>
        </w:rPr>
        <w:t>Bámaca Velásquez</w:t>
      </w:r>
      <w:r w:rsidRPr="00556DE0">
        <w:rPr>
          <w:rFonts w:ascii="Verdana" w:hAnsi="Verdana"/>
          <w:sz w:val="16"/>
          <w:szCs w:val="16"/>
        </w:rPr>
        <w:t xml:space="preserve">; cuatro escritos del caso </w:t>
      </w:r>
      <w:r w:rsidRPr="00556DE0">
        <w:rPr>
          <w:rFonts w:ascii="Verdana" w:hAnsi="Verdana"/>
          <w:i/>
          <w:sz w:val="16"/>
          <w:szCs w:val="16"/>
        </w:rPr>
        <w:t>Maritza Urrutia</w:t>
      </w:r>
      <w:r w:rsidRPr="00556DE0">
        <w:rPr>
          <w:rFonts w:ascii="Verdana" w:hAnsi="Verdana"/>
          <w:sz w:val="16"/>
          <w:szCs w:val="16"/>
        </w:rPr>
        <w:t xml:space="preserve">; dos escrito del caso </w:t>
      </w:r>
      <w:r w:rsidRPr="00556DE0">
        <w:rPr>
          <w:rFonts w:ascii="Verdana" w:hAnsi="Verdana"/>
          <w:i/>
          <w:sz w:val="16"/>
          <w:szCs w:val="16"/>
        </w:rPr>
        <w:t>Masacre Plan de Sánchez</w:t>
      </w:r>
      <w:r w:rsidRPr="00556DE0">
        <w:rPr>
          <w:rFonts w:ascii="Verdana" w:hAnsi="Verdana"/>
          <w:sz w:val="16"/>
          <w:szCs w:val="16"/>
        </w:rPr>
        <w:t xml:space="preserve">; tres escritos del caso </w:t>
      </w:r>
      <w:r w:rsidRPr="00556DE0">
        <w:rPr>
          <w:rFonts w:ascii="Verdana" w:hAnsi="Verdana"/>
          <w:i/>
          <w:sz w:val="16"/>
          <w:szCs w:val="16"/>
        </w:rPr>
        <w:t>Molina Theissen</w:t>
      </w:r>
      <w:r w:rsidRPr="00556DE0">
        <w:rPr>
          <w:rFonts w:ascii="Verdana" w:hAnsi="Verdana"/>
          <w:sz w:val="16"/>
          <w:szCs w:val="16"/>
        </w:rPr>
        <w:t xml:space="preserve">; un escrito del caso </w:t>
      </w:r>
      <w:r w:rsidRPr="00556DE0">
        <w:rPr>
          <w:rFonts w:ascii="Verdana" w:hAnsi="Verdana"/>
          <w:i/>
          <w:sz w:val="16"/>
          <w:szCs w:val="16"/>
        </w:rPr>
        <w:t>Carpio Nicolle</w:t>
      </w:r>
      <w:r w:rsidRPr="00556DE0">
        <w:rPr>
          <w:rFonts w:ascii="Verdana" w:hAnsi="Verdana"/>
          <w:sz w:val="16"/>
          <w:szCs w:val="16"/>
        </w:rPr>
        <w:t xml:space="preserve">;  dos escrito del caso </w:t>
      </w:r>
      <w:r w:rsidRPr="00556DE0">
        <w:rPr>
          <w:rFonts w:ascii="Verdana" w:hAnsi="Verdana"/>
          <w:i/>
          <w:sz w:val="16"/>
          <w:szCs w:val="16"/>
        </w:rPr>
        <w:t>Tiu Tojín</w:t>
      </w:r>
      <w:r w:rsidRPr="00556DE0">
        <w:rPr>
          <w:rFonts w:ascii="Verdana" w:hAnsi="Verdana"/>
          <w:sz w:val="16"/>
          <w:szCs w:val="16"/>
        </w:rPr>
        <w:t xml:space="preserve">; tres del caso </w:t>
      </w:r>
      <w:r w:rsidRPr="00556DE0">
        <w:rPr>
          <w:rFonts w:ascii="Verdana" w:hAnsi="Verdana"/>
          <w:i/>
          <w:sz w:val="16"/>
          <w:szCs w:val="16"/>
        </w:rPr>
        <w:t>Masacre de las Dos Erres</w:t>
      </w:r>
      <w:r w:rsidRPr="00556DE0">
        <w:rPr>
          <w:rFonts w:ascii="Verdana" w:hAnsi="Verdana"/>
          <w:sz w:val="16"/>
          <w:szCs w:val="16"/>
        </w:rPr>
        <w:t xml:space="preserve">; tres del caso </w:t>
      </w:r>
      <w:r w:rsidRPr="00556DE0">
        <w:rPr>
          <w:rFonts w:ascii="Verdana" w:hAnsi="Verdana"/>
          <w:i/>
          <w:sz w:val="16"/>
          <w:szCs w:val="16"/>
        </w:rPr>
        <w:t>Chitay Nech</w:t>
      </w:r>
      <w:r w:rsidRPr="00556DE0">
        <w:rPr>
          <w:rFonts w:ascii="Verdana" w:hAnsi="Verdana"/>
          <w:sz w:val="16"/>
          <w:szCs w:val="16"/>
        </w:rPr>
        <w:t xml:space="preserve">; dos del caso </w:t>
      </w:r>
      <w:r w:rsidRPr="00556DE0">
        <w:rPr>
          <w:rFonts w:ascii="Verdana" w:hAnsi="Verdana"/>
          <w:i/>
          <w:sz w:val="16"/>
          <w:szCs w:val="16"/>
        </w:rPr>
        <w:t>Mack Chang</w:t>
      </w:r>
      <w:r w:rsidRPr="00556DE0">
        <w:rPr>
          <w:rFonts w:ascii="Verdana" w:hAnsi="Verdana"/>
          <w:sz w:val="16"/>
          <w:szCs w:val="16"/>
        </w:rPr>
        <w:t xml:space="preserve">; y dos del caso </w:t>
      </w:r>
      <w:r w:rsidRPr="00556DE0">
        <w:rPr>
          <w:rFonts w:ascii="Verdana" w:hAnsi="Verdana"/>
          <w:i/>
          <w:sz w:val="16"/>
          <w:szCs w:val="16"/>
        </w:rPr>
        <w:t>Panel Blanca.</w:t>
      </w:r>
    </w:p>
  </w:footnote>
  <w:footnote w:id="20">
    <w:p w14:paraId="00F997C9" w14:textId="0BAC1116" w:rsidR="0018425E" w:rsidRPr="00556DE0" w:rsidRDefault="0018425E" w:rsidP="00F57746">
      <w:pPr>
        <w:pStyle w:val="FootnoteText"/>
        <w:ind w:right="1444"/>
        <w:jc w:val="both"/>
        <w:rPr>
          <w:rFonts w:ascii="Verdana" w:hAnsi="Verdana"/>
          <w:sz w:val="16"/>
          <w:szCs w:val="16"/>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t xml:space="preserve">Los informes de supervisión conjunta de los </w:t>
      </w:r>
      <w:r w:rsidRPr="00556DE0">
        <w:rPr>
          <w:rFonts w:ascii="Verdana" w:hAnsi="Verdana"/>
          <w:i/>
          <w:sz w:val="16"/>
          <w:szCs w:val="16"/>
        </w:rPr>
        <w:t xml:space="preserve">casos </w:t>
      </w:r>
      <w:r w:rsidRPr="00556DE0">
        <w:rPr>
          <w:rFonts w:ascii="Verdana" w:hAnsi="Verdana" w:cs="Arial"/>
          <w:i/>
          <w:sz w:val="16"/>
          <w:szCs w:val="16"/>
          <w:lang w:val="es-CR"/>
        </w:rPr>
        <w:t>Blake, Niños de la Calle, Bámaca Velásquez, Maritza Urrutia, Masacre de Plan de Sánchez, Molina Theissen, Tiu Tojín, Masacre de las Dos Erres, Carpio Nicolle, Chitay Nech y Mack Chang</w:t>
      </w:r>
      <w:r w:rsidRPr="00556DE0">
        <w:rPr>
          <w:rFonts w:ascii="Verdana" w:hAnsi="Verdana"/>
          <w:sz w:val="16"/>
          <w:szCs w:val="16"/>
        </w:rPr>
        <w:t xml:space="preserve">, del 17 de abril y 7 de octubre de 2015; un informe del caso de </w:t>
      </w:r>
      <w:r w:rsidRPr="00556DE0">
        <w:rPr>
          <w:rFonts w:ascii="Verdana" w:hAnsi="Verdana"/>
          <w:i/>
          <w:sz w:val="16"/>
          <w:szCs w:val="16"/>
        </w:rPr>
        <w:t xml:space="preserve">Panel Blanca </w:t>
      </w:r>
      <w:r w:rsidRPr="00556DE0">
        <w:rPr>
          <w:rFonts w:ascii="Verdana" w:hAnsi="Verdana"/>
          <w:sz w:val="16"/>
          <w:szCs w:val="16"/>
        </w:rPr>
        <w:t xml:space="preserve">del 27 de abril de 2015, y un informe correspondiente al caso </w:t>
      </w:r>
      <w:r w:rsidRPr="00556DE0">
        <w:rPr>
          <w:rFonts w:ascii="Verdana" w:hAnsi="Verdana"/>
          <w:i/>
          <w:sz w:val="16"/>
          <w:szCs w:val="16"/>
        </w:rPr>
        <w:t xml:space="preserve">Molina Theissen </w:t>
      </w:r>
      <w:r w:rsidRPr="00556DE0">
        <w:rPr>
          <w:rFonts w:ascii="Verdana" w:hAnsi="Verdana"/>
          <w:sz w:val="16"/>
          <w:szCs w:val="16"/>
        </w:rPr>
        <w:t>de 6 de noviembre de 2015.</w:t>
      </w:r>
    </w:p>
  </w:footnote>
  <w:footnote w:id="21">
    <w:p w14:paraId="0240AC86" w14:textId="20D46D54" w:rsidR="0018425E" w:rsidRPr="00556DE0" w:rsidRDefault="0018425E" w:rsidP="00F57746">
      <w:pPr>
        <w:pStyle w:val="FootnoteText"/>
        <w:ind w:right="1444"/>
        <w:jc w:val="both"/>
        <w:rPr>
          <w:rFonts w:ascii="Verdana" w:hAnsi="Verdana"/>
          <w:sz w:val="16"/>
          <w:szCs w:val="16"/>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t xml:space="preserve">Un escrito de observaciones del caso </w:t>
      </w:r>
      <w:r w:rsidRPr="00556DE0">
        <w:rPr>
          <w:rFonts w:ascii="Verdana" w:hAnsi="Verdana"/>
          <w:i/>
          <w:sz w:val="16"/>
          <w:szCs w:val="16"/>
        </w:rPr>
        <w:t>“Niños de la Calle” (Villagrán Morales)</w:t>
      </w:r>
      <w:r w:rsidRPr="00556DE0">
        <w:rPr>
          <w:rFonts w:ascii="Verdana" w:hAnsi="Verdana"/>
          <w:sz w:val="16"/>
          <w:szCs w:val="16"/>
        </w:rPr>
        <w:t xml:space="preserve">; un escrito del caso </w:t>
      </w:r>
      <w:r w:rsidRPr="00556DE0">
        <w:rPr>
          <w:rFonts w:ascii="Verdana" w:hAnsi="Verdana"/>
          <w:i/>
          <w:sz w:val="16"/>
          <w:szCs w:val="16"/>
        </w:rPr>
        <w:t>Bámaca Velásquez</w:t>
      </w:r>
      <w:r w:rsidRPr="00556DE0">
        <w:rPr>
          <w:rFonts w:ascii="Verdana" w:hAnsi="Verdana"/>
          <w:sz w:val="16"/>
          <w:szCs w:val="16"/>
        </w:rPr>
        <w:t xml:space="preserve">; un escrito del caso </w:t>
      </w:r>
      <w:r w:rsidRPr="00556DE0">
        <w:rPr>
          <w:rFonts w:ascii="Verdana" w:hAnsi="Verdana"/>
          <w:i/>
          <w:sz w:val="16"/>
          <w:szCs w:val="16"/>
        </w:rPr>
        <w:t>Maritza Urrutia</w:t>
      </w:r>
      <w:r w:rsidRPr="00556DE0">
        <w:rPr>
          <w:rFonts w:ascii="Verdana" w:hAnsi="Verdana"/>
          <w:sz w:val="16"/>
          <w:szCs w:val="16"/>
        </w:rPr>
        <w:t xml:space="preserve">; un escrito del caso </w:t>
      </w:r>
      <w:r w:rsidRPr="00556DE0">
        <w:rPr>
          <w:rFonts w:ascii="Verdana" w:hAnsi="Verdana"/>
          <w:i/>
          <w:sz w:val="16"/>
          <w:szCs w:val="16"/>
        </w:rPr>
        <w:t>Masacre Plan de Sánchez</w:t>
      </w:r>
      <w:r w:rsidRPr="00556DE0">
        <w:rPr>
          <w:rFonts w:ascii="Verdana" w:hAnsi="Verdana"/>
          <w:sz w:val="16"/>
          <w:szCs w:val="16"/>
        </w:rPr>
        <w:t xml:space="preserve">; un escrito del caso </w:t>
      </w:r>
      <w:r w:rsidRPr="00556DE0">
        <w:rPr>
          <w:rFonts w:ascii="Verdana" w:hAnsi="Verdana"/>
          <w:i/>
          <w:sz w:val="16"/>
          <w:szCs w:val="16"/>
        </w:rPr>
        <w:t>Molina Theissen</w:t>
      </w:r>
      <w:r w:rsidRPr="00556DE0">
        <w:rPr>
          <w:rFonts w:ascii="Verdana" w:hAnsi="Verdana"/>
          <w:sz w:val="16"/>
          <w:szCs w:val="16"/>
        </w:rPr>
        <w:t xml:space="preserve">; un escrito del caso </w:t>
      </w:r>
      <w:r w:rsidRPr="00556DE0">
        <w:rPr>
          <w:rFonts w:ascii="Verdana" w:hAnsi="Verdana"/>
          <w:i/>
          <w:sz w:val="16"/>
          <w:szCs w:val="16"/>
        </w:rPr>
        <w:t>Tiu Tojín</w:t>
      </w:r>
      <w:r w:rsidRPr="00556DE0">
        <w:rPr>
          <w:rFonts w:ascii="Verdana" w:hAnsi="Verdana"/>
          <w:sz w:val="16"/>
          <w:szCs w:val="16"/>
        </w:rPr>
        <w:t xml:space="preserve">; un escrito del caso de la </w:t>
      </w:r>
      <w:r w:rsidRPr="00556DE0">
        <w:rPr>
          <w:rFonts w:ascii="Verdana" w:hAnsi="Verdana"/>
          <w:i/>
          <w:sz w:val="16"/>
          <w:szCs w:val="16"/>
        </w:rPr>
        <w:t>Masacre de las Dos Erres</w:t>
      </w:r>
      <w:r w:rsidRPr="00556DE0">
        <w:rPr>
          <w:rFonts w:ascii="Verdana" w:hAnsi="Verdana"/>
          <w:sz w:val="16"/>
          <w:szCs w:val="16"/>
        </w:rPr>
        <w:t xml:space="preserve">; dos escritos del caso </w:t>
      </w:r>
      <w:r w:rsidRPr="00556DE0">
        <w:rPr>
          <w:rFonts w:ascii="Verdana" w:hAnsi="Verdana"/>
          <w:i/>
          <w:sz w:val="16"/>
          <w:szCs w:val="16"/>
        </w:rPr>
        <w:t>Chitay Nech</w:t>
      </w:r>
      <w:r w:rsidRPr="00556DE0">
        <w:rPr>
          <w:rFonts w:ascii="Verdana" w:hAnsi="Verdana"/>
          <w:sz w:val="16"/>
          <w:szCs w:val="16"/>
        </w:rPr>
        <w:t xml:space="preserve">; un escrito del caso de la </w:t>
      </w:r>
      <w:r w:rsidRPr="00556DE0">
        <w:rPr>
          <w:rFonts w:ascii="Verdana" w:hAnsi="Verdana"/>
          <w:i/>
          <w:sz w:val="16"/>
          <w:szCs w:val="16"/>
        </w:rPr>
        <w:t>Panel Blanca (Paniagua Morales y otros)</w:t>
      </w:r>
      <w:r w:rsidRPr="00556DE0">
        <w:rPr>
          <w:rFonts w:ascii="Verdana" w:hAnsi="Verdana"/>
          <w:sz w:val="16"/>
          <w:szCs w:val="16"/>
        </w:rPr>
        <w:t xml:space="preserve">, y tres escritos con relación a la supervisión conjunta de los </w:t>
      </w:r>
      <w:r w:rsidRPr="00556DE0">
        <w:rPr>
          <w:rFonts w:ascii="Verdana" w:hAnsi="Verdana"/>
          <w:i/>
          <w:sz w:val="16"/>
          <w:szCs w:val="16"/>
        </w:rPr>
        <w:t xml:space="preserve">casos </w:t>
      </w:r>
      <w:r w:rsidRPr="00556DE0">
        <w:rPr>
          <w:rFonts w:ascii="Verdana" w:hAnsi="Verdana" w:cs="Arial"/>
          <w:i/>
          <w:sz w:val="16"/>
          <w:szCs w:val="16"/>
          <w:lang w:val="es-CR"/>
        </w:rPr>
        <w:t>Blake, Niños de la Calle,  Bámaca Velásquez, Maritza Urrutia, Masacre de Plan de Sánchez, Molina Theissen, Tiu Tojín, Masacre de las Dos Erres, Carpio Nicolle, Chitay Nech y Mack Chang</w:t>
      </w:r>
      <w:r w:rsidRPr="00556DE0">
        <w:rPr>
          <w:rFonts w:ascii="Verdana" w:hAnsi="Verdana"/>
          <w:sz w:val="16"/>
          <w:szCs w:val="16"/>
        </w:rPr>
        <w:t>.</w:t>
      </w:r>
      <w:r w:rsidRPr="00556DE0">
        <w:rPr>
          <w:rFonts w:ascii="Verdana" w:hAnsi="Verdana"/>
          <w:sz w:val="16"/>
          <w:szCs w:val="16"/>
          <w:lang w:val="es-CR"/>
        </w:rPr>
        <w:t xml:space="preserve"> Dos escritos de observaciones del caso </w:t>
      </w:r>
      <w:r w:rsidRPr="00556DE0">
        <w:rPr>
          <w:rFonts w:ascii="Verdana" w:hAnsi="Verdana"/>
          <w:i/>
          <w:sz w:val="16"/>
          <w:szCs w:val="16"/>
          <w:lang w:val="es-CR"/>
        </w:rPr>
        <w:t xml:space="preserve">Chitay Nech; </w:t>
      </w:r>
      <w:r w:rsidRPr="00556DE0">
        <w:rPr>
          <w:rFonts w:ascii="Verdana" w:hAnsi="Verdana"/>
          <w:sz w:val="16"/>
          <w:szCs w:val="16"/>
          <w:lang w:val="es-CR"/>
        </w:rPr>
        <w:t xml:space="preserve">un escrito de observaciones del caso </w:t>
      </w:r>
      <w:r w:rsidRPr="00556DE0">
        <w:rPr>
          <w:rFonts w:ascii="Verdana" w:hAnsi="Verdana"/>
          <w:i/>
          <w:sz w:val="16"/>
          <w:szCs w:val="16"/>
          <w:lang w:val="es-CR"/>
        </w:rPr>
        <w:t>Molina Theissen</w:t>
      </w:r>
      <w:r w:rsidRPr="00556DE0">
        <w:rPr>
          <w:rFonts w:ascii="Verdana" w:hAnsi="Verdana"/>
          <w:sz w:val="16"/>
          <w:szCs w:val="16"/>
          <w:lang w:val="es-CR"/>
        </w:rPr>
        <w:t xml:space="preserve">, un escrito de observaciones conjunto correspondiente a los casos </w:t>
      </w:r>
      <w:r w:rsidRPr="00556DE0">
        <w:rPr>
          <w:rFonts w:ascii="Verdana" w:hAnsi="Verdana"/>
          <w:i/>
          <w:sz w:val="16"/>
          <w:szCs w:val="16"/>
          <w:lang w:val="es-CR"/>
        </w:rPr>
        <w:t xml:space="preserve">Bámaca Velásquez, Masacre de las dos erres, Molina Theissen y Villagrán Morales (Niños de la Calle); dos escritos de observaciones conjunto de los casos Maritza Urrutia, Tiu Tojin y Plan de Sanchéz, </w:t>
      </w:r>
      <w:r w:rsidRPr="00556DE0">
        <w:rPr>
          <w:rFonts w:ascii="Verdana" w:hAnsi="Verdana"/>
          <w:sz w:val="16"/>
          <w:szCs w:val="16"/>
          <w:lang w:val="es-CR"/>
        </w:rPr>
        <w:t xml:space="preserve">dos escritos de observaciones conjunto de los casos </w:t>
      </w:r>
      <w:r w:rsidRPr="00556DE0">
        <w:rPr>
          <w:rFonts w:ascii="Verdana" w:hAnsi="Verdana"/>
          <w:i/>
          <w:sz w:val="16"/>
          <w:szCs w:val="16"/>
          <w:lang w:val="es-CR"/>
        </w:rPr>
        <w:t>Bámaca Velásquez, Masacre de las dos erres, Molina Theissen, Villagrán Morales (Niños de la Calle) y Myrna Mack</w:t>
      </w:r>
      <w:r w:rsidRPr="00556DE0">
        <w:rPr>
          <w:rFonts w:ascii="Verdana" w:hAnsi="Verdana"/>
          <w:sz w:val="16"/>
          <w:szCs w:val="16"/>
          <w:lang w:val="es-CR"/>
        </w:rPr>
        <w:t xml:space="preserve"> Chang.</w:t>
      </w:r>
    </w:p>
  </w:footnote>
  <w:footnote w:id="22">
    <w:p w14:paraId="0627547F" w14:textId="64D92FD8" w:rsidR="0018425E" w:rsidRPr="00556DE0" w:rsidRDefault="0018425E" w:rsidP="00F57746">
      <w:pPr>
        <w:pStyle w:val="FootnoteText"/>
        <w:ind w:right="1444"/>
        <w:jc w:val="both"/>
        <w:rPr>
          <w:rFonts w:ascii="Verdana" w:hAnsi="Verdana"/>
          <w:i/>
          <w:sz w:val="16"/>
          <w:szCs w:val="16"/>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t xml:space="preserve">El escrito de 18 de junio de 2015, correspondiente al caso </w:t>
      </w:r>
      <w:r w:rsidRPr="00556DE0">
        <w:rPr>
          <w:rFonts w:ascii="Verdana" w:hAnsi="Verdana"/>
          <w:i/>
          <w:sz w:val="16"/>
          <w:szCs w:val="16"/>
        </w:rPr>
        <w:t>Panel Blanca</w:t>
      </w:r>
      <w:r w:rsidRPr="00556DE0">
        <w:rPr>
          <w:rFonts w:ascii="Verdana" w:hAnsi="Verdana"/>
          <w:sz w:val="16"/>
          <w:szCs w:val="16"/>
        </w:rPr>
        <w:t xml:space="preserve">, y el escrito de 5 de agosto de 2015, correspondiente a los casos </w:t>
      </w:r>
      <w:r w:rsidRPr="00556DE0">
        <w:rPr>
          <w:rFonts w:ascii="Verdana" w:hAnsi="Verdana"/>
          <w:i/>
          <w:sz w:val="16"/>
          <w:szCs w:val="16"/>
        </w:rPr>
        <w:t xml:space="preserve">Blake, Niños de la Calle, Bámaca Velásquez, Maritza Urrutia, Masacre Plan de Sánchez, Molina Theissen, Carpio Nicolle, Tiu Tojín, Masacre de las Dos Erres, Chitay Nech </w:t>
      </w:r>
      <w:r w:rsidRPr="00556DE0">
        <w:rPr>
          <w:rFonts w:ascii="Verdana" w:hAnsi="Verdana"/>
          <w:sz w:val="16"/>
          <w:szCs w:val="16"/>
        </w:rPr>
        <w:t xml:space="preserve">y </w:t>
      </w:r>
      <w:r w:rsidRPr="00556DE0">
        <w:rPr>
          <w:rFonts w:ascii="Verdana" w:hAnsi="Verdana"/>
          <w:i/>
          <w:sz w:val="16"/>
          <w:szCs w:val="16"/>
        </w:rPr>
        <w:t>Mack Chang</w:t>
      </w:r>
      <w:r w:rsidRPr="00556DE0">
        <w:rPr>
          <w:rFonts w:ascii="Verdana" w:hAnsi="Verdana"/>
          <w:sz w:val="16"/>
          <w:szCs w:val="16"/>
        </w:rPr>
        <w:t>.</w:t>
      </w:r>
      <w:r w:rsidRPr="00556DE0">
        <w:rPr>
          <w:rFonts w:ascii="Verdana" w:hAnsi="Verdana"/>
          <w:i/>
          <w:sz w:val="16"/>
          <w:szCs w:val="16"/>
        </w:rPr>
        <w:t xml:space="preserve"> </w:t>
      </w:r>
    </w:p>
  </w:footnote>
  <w:footnote w:id="23">
    <w:p w14:paraId="2DE13383" w14:textId="77777777" w:rsidR="0018425E" w:rsidRPr="00556DE0" w:rsidRDefault="0018425E" w:rsidP="00F57746">
      <w:pPr>
        <w:pStyle w:val="FootnoteText"/>
        <w:ind w:right="1444"/>
        <w:jc w:val="both"/>
        <w:rPr>
          <w:rFonts w:ascii="Verdana" w:hAnsi="Verdana"/>
          <w:sz w:val="16"/>
          <w:szCs w:val="16"/>
          <w:lang w:val="es-CR"/>
        </w:rPr>
      </w:pPr>
      <w:r w:rsidRPr="00556DE0">
        <w:rPr>
          <w:rStyle w:val="FootnoteReference"/>
          <w:rFonts w:ascii="Verdana" w:hAnsi="Verdana"/>
          <w:sz w:val="16"/>
          <w:szCs w:val="16"/>
        </w:rPr>
        <w:footnoteRef/>
      </w:r>
      <w:r w:rsidRPr="00556DE0">
        <w:rPr>
          <w:rFonts w:ascii="Verdana" w:hAnsi="Verdana"/>
          <w:sz w:val="16"/>
          <w:szCs w:val="16"/>
          <w:lang w:val="es-CR"/>
        </w:rPr>
        <w:t xml:space="preserve"> </w:t>
      </w:r>
      <w:r w:rsidRPr="00556DE0">
        <w:rPr>
          <w:rFonts w:ascii="Verdana" w:hAnsi="Verdana"/>
          <w:sz w:val="16"/>
          <w:szCs w:val="16"/>
          <w:lang w:val="es-CR"/>
        </w:rPr>
        <w:tab/>
        <w:t xml:space="preserve">Facultad que además </w:t>
      </w:r>
      <w:r w:rsidRPr="00556DE0">
        <w:rPr>
          <w:rFonts w:ascii="Verdana" w:hAnsi="Verdana"/>
          <w:sz w:val="16"/>
          <w:szCs w:val="16"/>
          <w:lang w:val="es-ES"/>
        </w:rPr>
        <w:t xml:space="preserve">se desprende de lo dispuesto en los artículos 33, 62.1, 62.3 y 65 de la Convención Americana y </w:t>
      </w:r>
      <w:r w:rsidRPr="00556DE0">
        <w:rPr>
          <w:rFonts w:ascii="Verdana" w:hAnsi="Verdana"/>
          <w:sz w:val="16"/>
          <w:szCs w:val="16"/>
          <w:lang w:val="es-CR"/>
        </w:rPr>
        <w:t>30 de su Estatuto y se encuentra regulada en el artículo 69 de su Reglamento.</w:t>
      </w:r>
    </w:p>
  </w:footnote>
  <w:footnote w:id="24">
    <w:p w14:paraId="3381E99A" w14:textId="42B2A81D" w:rsidR="0018425E" w:rsidRPr="00556DE0" w:rsidRDefault="0018425E" w:rsidP="00F57746">
      <w:pPr>
        <w:autoSpaceDE w:val="0"/>
        <w:autoSpaceDN w:val="0"/>
        <w:adjustRightInd w:val="0"/>
        <w:spacing w:after="0" w:line="240" w:lineRule="auto"/>
        <w:ind w:right="1444"/>
        <w:jc w:val="both"/>
        <w:rPr>
          <w:rFonts w:ascii="Verdana" w:hAnsi="Verdana"/>
          <w:color w:val="000000"/>
          <w:sz w:val="16"/>
          <w:szCs w:val="16"/>
          <w:lang w:val="es-ES"/>
        </w:rPr>
      </w:pPr>
      <w:r w:rsidRPr="00556DE0">
        <w:rPr>
          <w:rStyle w:val="FootnoteReference"/>
          <w:rFonts w:ascii="Verdana" w:hAnsi="Verdana"/>
          <w:sz w:val="16"/>
          <w:szCs w:val="16"/>
        </w:rPr>
        <w:footnoteRef/>
      </w:r>
      <w:r w:rsidRPr="00556DE0">
        <w:rPr>
          <w:rFonts w:ascii="Verdana" w:hAnsi="Verdana"/>
          <w:sz w:val="16"/>
          <w:szCs w:val="16"/>
          <w:lang w:val="de-DE"/>
        </w:rPr>
        <w:t xml:space="preserve"> </w:t>
      </w:r>
      <w:r w:rsidRPr="00556DE0">
        <w:rPr>
          <w:rFonts w:ascii="Verdana" w:hAnsi="Verdana"/>
          <w:sz w:val="16"/>
          <w:szCs w:val="16"/>
          <w:lang w:val="de-DE"/>
        </w:rPr>
        <w:tab/>
      </w:r>
      <w:r w:rsidRPr="00556DE0">
        <w:rPr>
          <w:rFonts w:ascii="Verdana" w:hAnsi="Verdana"/>
          <w:i/>
          <w:sz w:val="16"/>
          <w:szCs w:val="16"/>
          <w:lang w:val="de-DE"/>
        </w:rPr>
        <w:t xml:space="preserve">Cfr. </w:t>
      </w:r>
      <w:r w:rsidRPr="00556DE0">
        <w:rPr>
          <w:rFonts w:ascii="Verdana" w:hAnsi="Verdana"/>
          <w:i/>
          <w:noProof/>
          <w:color w:val="000000"/>
          <w:sz w:val="16"/>
          <w:szCs w:val="16"/>
          <w:lang w:val="de-DE"/>
        </w:rPr>
        <w:t xml:space="preserve">Caso Ivcher Bronstein Vs. </w:t>
      </w:r>
      <w:r w:rsidRPr="00556DE0">
        <w:rPr>
          <w:rFonts w:ascii="Verdana" w:hAnsi="Verdana"/>
          <w:i/>
          <w:noProof/>
          <w:color w:val="000000"/>
          <w:sz w:val="16"/>
          <w:szCs w:val="16"/>
          <w:lang w:val="es-ES"/>
        </w:rPr>
        <w:t>Perú. Competencia.</w:t>
      </w:r>
      <w:r w:rsidRPr="00556DE0">
        <w:rPr>
          <w:rFonts w:ascii="Verdana" w:hAnsi="Verdana"/>
          <w:noProof/>
          <w:color w:val="000000"/>
          <w:sz w:val="16"/>
          <w:szCs w:val="16"/>
          <w:lang w:val="es-ES"/>
        </w:rPr>
        <w:t xml:space="preserve"> Sentencia de de la Corte Interamericana de Derechos Humanos de 24 de septiembre de 1999.</w:t>
      </w:r>
      <w:r w:rsidRPr="00556DE0">
        <w:rPr>
          <w:rFonts w:ascii="Verdana" w:hAnsi="Verdana"/>
          <w:color w:val="000000"/>
          <w:sz w:val="16"/>
          <w:szCs w:val="16"/>
          <w:lang w:val="es-ES"/>
        </w:rPr>
        <w:t xml:space="preserve"> </w:t>
      </w:r>
      <w:r w:rsidRPr="00556DE0">
        <w:rPr>
          <w:rFonts w:ascii="Verdana" w:hAnsi="Verdana"/>
          <w:noProof/>
          <w:color w:val="000000"/>
          <w:sz w:val="16"/>
          <w:szCs w:val="16"/>
          <w:lang w:val="es-ES"/>
        </w:rPr>
        <w:t xml:space="preserve">Serie C No. 54, párr. 37, </w:t>
      </w:r>
      <w:r w:rsidRPr="00556DE0">
        <w:rPr>
          <w:rFonts w:ascii="Verdana" w:hAnsi="Verdana"/>
          <w:bCs/>
          <w:color w:val="000000"/>
          <w:sz w:val="16"/>
          <w:szCs w:val="16"/>
          <w:lang w:val="es-CR" w:bidi="en-US"/>
        </w:rPr>
        <w:t xml:space="preserve">y </w:t>
      </w:r>
      <w:r w:rsidRPr="00556DE0">
        <w:rPr>
          <w:rStyle w:val="Strong"/>
          <w:rFonts w:ascii="Verdana" w:hAnsi="Verdana"/>
          <w:b w:val="0"/>
          <w:i/>
          <w:color w:val="000000"/>
          <w:sz w:val="16"/>
          <w:szCs w:val="16"/>
          <w:lang w:val="es-CR"/>
        </w:rPr>
        <w:t>Caso Familia Barrios Vs. Venezuela. Supervisión de Cumplimiento de Sentencia.</w:t>
      </w:r>
      <w:r w:rsidRPr="00556DE0">
        <w:rPr>
          <w:rStyle w:val="Strong"/>
          <w:rFonts w:ascii="Verdana" w:hAnsi="Verdana"/>
          <w:b w:val="0"/>
          <w:color w:val="000000"/>
          <w:sz w:val="16"/>
          <w:szCs w:val="16"/>
          <w:lang w:val="es-CR"/>
        </w:rPr>
        <w:t xml:space="preserve"> Resolución de la Corte Interamericana de Derechos Humanos de 2 de septiembre de 2015</w:t>
      </w:r>
      <w:r w:rsidRPr="00556DE0">
        <w:rPr>
          <w:rFonts w:ascii="Verdana" w:hAnsi="Verdana"/>
          <w:bCs/>
          <w:color w:val="000000"/>
          <w:sz w:val="16"/>
          <w:szCs w:val="16"/>
          <w:lang w:val="es-AR"/>
        </w:rPr>
        <w:t>,</w:t>
      </w:r>
      <w:r w:rsidRPr="00556DE0">
        <w:rPr>
          <w:rFonts w:ascii="Verdana" w:hAnsi="Verdana"/>
          <w:b/>
          <w:bCs/>
          <w:color w:val="000000"/>
          <w:sz w:val="16"/>
          <w:szCs w:val="16"/>
          <w:lang w:val="es-AR"/>
        </w:rPr>
        <w:t xml:space="preserve"> </w:t>
      </w:r>
      <w:r w:rsidRPr="00556DE0">
        <w:rPr>
          <w:rFonts w:ascii="Verdana" w:hAnsi="Verdana"/>
          <w:bCs/>
          <w:color w:val="000000"/>
          <w:sz w:val="16"/>
          <w:szCs w:val="16"/>
          <w:lang w:val="es-AR"/>
        </w:rPr>
        <w:t>Considerando 4.</w:t>
      </w:r>
    </w:p>
  </w:footnote>
  <w:footnote w:id="25">
    <w:p w14:paraId="2E0C765F" w14:textId="34F91A0D" w:rsidR="0018425E" w:rsidRPr="00556DE0" w:rsidRDefault="0018425E" w:rsidP="00CD430E">
      <w:pPr>
        <w:autoSpaceDE w:val="0"/>
        <w:autoSpaceDN w:val="0"/>
        <w:adjustRightInd w:val="0"/>
        <w:spacing w:after="0" w:line="240" w:lineRule="auto"/>
        <w:ind w:right="1444"/>
        <w:jc w:val="both"/>
        <w:rPr>
          <w:rFonts w:ascii="Verdana" w:hAnsi="Verdana"/>
          <w:sz w:val="16"/>
          <w:szCs w:val="16"/>
          <w:lang w:val="es-CR"/>
        </w:rPr>
      </w:pPr>
      <w:r w:rsidRPr="00556DE0">
        <w:rPr>
          <w:rStyle w:val="FootnoteReference"/>
          <w:rFonts w:ascii="Verdana" w:hAnsi="Verdana"/>
          <w:sz w:val="16"/>
          <w:szCs w:val="16"/>
        </w:rPr>
        <w:footnoteRef/>
      </w:r>
      <w:r w:rsidRPr="00556DE0">
        <w:rPr>
          <w:rFonts w:ascii="Verdana" w:hAnsi="Verdana"/>
          <w:sz w:val="16"/>
          <w:szCs w:val="16"/>
          <w:lang w:val="es-CR"/>
        </w:rPr>
        <w:t xml:space="preserve"> </w:t>
      </w:r>
      <w:r w:rsidRPr="00556DE0">
        <w:rPr>
          <w:rFonts w:ascii="Verdana" w:hAnsi="Verdana"/>
          <w:sz w:val="16"/>
          <w:szCs w:val="16"/>
          <w:lang w:val="es-CR"/>
        </w:rPr>
        <w:tab/>
      </w:r>
      <w:r w:rsidRPr="00556DE0">
        <w:rPr>
          <w:rFonts w:ascii="Verdana" w:hAnsi="Verdana"/>
          <w:color w:val="000000"/>
          <w:sz w:val="16"/>
          <w:szCs w:val="16"/>
          <w:shd w:val="clear" w:color="auto" w:fill="FFFFFF"/>
          <w:lang w:val="es-ES"/>
        </w:rPr>
        <w:t xml:space="preserve">La Corte declaró al Estado responsable por la violación </w:t>
      </w:r>
      <w:r w:rsidRPr="00556DE0">
        <w:rPr>
          <w:rFonts w:ascii="Verdana" w:hAnsi="Verdana"/>
          <w:color w:val="000000"/>
          <w:sz w:val="16"/>
          <w:szCs w:val="16"/>
          <w:shd w:val="clear" w:color="auto" w:fill="FFFFFF"/>
          <w:lang w:val="es-UY"/>
        </w:rPr>
        <w:t xml:space="preserve">en perjuicio de los familiares de Nicholas Chapman Blake de las garantías judiciales, el derecho a la integridad psíquica y moral con relación al deber de investigar la muerte del señor Blake. Al respecto, </w:t>
      </w:r>
      <w:r w:rsidRPr="00556DE0">
        <w:rPr>
          <w:rFonts w:ascii="Verdana" w:hAnsi="Verdana" w:cs="Verdana"/>
          <w:sz w:val="16"/>
          <w:szCs w:val="16"/>
          <w:lang w:val="es-ES"/>
        </w:rPr>
        <w:t>e</w:t>
      </w:r>
      <w:r>
        <w:rPr>
          <w:rFonts w:ascii="Verdana" w:hAnsi="Verdana" w:cs="Verdana"/>
          <w:sz w:val="16"/>
          <w:szCs w:val="16"/>
          <w:lang w:val="es-ES"/>
        </w:rPr>
        <w:t>l</w:t>
      </w:r>
      <w:r w:rsidRPr="00556DE0">
        <w:rPr>
          <w:rFonts w:ascii="Verdana" w:hAnsi="Verdana" w:cs="Verdana"/>
          <w:sz w:val="16"/>
          <w:szCs w:val="16"/>
          <w:lang w:val="es-ES"/>
        </w:rPr>
        <w:t xml:space="preserve"> 26 de marzo de 1985 el señor Nicholas Blake fue detenido por la </w:t>
      </w:r>
      <w:r w:rsidRPr="00556DE0">
        <w:rPr>
          <w:rFonts w:ascii="Verdana" w:hAnsi="Verdana"/>
          <w:color w:val="000000"/>
          <w:sz w:val="16"/>
          <w:szCs w:val="16"/>
          <w:shd w:val="clear" w:color="auto" w:fill="FFFFFF"/>
          <w:lang w:val="es-ES"/>
        </w:rPr>
        <w:t xml:space="preserve">Patrulla de Autodefensa </w:t>
      </w:r>
      <w:r w:rsidRPr="00556DE0">
        <w:rPr>
          <w:rFonts w:ascii="Verdana" w:hAnsi="Verdana"/>
          <w:noProof/>
          <w:color w:val="000000"/>
          <w:sz w:val="16"/>
          <w:szCs w:val="16"/>
          <w:lang w:val="es-ES"/>
        </w:rPr>
        <w:t>Civil</w:t>
      </w:r>
      <w:r w:rsidRPr="00556DE0">
        <w:rPr>
          <w:rFonts w:ascii="Verdana" w:hAnsi="Verdana"/>
          <w:color w:val="000000"/>
          <w:sz w:val="16"/>
          <w:szCs w:val="16"/>
          <w:shd w:val="clear" w:color="auto" w:fill="FFFFFF"/>
          <w:lang w:val="es-ES"/>
        </w:rPr>
        <w:t xml:space="preserve"> de El Llano y fue llevado a un lugar llamado “Los Campamentos”, donde lo asesinaron. Su cuerpo fue arrojado en la maleza, y sus restos fueron quemados y enterrados. Permaneció desaparecido hasta el 14 de junio de 1992, cuando fueron encontrados e identificados sus restos mortales. Para la fecha de la sentencia, no se habían investigado los hechos ni</w:t>
      </w:r>
      <w:r>
        <w:rPr>
          <w:rFonts w:ascii="Verdana" w:hAnsi="Verdana"/>
          <w:color w:val="000000"/>
          <w:sz w:val="16"/>
          <w:szCs w:val="16"/>
          <w:shd w:val="clear" w:color="auto" w:fill="FFFFFF"/>
          <w:lang w:val="es-ES"/>
        </w:rPr>
        <w:t xml:space="preserve"> sancionado a los responsables.</w:t>
      </w:r>
    </w:p>
  </w:footnote>
  <w:footnote w:id="26">
    <w:p w14:paraId="2F25DF26" w14:textId="351412A9" w:rsidR="0018425E" w:rsidRPr="00556DE0" w:rsidRDefault="0018425E" w:rsidP="00CD430E">
      <w:pPr>
        <w:autoSpaceDE w:val="0"/>
        <w:autoSpaceDN w:val="0"/>
        <w:adjustRightInd w:val="0"/>
        <w:spacing w:after="0" w:line="240" w:lineRule="auto"/>
        <w:ind w:right="1444"/>
        <w:jc w:val="both"/>
        <w:rPr>
          <w:rFonts w:ascii="Verdana" w:hAnsi="Verdana"/>
          <w:sz w:val="16"/>
          <w:szCs w:val="16"/>
          <w:lang w:val="es-CR"/>
        </w:rPr>
      </w:pPr>
      <w:r w:rsidRPr="00556DE0">
        <w:rPr>
          <w:rStyle w:val="FootnoteReference"/>
          <w:rFonts w:ascii="Verdana" w:hAnsi="Verdana"/>
          <w:sz w:val="16"/>
          <w:szCs w:val="16"/>
        </w:rPr>
        <w:footnoteRef/>
      </w:r>
      <w:r w:rsidRPr="00556DE0">
        <w:rPr>
          <w:rFonts w:ascii="Verdana" w:hAnsi="Verdana"/>
          <w:sz w:val="16"/>
          <w:szCs w:val="16"/>
          <w:lang w:val="es-CR"/>
        </w:rPr>
        <w:t xml:space="preserve"> </w:t>
      </w:r>
      <w:r w:rsidRPr="00556DE0">
        <w:rPr>
          <w:rFonts w:ascii="Verdana" w:hAnsi="Verdana"/>
          <w:sz w:val="16"/>
          <w:szCs w:val="16"/>
          <w:lang w:val="es-CR"/>
        </w:rPr>
        <w:tab/>
      </w:r>
      <w:r w:rsidRPr="00556DE0">
        <w:rPr>
          <w:rFonts w:ascii="Verdana" w:hAnsi="Verdana"/>
          <w:color w:val="000000"/>
          <w:sz w:val="16"/>
          <w:szCs w:val="16"/>
          <w:shd w:val="clear" w:color="auto" w:fill="FFFFFF"/>
          <w:lang w:val="es-ES"/>
        </w:rPr>
        <w:t>La Corte declaró al Estado responsable por la violación d</w:t>
      </w:r>
      <w:r w:rsidRPr="00556DE0">
        <w:rPr>
          <w:rFonts w:ascii="Verdana" w:hAnsi="Verdana"/>
          <w:color w:val="000000"/>
          <w:sz w:val="16"/>
          <w:szCs w:val="16"/>
          <w:shd w:val="clear" w:color="auto" w:fill="FFFFFF"/>
          <w:lang w:val="es-UY"/>
        </w:rPr>
        <w:t>el derecho a la libertad personal, el derecho a la integridad personal, el derecho a la vida, el derecho al reconocimiento de la personalidad jurídica, el derecho a las garantías judiciales y a la protección judicial</w:t>
      </w:r>
      <w:r>
        <w:rPr>
          <w:rFonts w:ascii="Verdana" w:hAnsi="Verdana"/>
          <w:color w:val="000000"/>
          <w:sz w:val="16"/>
          <w:szCs w:val="16"/>
          <w:shd w:val="clear" w:color="auto" w:fill="FFFFFF"/>
          <w:lang w:val="es-UY"/>
        </w:rPr>
        <w:t>, así como el</w:t>
      </w:r>
      <w:r w:rsidRPr="00556DE0">
        <w:rPr>
          <w:rFonts w:ascii="Verdana" w:hAnsi="Verdana"/>
          <w:color w:val="000000"/>
          <w:sz w:val="16"/>
          <w:szCs w:val="16"/>
          <w:shd w:val="clear" w:color="auto" w:fill="FFFFFF"/>
          <w:lang w:val="es-UY"/>
        </w:rPr>
        <w:t xml:space="preserve"> incumplimiento de la obligación de prevenir y sancionar la tortura. </w:t>
      </w:r>
      <w:r>
        <w:rPr>
          <w:rFonts w:ascii="Verdana" w:hAnsi="Verdana"/>
          <w:sz w:val="16"/>
          <w:szCs w:val="16"/>
          <w:lang w:val="es-UY"/>
        </w:rPr>
        <w:t>E</w:t>
      </w:r>
      <w:r w:rsidRPr="00556DE0">
        <w:rPr>
          <w:rFonts w:ascii="Verdana" w:hAnsi="Verdana"/>
          <w:sz w:val="16"/>
          <w:szCs w:val="16"/>
          <w:lang w:val="es-UY"/>
        </w:rPr>
        <w:t>l señor Efraín Bámaca Velázquez</w:t>
      </w:r>
      <w:r>
        <w:rPr>
          <w:rFonts w:ascii="Verdana" w:hAnsi="Verdana"/>
          <w:sz w:val="16"/>
          <w:szCs w:val="16"/>
          <w:lang w:val="es-UY"/>
        </w:rPr>
        <w:t xml:space="preserve">, </w:t>
      </w:r>
      <w:r w:rsidRPr="00084340">
        <w:rPr>
          <w:rFonts w:ascii="Verdana" w:hAnsi="Verdana"/>
          <w:sz w:val="16"/>
          <w:szCs w:val="16"/>
          <w:lang w:val="es-UY"/>
        </w:rPr>
        <w:t>indígena maya Comandante de la Unidad Revolucionaria Nacional de Guatemala (URNG)</w:t>
      </w:r>
      <w:r>
        <w:rPr>
          <w:rFonts w:ascii="Verdana" w:hAnsi="Verdana"/>
          <w:sz w:val="16"/>
          <w:szCs w:val="16"/>
          <w:lang w:val="es-UY"/>
        </w:rPr>
        <w:t>,</w:t>
      </w:r>
      <w:r w:rsidRPr="00556DE0">
        <w:rPr>
          <w:rFonts w:ascii="Verdana" w:hAnsi="Verdana"/>
          <w:sz w:val="16"/>
          <w:szCs w:val="16"/>
          <w:lang w:val="es-UY"/>
        </w:rPr>
        <w:t xml:space="preserve"> fue capturado vivo en un enfrentamiento armado entre combatientes de la guerrilla pertenecientes al Frente Luis Ixmatá y miembros del Ejército a orillas del río Ixcucua, en el Municipio de Nuevo San Carlos, Departamento de Retalhuleu, en la región oeste de Guatemala. </w:t>
      </w:r>
      <w:r w:rsidRPr="00556DE0">
        <w:rPr>
          <w:rFonts w:ascii="Verdana" w:hAnsi="Verdana"/>
          <w:sz w:val="16"/>
          <w:szCs w:val="16"/>
          <w:lang w:val="es-CR"/>
        </w:rPr>
        <w:t xml:space="preserve">Estuvo </w:t>
      </w:r>
      <w:r w:rsidRPr="00556DE0">
        <w:rPr>
          <w:rFonts w:ascii="Verdana" w:hAnsi="Verdana"/>
          <w:color w:val="000000"/>
          <w:sz w:val="16"/>
          <w:szCs w:val="16"/>
          <w:lang w:val="es-ES"/>
        </w:rPr>
        <w:t>detenido</w:t>
      </w:r>
      <w:r w:rsidRPr="00556DE0">
        <w:rPr>
          <w:rFonts w:ascii="Verdana" w:hAnsi="Verdana"/>
          <w:sz w:val="16"/>
          <w:szCs w:val="16"/>
          <w:lang w:val="es-CR"/>
        </w:rPr>
        <w:t xml:space="preserve"> por el Ejército guatemalteco en centros de detención clandestinos por lo menos durante cuatro meses, donde permaneció atado y con los ojos vendados, fue sometido a numerosos maltratos y ame</w:t>
      </w:r>
      <w:r>
        <w:rPr>
          <w:rFonts w:ascii="Verdana" w:hAnsi="Verdana"/>
          <w:sz w:val="16"/>
          <w:szCs w:val="16"/>
          <w:lang w:val="es-CR"/>
        </w:rPr>
        <w:t>nazas durante su interrogatorio</w:t>
      </w:r>
      <w:r w:rsidRPr="00556DE0">
        <w:rPr>
          <w:rFonts w:ascii="Verdana" w:hAnsi="Verdana"/>
          <w:sz w:val="16"/>
          <w:szCs w:val="16"/>
          <w:lang w:val="es-CR"/>
        </w:rPr>
        <w:t xml:space="preserve"> y</w:t>
      </w:r>
      <w:r>
        <w:rPr>
          <w:rFonts w:ascii="Verdana" w:hAnsi="Verdana"/>
          <w:sz w:val="16"/>
          <w:szCs w:val="16"/>
          <w:lang w:val="es-CR"/>
        </w:rPr>
        <w:t>,</w:t>
      </w:r>
      <w:r w:rsidRPr="00556DE0">
        <w:rPr>
          <w:rFonts w:ascii="Verdana" w:hAnsi="Verdana"/>
          <w:sz w:val="16"/>
          <w:szCs w:val="16"/>
          <w:lang w:val="es-CR"/>
        </w:rPr>
        <w:t xml:space="preserve"> posteriormente, ejecutado. </w:t>
      </w:r>
      <w:r w:rsidRPr="00556DE0">
        <w:rPr>
          <w:rFonts w:ascii="Verdana" w:hAnsi="Verdana"/>
          <w:sz w:val="16"/>
          <w:szCs w:val="16"/>
          <w:lang w:val="es-UY"/>
        </w:rPr>
        <w:t xml:space="preserve">Aún no se han localizado sus restos mortales. </w:t>
      </w:r>
      <w:r w:rsidRPr="00556DE0">
        <w:rPr>
          <w:rFonts w:ascii="Verdana" w:hAnsi="Verdana"/>
          <w:sz w:val="16"/>
          <w:szCs w:val="16"/>
          <w:lang w:val="es-CR"/>
        </w:rPr>
        <w:t xml:space="preserve"> </w:t>
      </w:r>
      <w:r>
        <w:rPr>
          <w:rFonts w:ascii="Verdana" w:hAnsi="Verdana"/>
          <w:sz w:val="16"/>
          <w:szCs w:val="16"/>
          <w:lang w:val="es-CR"/>
        </w:rPr>
        <w:t>S</w:t>
      </w:r>
      <w:r w:rsidRPr="00556DE0">
        <w:rPr>
          <w:rFonts w:ascii="Verdana" w:hAnsi="Verdana"/>
          <w:sz w:val="16"/>
          <w:szCs w:val="16"/>
          <w:lang w:val="es-CR"/>
        </w:rPr>
        <w:t>e iniciaron varios procesos judiciales</w:t>
      </w:r>
      <w:r>
        <w:rPr>
          <w:rFonts w:ascii="Verdana" w:hAnsi="Verdana"/>
          <w:sz w:val="16"/>
          <w:szCs w:val="16"/>
          <w:lang w:val="es-CR"/>
        </w:rPr>
        <w:t xml:space="preserve">, pero </w:t>
      </w:r>
      <w:r w:rsidRPr="00556DE0">
        <w:rPr>
          <w:rFonts w:ascii="Verdana" w:hAnsi="Verdana"/>
          <w:sz w:val="16"/>
          <w:szCs w:val="16"/>
          <w:lang w:val="es-CR"/>
        </w:rPr>
        <w:t>los recursos internos ejercidos para esclarecer los hechos no fueron eficaces para enjuiciar y, en su caso, sancionar, a los responsables de estas graves violaciones de derechos humanos.</w:t>
      </w:r>
    </w:p>
  </w:footnote>
  <w:footnote w:id="27">
    <w:p w14:paraId="5AEE76F7" w14:textId="16A01F88" w:rsidR="0018425E" w:rsidRPr="00556DE0" w:rsidRDefault="0018425E" w:rsidP="00CD430E">
      <w:pPr>
        <w:autoSpaceDE w:val="0"/>
        <w:autoSpaceDN w:val="0"/>
        <w:adjustRightInd w:val="0"/>
        <w:spacing w:after="0" w:line="240" w:lineRule="auto"/>
        <w:ind w:right="1444"/>
        <w:jc w:val="both"/>
        <w:rPr>
          <w:rFonts w:ascii="Verdana" w:hAnsi="Verdana"/>
          <w:sz w:val="16"/>
          <w:szCs w:val="16"/>
          <w:lang w:val="es-CR"/>
        </w:rPr>
      </w:pPr>
      <w:r w:rsidRPr="00556DE0">
        <w:rPr>
          <w:rStyle w:val="FootnoteReference"/>
          <w:rFonts w:ascii="Verdana" w:hAnsi="Verdana"/>
          <w:sz w:val="16"/>
          <w:szCs w:val="16"/>
        </w:rPr>
        <w:footnoteRef/>
      </w:r>
      <w:r w:rsidRPr="00556DE0">
        <w:rPr>
          <w:rFonts w:ascii="Verdana" w:hAnsi="Verdana"/>
          <w:sz w:val="16"/>
          <w:szCs w:val="16"/>
          <w:lang w:val="es-CR"/>
        </w:rPr>
        <w:t xml:space="preserve"> </w:t>
      </w:r>
      <w:r w:rsidRPr="00556DE0">
        <w:rPr>
          <w:rFonts w:ascii="Verdana" w:hAnsi="Verdana"/>
          <w:sz w:val="16"/>
          <w:szCs w:val="16"/>
          <w:lang w:val="es-CR"/>
        </w:rPr>
        <w:tab/>
        <w:t xml:space="preserve">En este caso, la Corte </w:t>
      </w:r>
      <w:r>
        <w:rPr>
          <w:rFonts w:ascii="Verdana" w:hAnsi="Verdana"/>
          <w:sz w:val="16"/>
          <w:szCs w:val="16"/>
          <w:lang w:val="es-CR"/>
        </w:rPr>
        <w:t xml:space="preserve">declaró la </w:t>
      </w:r>
      <w:r w:rsidRPr="00556DE0">
        <w:rPr>
          <w:rFonts w:ascii="Verdana" w:hAnsi="Verdana"/>
          <w:sz w:val="16"/>
          <w:szCs w:val="16"/>
          <w:lang w:val="es-UY"/>
        </w:rPr>
        <w:t>responsabilidad internacional de</w:t>
      </w:r>
      <w:r>
        <w:rPr>
          <w:rFonts w:ascii="Verdana" w:hAnsi="Verdana"/>
          <w:sz w:val="16"/>
          <w:szCs w:val="16"/>
          <w:lang w:val="es-UY"/>
        </w:rPr>
        <w:t>l Estado</w:t>
      </w:r>
      <w:r w:rsidRPr="00556DE0">
        <w:rPr>
          <w:rFonts w:ascii="Verdana" w:hAnsi="Verdana"/>
          <w:sz w:val="16"/>
          <w:szCs w:val="16"/>
          <w:lang w:val="es-UY"/>
        </w:rPr>
        <w:t xml:space="preserve"> por violación de los derechos </w:t>
      </w:r>
      <w:r>
        <w:rPr>
          <w:rFonts w:ascii="Verdana" w:hAnsi="Verdana"/>
          <w:sz w:val="16"/>
          <w:szCs w:val="16"/>
          <w:lang w:val="es-UY"/>
        </w:rPr>
        <w:t>a la integridad p</w:t>
      </w:r>
      <w:r w:rsidRPr="00556DE0">
        <w:rPr>
          <w:rFonts w:ascii="Verdana" w:hAnsi="Verdana"/>
          <w:sz w:val="16"/>
          <w:szCs w:val="16"/>
          <w:lang w:val="es-UY"/>
        </w:rPr>
        <w:t>ersonal</w:t>
      </w:r>
      <w:r>
        <w:rPr>
          <w:rFonts w:ascii="Verdana" w:hAnsi="Verdana"/>
          <w:sz w:val="16"/>
          <w:szCs w:val="16"/>
          <w:lang w:val="es-UY"/>
        </w:rPr>
        <w:t>, garantías j</w:t>
      </w:r>
      <w:r w:rsidRPr="00556DE0">
        <w:rPr>
          <w:rFonts w:ascii="Verdana" w:hAnsi="Verdana"/>
          <w:sz w:val="16"/>
          <w:szCs w:val="16"/>
          <w:lang w:val="es-UY"/>
        </w:rPr>
        <w:t>udiciales</w:t>
      </w:r>
      <w:r>
        <w:rPr>
          <w:rFonts w:ascii="Verdana" w:hAnsi="Verdana"/>
          <w:sz w:val="16"/>
          <w:szCs w:val="16"/>
          <w:lang w:val="es-UY"/>
        </w:rPr>
        <w:t>, protección de la honra y de la d</w:t>
      </w:r>
      <w:r w:rsidRPr="00556DE0">
        <w:rPr>
          <w:rFonts w:ascii="Verdana" w:hAnsi="Verdana"/>
          <w:sz w:val="16"/>
          <w:szCs w:val="16"/>
          <w:lang w:val="es-UY"/>
        </w:rPr>
        <w:t>ignidad</w:t>
      </w:r>
      <w:r>
        <w:rPr>
          <w:rFonts w:ascii="Verdana" w:hAnsi="Verdana"/>
          <w:sz w:val="16"/>
          <w:szCs w:val="16"/>
          <w:lang w:val="es-UY"/>
        </w:rPr>
        <w:t>, libertad de conciencia y de r</w:t>
      </w:r>
      <w:r w:rsidRPr="00556DE0">
        <w:rPr>
          <w:rFonts w:ascii="Verdana" w:hAnsi="Verdana"/>
          <w:sz w:val="16"/>
          <w:szCs w:val="16"/>
          <w:lang w:val="es-UY"/>
        </w:rPr>
        <w:t>eligión</w:t>
      </w:r>
      <w:r>
        <w:rPr>
          <w:rFonts w:ascii="Verdana" w:hAnsi="Verdana"/>
          <w:sz w:val="16"/>
          <w:szCs w:val="16"/>
          <w:lang w:val="es-UY"/>
        </w:rPr>
        <w:t>, libertad de pensamiento y de e</w:t>
      </w:r>
      <w:r w:rsidRPr="00556DE0">
        <w:rPr>
          <w:rFonts w:ascii="Verdana" w:hAnsi="Verdana"/>
          <w:sz w:val="16"/>
          <w:szCs w:val="16"/>
          <w:lang w:val="es-UY"/>
        </w:rPr>
        <w:t xml:space="preserve">xpresión, </w:t>
      </w:r>
      <w:r>
        <w:rPr>
          <w:rFonts w:ascii="Verdana" w:hAnsi="Verdana"/>
          <w:sz w:val="16"/>
          <w:szCs w:val="16"/>
          <w:lang w:val="es-UY"/>
        </w:rPr>
        <w:t>libertad de a</w:t>
      </w:r>
      <w:r w:rsidRPr="00556DE0">
        <w:rPr>
          <w:rFonts w:ascii="Verdana" w:hAnsi="Verdana"/>
          <w:sz w:val="16"/>
          <w:szCs w:val="16"/>
          <w:lang w:val="es-UY"/>
        </w:rPr>
        <w:t xml:space="preserve">sociación, </w:t>
      </w:r>
      <w:r>
        <w:rPr>
          <w:rFonts w:ascii="Verdana" w:hAnsi="Verdana"/>
          <w:sz w:val="16"/>
          <w:szCs w:val="16"/>
          <w:lang w:val="es-UY"/>
        </w:rPr>
        <w:t>d</w:t>
      </w:r>
      <w:r w:rsidRPr="00556DE0">
        <w:rPr>
          <w:rFonts w:ascii="Verdana" w:hAnsi="Verdana"/>
          <w:sz w:val="16"/>
          <w:szCs w:val="16"/>
          <w:lang w:val="es-UY"/>
        </w:rPr>
        <w:t xml:space="preserve">erecho a la </w:t>
      </w:r>
      <w:r>
        <w:rPr>
          <w:rFonts w:ascii="Verdana" w:hAnsi="Verdana"/>
          <w:sz w:val="16"/>
          <w:szCs w:val="16"/>
          <w:lang w:val="es-UY"/>
        </w:rPr>
        <w:t>propiedad p</w:t>
      </w:r>
      <w:r w:rsidRPr="00556DE0">
        <w:rPr>
          <w:rFonts w:ascii="Verdana" w:hAnsi="Verdana"/>
          <w:sz w:val="16"/>
          <w:szCs w:val="16"/>
          <w:lang w:val="es-UY"/>
        </w:rPr>
        <w:t xml:space="preserve">rivada, </w:t>
      </w:r>
      <w:r>
        <w:rPr>
          <w:rFonts w:ascii="Verdana" w:hAnsi="Verdana"/>
          <w:sz w:val="16"/>
          <w:szCs w:val="16"/>
          <w:lang w:val="es-UY"/>
        </w:rPr>
        <w:t>igualdad ante la l</w:t>
      </w:r>
      <w:r w:rsidRPr="00556DE0">
        <w:rPr>
          <w:rFonts w:ascii="Verdana" w:hAnsi="Verdana"/>
          <w:sz w:val="16"/>
          <w:szCs w:val="16"/>
          <w:lang w:val="es-UY"/>
        </w:rPr>
        <w:t xml:space="preserve">ey, y </w:t>
      </w:r>
      <w:r>
        <w:rPr>
          <w:rFonts w:ascii="Verdana" w:hAnsi="Verdana"/>
          <w:sz w:val="16"/>
          <w:szCs w:val="16"/>
          <w:lang w:val="es-UY"/>
        </w:rPr>
        <w:t>protección j</w:t>
      </w:r>
      <w:r w:rsidRPr="00556DE0">
        <w:rPr>
          <w:rFonts w:ascii="Verdana" w:hAnsi="Verdana"/>
          <w:sz w:val="16"/>
          <w:szCs w:val="16"/>
          <w:lang w:val="es-UY"/>
        </w:rPr>
        <w:t xml:space="preserve">udicial. </w:t>
      </w:r>
      <w:r>
        <w:rPr>
          <w:rFonts w:ascii="Verdana" w:hAnsi="Verdana"/>
          <w:sz w:val="16"/>
          <w:szCs w:val="16"/>
          <w:lang w:val="es-CR"/>
        </w:rPr>
        <w:t>E</w:t>
      </w:r>
      <w:r w:rsidRPr="00556DE0">
        <w:rPr>
          <w:rFonts w:ascii="Verdana" w:hAnsi="Verdana"/>
          <w:sz w:val="16"/>
          <w:szCs w:val="16"/>
          <w:lang w:val="es-CR"/>
        </w:rPr>
        <w:t xml:space="preserve">n julio de 1982, en la aldea Plan de </w:t>
      </w:r>
      <w:r>
        <w:rPr>
          <w:rFonts w:ascii="Verdana" w:hAnsi="Verdana"/>
          <w:sz w:val="16"/>
          <w:szCs w:val="16"/>
          <w:lang w:val="es-CR"/>
        </w:rPr>
        <w:t xml:space="preserve">Sánchez, militares ejecutaron </w:t>
      </w:r>
      <w:r w:rsidRPr="00556DE0">
        <w:rPr>
          <w:rFonts w:ascii="Verdana" w:hAnsi="Verdana"/>
          <w:sz w:val="16"/>
          <w:szCs w:val="16"/>
          <w:lang w:val="es-CR"/>
        </w:rPr>
        <w:t xml:space="preserve">aproximadamente </w:t>
      </w:r>
      <w:r>
        <w:rPr>
          <w:rFonts w:ascii="Verdana" w:hAnsi="Verdana"/>
          <w:sz w:val="16"/>
          <w:szCs w:val="16"/>
          <w:lang w:val="es-CR"/>
        </w:rPr>
        <w:t xml:space="preserve">a </w:t>
      </w:r>
      <w:r w:rsidRPr="00556DE0">
        <w:rPr>
          <w:rFonts w:ascii="Verdana" w:hAnsi="Verdana"/>
          <w:sz w:val="16"/>
          <w:szCs w:val="16"/>
          <w:lang w:val="es-CR"/>
        </w:rPr>
        <w:t xml:space="preserve">268 personas, quienes en su mayoría eran miembros del pueblo maya de Achí, </w:t>
      </w:r>
      <w:r w:rsidRPr="00556DE0">
        <w:rPr>
          <w:rFonts w:ascii="Verdana" w:hAnsi="Verdana"/>
          <w:sz w:val="16"/>
          <w:szCs w:val="16"/>
          <w:lang w:val="es-UY"/>
        </w:rPr>
        <w:t>y algunas otras no indígenas que eran residentes en otras comunidades aledañas</w:t>
      </w:r>
      <w:r w:rsidRPr="00556DE0">
        <w:rPr>
          <w:rFonts w:ascii="Verdana" w:hAnsi="Verdana"/>
          <w:sz w:val="16"/>
          <w:szCs w:val="16"/>
          <w:lang w:val="es-CR"/>
        </w:rPr>
        <w:t>. No se realizaron mayores investigaciones ni se</w:t>
      </w:r>
      <w:r>
        <w:rPr>
          <w:rFonts w:ascii="Verdana" w:hAnsi="Verdana"/>
          <w:sz w:val="16"/>
          <w:szCs w:val="16"/>
          <w:lang w:val="es-CR"/>
        </w:rPr>
        <w:t xml:space="preserve"> sancionaron a los responsables</w:t>
      </w:r>
      <w:r w:rsidRPr="00556DE0">
        <w:rPr>
          <w:rFonts w:ascii="Verdana" w:hAnsi="Verdana"/>
          <w:sz w:val="16"/>
          <w:szCs w:val="16"/>
          <w:lang w:val="es-CR"/>
        </w:rPr>
        <w:t>.</w:t>
      </w:r>
    </w:p>
  </w:footnote>
  <w:footnote w:id="28">
    <w:p w14:paraId="0956CA7C" w14:textId="514C3BDE" w:rsidR="0018425E" w:rsidRPr="00556DE0" w:rsidRDefault="0018425E" w:rsidP="00CD430E">
      <w:pPr>
        <w:autoSpaceDE w:val="0"/>
        <w:autoSpaceDN w:val="0"/>
        <w:adjustRightInd w:val="0"/>
        <w:spacing w:after="0" w:line="240" w:lineRule="auto"/>
        <w:ind w:right="1444"/>
        <w:jc w:val="both"/>
        <w:rPr>
          <w:rFonts w:ascii="Verdana" w:hAnsi="Verdana"/>
          <w:sz w:val="16"/>
          <w:szCs w:val="16"/>
          <w:lang w:val="es-CR"/>
        </w:rPr>
      </w:pPr>
      <w:r w:rsidRPr="00556DE0">
        <w:rPr>
          <w:rStyle w:val="FootnoteReference"/>
          <w:rFonts w:ascii="Verdana" w:hAnsi="Verdana"/>
          <w:sz w:val="16"/>
          <w:szCs w:val="16"/>
        </w:rPr>
        <w:footnoteRef/>
      </w:r>
      <w:r w:rsidRPr="00556DE0">
        <w:rPr>
          <w:rFonts w:ascii="Verdana" w:hAnsi="Verdana"/>
          <w:sz w:val="16"/>
          <w:szCs w:val="16"/>
          <w:lang w:val="es-CR"/>
        </w:rPr>
        <w:t xml:space="preserve"> </w:t>
      </w:r>
      <w:r w:rsidRPr="00556DE0">
        <w:rPr>
          <w:rFonts w:ascii="Verdana" w:hAnsi="Verdana"/>
          <w:sz w:val="16"/>
          <w:szCs w:val="16"/>
          <w:lang w:val="es-CR"/>
        </w:rPr>
        <w:tab/>
      </w:r>
      <w:r w:rsidRPr="00556DE0">
        <w:rPr>
          <w:rFonts w:ascii="Verdana" w:hAnsi="Verdana"/>
          <w:color w:val="000000"/>
          <w:sz w:val="16"/>
          <w:szCs w:val="16"/>
          <w:shd w:val="clear" w:color="auto" w:fill="FFFFFF"/>
          <w:lang w:val="es-ES"/>
        </w:rPr>
        <w:t xml:space="preserve">La Corte declaró al Estado responsable por la violación </w:t>
      </w:r>
      <w:r>
        <w:rPr>
          <w:rFonts w:ascii="Verdana" w:hAnsi="Verdana"/>
          <w:color w:val="000000"/>
          <w:sz w:val="16"/>
          <w:szCs w:val="16"/>
          <w:shd w:val="clear" w:color="auto" w:fill="FFFFFF"/>
          <w:lang w:val="es-ES"/>
        </w:rPr>
        <w:t xml:space="preserve">del </w:t>
      </w:r>
      <w:r w:rsidRPr="00556DE0">
        <w:rPr>
          <w:rFonts w:ascii="Verdana" w:hAnsi="Verdana"/>
          <w:color w:val="000000"/>
          <w:sz w:val="16"/>
          <w:szCs w:val="16"/>
          <w:shd w:val="clear" w:color="auto" w:fill="FFFFFF"/>
          <w:lang w:val="es-UY"/>
        </w:rPr>
        <w:t xml:space="preserve">derecho a la libertad personal, el derecho a la integridad personal, el derecho a la vida, el derecho a las garantías judiciales y a la protección judicial, al igual que por incumplimiento de la obligación de prevenir y sancionar la tortura. Los hechos sucedieron </w:t>
      </w:r>
      <w:r w:rsidRPr="00556DE0">
        <w:rPr>
          <w:rFonts w:ascii="Verdana" w:hAnsi="Verdana"/>
          <w:sz w:val="16"/>
          <w:szCs w:val="16"/>
          <w:lang w:val="es-CR"/>
        </w:rPr>
        <w:t>entre 1987 y 1988, en un contexto de detenciones arbitrarias, calificadas como secuestros acompañadas de maltratos y torturas, las personas detenidas eran obligadas a subir, por la fuerza, a un vehículo tipo “panel” de color blanco. En dichas detenciones intervinieron hombres armados, vestidos de civil en la mayoría de ellas, vinculados con la Guardia de Hacienda o con alguna institución militar o policial. Once víctimas fueron detenidas en diversas fechas. Cinco de estas personas también fueron asesinadas. Sus cuerpos, con signos de violencia física, fueron abandonados el mismo día o días después de su detención, en las calles de la ciudad de Guatemala y en sus alrededores.</w:t>
      </w:r>
      <w:r w:rsidRPr="00556DE0">
        <w:rPr>
          <w:rFonts w:ascii="Verdana" w:hAnsi="Verdana"/>
          <w:color w:val="000000"/>
          <w:sz w:val="16"/>
          <w:szCs w:val="16"/>
          <w:shd w:val="clear" w:color="auto" w:fill="FFFFFF"/>
          <w:lang w:val="es-UY"/>
        </w:rPr>
        <w:t xml:space="preserve"> </w:t>
      </w:r>
      <w:r w:rsidRPr="00556DE0">
        <w:rPr>
          <w:rFonts w:ascii="Verdana" w:hAnsi="Verdana"/>
          <w:sz w:val="16"/>
          <w:szCs w:val="16"/>
          <w:lang w:val="es-CR"/>
        </w:rPr>
        <w:t xml:space="preserve"> A pesar de haberse interpuesto recursos judiciales, no hubo avances significativos en la investigación o en la identificación de los responsables.</w:t>
      </w:r>
    </w:p>
  </w:footnote>
  <w:footnote w:id="29">
    <w:p w14:paraId="61A2A7F9" w14:textId="777C1701" w:rsidR="0018425E" w:rsidRPr="00556DE0" w:rsidRDefault="0018425E" w:rsidP="00CD430E">
      <w:pPr>
        <w:autoSpaceDE w:val="0"/>
        <w:autoSpaceDN w:val="0"/>
        <w:adjustRightInd w:val="0"/>
        <w:spacing w:after="0" w:line="240" w:lineRule="auto"/>
        <w:ind w:right="1444"/>
        <w:jc w:val="both"/>
        <w:rPr>
          <w:rFonts w:ascii="Verdana" w:hAnsi="Verdana"/>
          <w:sz w:val="16"/>
          <w:szCs w:val="16"/>
          <w:lang w:val="es-UY"/>
        </w:rPr>
      </w:pPr>
      <w:r w:rsidRPr="00556DE0">
        <w:rPr>
          <w:rStyle w:val="FootnoteReference"/>
          <w:rFonts w:ascii="Verdana" w:hAnsi="Verdana"/>
          <w:sz w:val="16"/>
          <w:szCs w:val="16"/>
        </w:rPr>
        <w:footnoteRef/>
      </w:r>
      <w:r w:rsidRPr="00556DE0">
        <w:rPr>
          <w:rFonts w:ascii="Verdana" w:hAnsi="Verdana"/>
          <w:sz w:val="16"/>
          <w:szCs w:val="16"/>
          <w:lang w:val="es-CR"/>
        </w:rPr>
        <w:t xml:space="preserve"> </w:t>
      </w:r>
      <w:r w:rsidRPr="00556DE0">
        <w:rPr>
          <w:rFonts w:ascii="Verdana" w:hAnsi="Verdana"/>
          <w:sz w:val="16"/>
          <w:szCs w:val="16"/>
          <w:lang w:val="es-CR"/>
        </w:rPr>
        <w:tab/>
        <w:t xml:space="preserve">La Corte declaró al Estado responsable </w:t>
      </w:r>
      <w:r w:rsidRPr="00556DE0">
        <w:rPr>
          <w:rFonts w:ascii="Verdana" w:hAnsi="Verdana"/>
          <w:sz w:val="16"/>
          <w:szCs w:val="16"/>
          <w:lang w:val="es-UY"/>
        </w:rPr>
        <w:t>de la violación de los derechos a la v</w:t>
      </w:r>
      <w:r>
        <w:rPr>
          <w:rFonts w:ascii="Verdana" w:hAnsi="Verdana"/>
          <w:sz w:val="16"/>
          <w:szCs w:val="16"/>
          <w:lang w:val="es-UY"/>
        </w:rPr>
        <w:t>ida</w:t>
      </w:r>
      <w:r w:rsidRPr="00556DE0">
        <w:rPr>
          <w:rFonts w:ascii="Verdana" w:hAnsi="Verdana"/>
          <w:sz w:val="16"/>
          <w:szCs w:val="16"/>
          <w:lang w:val="es-UY"/>
        </w:rPr>
        <w:t>, a la integridad personal, a la libertad personal, garantías judiciales, protección a la familia,</w:t>
      </w:r>
      <w:r w:rsidRPr="00556DE0" w:rsidDel="0005245A">
        <w:rPr>
          <w:rFonts w:ascii="Verdana" w:hAnsi="Verdana"/>
          <w:sz w:val="16"/>
          <w:szCs w:val="16"/>
          <w:lang w:val="es-UY"/>
        </w:rPr>
        <w:t xml:space="preserve"> </w:t>
      </w:r>
      <w:r w:rsidRPr="00556DE0">
        <w:rPr>
          <w:rFonts w:ascii="Verdana" w:hAnsi="Verdana"/>
          <w:sz w:val="16"/>
          <w:szCs w:val="16"/>
          <w:lang w:val="es-UY"/>
        </w:rPr>
        <w:t>derechos del niño</w:t>
      </w:r>
      <w:r>
        <w:rPr>
          <w:rFonts w:ascii="Verdana" w:hAnsi="Verdana"/>
          <w:sz w:val="16"/>
          <w:szCs w:val="16"/>
          <w:lang w:val="es-UY"/>
        </w:rPr>
        <w:t xml:space="preserve"> </w:t>
      </w:r>
      <w:r w:rsidRPr="00556DE0">
        <w:rPr>
          <w:rFonts w:ascii="Verdana" w:hAnsi="Verdana"/>
          <w:sz w:val="16"/>
          <w:szCs w:val="16"/>
          <w:lang w:val="es-UY"/>
        </w:rPr>
        <w:t xml:space="preserve">y protección judicial. Asimismo, el Estado incumplió la obligación establecida en los artículos I y II de la Convención Interamericana sobre Desaparición Forzada de Personas. </w:t>
      </w:r>
      <w:r w:rsidRPr="00556DE0">
        <w:rPr>
          <w:rFonts w:ascii="Verdana" w:hAnsi="Verdana"/>
          <w:sz w:val="16"/>
          <w:szCs w:val="16"/>
          <w:lang w:val="es-CR"/>
        </w:rPr>
        <w:t>El 6 de octubre d</w:t>
      </w:r>
      <w:r>
        <w:rPr>
          <w:rFonts w:ascii="Verdana" w:hAnsi="Verdana"/>
          <w:sz w:val="16"/>
          <w:szCs w:val="16"/>
          <w:lang w:val="es-CR"/>
        </w:rPr>
        <w:t>e 1981, miembros del Ejército</w:t>
      </w:r>
      <w:r w:rsidRPr="00556DE0">
        <w:rPr>
          <w:rFonts w:ascii="Verdana" w:hAnsi="Verdana"/>
          <w:sz w:val="16"/>
          <w:szCs w:val="16"/>
          <w:lang w:val="es-CR"/>
        </w:rPr>
        <w:t xml:space="preserve"> ingresaron a la casa del niño Marco Antonio Molina Theissen, estudiante de 14 años, y se lo llevaron a la fuerza frente a su madre, </w:t>
      </w:r>
      <w:r>
        <w:rPr>
          <w:rFonts w:ascii="Verdana" w:hAnsi="Verdana"/>
          <w:sz w:val="16"/>
          <w:szCs w:val="16"/>
          <w:lang w:val="es-CR"/>
        </w:rPr>
        <w:t xml:space="preserve">amordazado </w:t>
      </w:r>
      <w:r w:rsidRPr="00556DE0">
        <w:rPr>
          <w:rFonts w:ascii="Verdana" w:hAnsi="Verdana"/>
          <w:sz w:val="16"/>
          <w:szCs w:val="16"/>
          <w:lang w:val="es-CR"/>
        </w:rPr>
        <w:t xml:space="preserve">en un costal, en un automóvil con placa de uso oficial. La desaparición forzada del niño fueron ejecutadas presuntamente como represalia porque el día anterior una de sus hermanas logró escapar de un cuartel militar en el que estuvo detenida de forma ilegal y clandestina. Sus familiares interpusieron una serie de recursos a fin de ubicarlo y sancionar a los responsables. Sin embargo, no se realizaron mayores diligencias. </w:t>
      </w:r>
    </w:p>
  </w:footnote>
  <w:footnote w:id="30">
    <w:p w14:paraId="3812ECC0" w14:textId="65766316" w:rsidR="0018425E" w:rsidRPr="00556DE0" w:rsidRDefault="0018425E" w:rsidP="00CD430E">
      <w:pPr>
        <w:autoSpaceDE w:val="0"/>
        <w:autoSpaceDN w:val="0"/>
        <w:adjustRightInd w:val="0"/>
        <w:spacing w:after="0" w:line="240" w:lineRule="auto"/>
        <w:ind w:right="1444"/>
        <w:jc w:val="both"/>
        <w:rPr>
          <w:rFonts w:ascii="Verdana" w:hAnsi="Verdana"/>
          <w:sz w:val="16"/>
          <w:szCs w:val="16"/>
          <w:lang w:val="es-CR"/>
        </w:rPr>
      </w:pPr>
      <w:r w:rsidRPr="00556DE0">
        <w:rPr>
          <w:rStyle w:val="FootnoteReference"/>
          <w:rFonts w:ascii="Verdana" w:hAnsi="Verdana"/>
          <w:sz w:val="16"/>
          <w:szCs w:val="16"/>
        </w:rPr>
        <w:footnoteRef/>
      </w:r>
      <w:r w:rsidRPr="00556DE0">
        <w:rPr>
          <w:rFonts w:ascii="Verdana" w:hAnsi="Verdana"/>
          <w:sz w:val="16"/>
          <w:szCs w:val="16"/>
          <w:lang w:val="es-CR"/>
        </w:rPr>
        <w:t xml:space="preserve"> </w:t>
      </w:r>
      <w:r w:rsidRPr="00556DE0">
        <w:rPr>
          <w:rFonts w:ascii="Verdana" w:hAnsi="Verdana"/>
          <w:sz w:val="16"/>
          <w:szCs w:val="16"/>
          <w:lang w:val="es-CR"/>
        </w:rPr>
        <w:tab/>
      </w:r>
      <w:r w:rsidRPr="00556DE0">
        <w:rPr>
          <w:rFonts w:ascii="Verdana" w:hAnsi="Verdana"/>
          <w:color w:val="000000"/>
          <w:sz w:val="16"/>
          <w:szCs w:val="16"/>
          <w:shd w:val="clear" w:color="auto" w:fill="FFFFFF"/>
          <w:lang w:val="es-ES"/>
        </w:rPr>
        <w:t>La Corte declaró al Estado responsable por la violación d</w:t>
      </w:r>
      <w:r w:rsidRPr="00556DE0">
        <w:rPr>
          <w:rFonts w:ascii="Verdana" w:hAnsi="Verdana"/>
          <w:color w:val="000000"/>
          <w:sz w:val="16"/>
          <w:szCs w:val="16"/>
          <w:shd w:val="clear" w:color="auto" w:fill="FFFFFF"/>
          <w:lang w:val="es-UY"/>
        </w:rPr>
        <w:t>e los derechos a la libertad personal, el derecho a la integridad personal, el derecho a las garantías judici</w:t>
      </w:r>
      <w:r>
        <w:rPr>
          <w:rFonts w:ascii="Verdana" w:hAnsi="Verdana"/>
          <w:color w:val="000000"/>
          <w:sz w:val="16"/>
          <w:szCs w:val="16"/>
          <w:shd w:val="clear" w:color="auto" w:fill="FFFFFF"/>
          <w:lang w:val="es-UY"/>
        </w:rPr>
        <w:t>ales y a la protección judicial. E</w:t>
      </w:r>
      <w:r>
        <w:rPr>
          <w:rFonts w:ascii="Verdana" w:hAnsi="Verdana"/>
          <w:sz w:val="16"/>
          <w:szCs w:val="16"/>
          <w:lang w:val="es-CR"/>
        </w:rPr>
        <w:t>l 23 de julio de 1992</w:t>
      </w:r>
      <w:r w:rsidRPr="00556DE0">
        <w:rPr>
          <w:rFonts w:ascii="Verdana" w:hAnsi="Verdana"/>
          <w:sz w:val="16"/>
          <w:szCs w:val="16"/>
          <w:lang w:val="es-CR"/>
        </w:rPr>
        <w:t xml:space="preserve"> la señora Maritza Urrutia fue secuestrada por cuatro miembros de la Inteligencia del Ejército guatemalteco, quienes la introdujeron por la fuerza en un carro, encapucharon y trasladaron a las instalaciones del centro de detención clandestino del Ejército de Guatemala, donde estuvo en cautiverio durante ocho días, sufriendo tortura psicológica, y fue forzada a prestar una declaración filmada que instaba a sus compañeros a dejar la lucha armada. El 29 de julio de 1992 el video fue transmitido por dos noticieros de Guatemala. La señora Urrutia fue liberada el 30 de julio de 1992 y se dirigió a la oficina del Procurador General de la Nación y firmó un acta conforme a la cual se acogía a la amnistía. Posteriormente, regresó a la sede del Ministerio Público y, siguiendo las instrucciones de sus captores, dio una conferencia de prensa en la cual confirmó el contenido del video. El Estado </w:t>
      </w:r>
      <w:r>
        <w:rPr>
          <w:rFonts w:ascii="Verdana" w:hAnsi="Verdana"/>
          <w:sz w:val="16"/>
          <w:szCs w:val="16"/>
          <w:lang w:val="es-CR"/>
        </w:rPr>
        <w:t>no realizó</w:t>
      </w:r>
      <w:r w:rsidRPr="00556DE0">
        <w:rPr>
          <w:rFonts w:ascii="Verdana" w:hAnsi="Verdana"/>
          <w:sz w:val="16"/>
          <w:szCs w:val="16"/>
          <w:lang w:val="es-CR"/>
        </w:rPr>
        <w:t>, a partir de la denuncia entablada por los familiares inmediatos de la víctima, una investigación seria, imparcial y efectiva para esclarecer los hechos relativos al secuestro, l</w:t>
      </w:r>
      <w:r>
        <w:rPr>
          <w:rFonts w:ascii="Verdana" w:hAnsi="Verdana"/>
          <w:sz w:val="16"/>
          <w:szCs w:val="16"/>
          <w:lang w:val="es-CR"/>
        </w:rPr>
        <w:t>a</w:t>
      </w:r>
      <w:r w:rsidRPr="00556DE0">
        <w:rPr>
          <w:rFonts w:ascii="Verdana" w:hAnsi="Verdana"/>
          <w:sz w:val="16"/>
          <w:szCs w:val="16"/>
          <w:lang w:val="es-CR"/>
        </w:rPr>
        <w:t xml:space="preserve"> detención y la tortura a los que fue sometida Maritza Urrutia y, en particular, para identificar y sancionar a los responsables. </w:t>
      </w:r>
    </w:p>
  </w:footnote>
  <w:footnote w:id="31">
    <w:p w14:paraId="49114DCD" w14:textId="63AE4977" w:rsidR="0018425E" w:rsidRPr="00556DE0" w:rsidRDefault="0018425E" w:rsidP="00CD430E">
      <w:pPr>
        <w:autoSpaceDE w:val="0"/>
        <w:autoSpaceDN w:val="0"/>
        <w:adjustRightInd w:val="0"/>
        <w:spacing w:after="0" w:line="240" w:lineRule="auto"/>
        <w:ind w:right="1444"/>
        <w:jc w:val="both"/>
        <w:rPr>
          <w:rFonts w:ascii="Verdana" w:hAnsi="Verdana"/>
          <w:sz w:val="16"/>
          <w:szCs w:val="16"/>
          <w:lang w:val="es-CR"/>
        </w:rPr>
      </w:pPr>
      <w:r w:rsidRPr="00556DE0">
        <w:rPr>
          <w:rStyle w:val="FootnoteReference"/>
          <w:rFonts w:ascii="Verdana" w:hAnsi="Verdana"/>
          <w:sz w:val="16"/>
          <w:szCs w:val="16"/>
        </w:rPr>
        <w:footnoteRef/>
      </w:r>
      <w:r w:rsidRPr="00556DE0">
        <w:rPr>
          <w:rFonts w:ascii="Verdana" w:hAnsi="Verdana"/>
          <w:sz w:val="16"/>
          <w:szCs w:val="16"/>
          <w:lang w:val="es-CR"/>
        </w:rPr>
        <w:t xml:space="preserve"> </w:t>
      </w:r>
      <w:r w:rsidRPr="00556DE0">
        <w:rPr>
          <w:rFonts w:ascii="Verdana" w:hAnsi="Verdana"/>
          <w:sz w:val="16"/>
          <w:szCs w:val="16"/>
          <w:lang w:val="es-CR"/>
        </w:rPr>
        <w:tab/>
      </w:r>
      <w:r w:rsidRPr="00556DE0">
        <w:rPr>
          <w:rFonts w:ascii="Verdana" w:hAnsi="Verdana"/>
          <w:color w:val="000000"/>
          <w:sz w:val="16"/>
          <w:szCs w:val="16"/>
          <w:shd w:val="clear" w:color="auto" w:fill="FFFFFF"/>
          <w:lang w:val="es-ES"/>
        </w:rPr>
        <w:t>La Corte declaró al Estado responsable por la violación d</w:t>
      </w:r>
      <w:r w:rsidRPr="00556DE0">
        <w:rPr>
          <w:rFonts w:ascii="Verdana" w:hAnsi="Verdana"/>
          <w:color w:val="000000"/>
          <w:sz w:val="16"/>
          <w:szCs w:val="16"/>
          <w:shd w:val="clear" w:color="auto" w:fill="FFFFFF"/>
          <w:lang w:val="es-UY"/>
        </w:rPr>
        <w:t>e</w:t>
      </w:r>
      <w:r>
        <w:rPr>
          <w:rFonts w:ascii="Verdana" w:hAnsi="Verdana"/>
          <w:color w:val="000000"/>
          <w:sz w:val="16"/>
          <w:szCs w:val="16"/>
          <w:shd w:val="clear" w:color="auto" w:fill="FFFFFF"/>
          <w:lang w:val="es-UY"/>
        </w:rPr>
        <w:t xml:space="preserve">l </w:t>
      </w:r>
      <w:r w:rsidRPr="00556DE0">
        <w:rPr>
          <w:rFonts w:ascii="Verdana" w:hAnsi="Verdana"/>
          <w:color w:val="000000"/>
          <w:sz w:val="16"/>
          <w:szCs w:val="16"/>
          <w:shd w:val="clear" w:color="auto" w:fill="FFFFFF"/>
          <w:lang w:val="es-UY"/>
        </w:rPr>
        <w:t>derecho a la vida, el derecho a la integridad personal, los derechos del niño, la libertad de expresión y pensamiento, el derecho a las garantías judiciales y a</w:t>
      </w:r>
      <w:r>
        <w:rPr>
          <w:rFonts w:ascii="Verdana" w:hAnsi="Verdana"/>
          <w:color w:val="000000"/>
          <w:sz w:val="16"/>
          <w:szCs w:val="16"/>
          <w:shd w:val="clear" w:color="auto" w:fill="FFFFFF"/>
          <w:lang w:val="es-UY"/>
        </w:rPr>
        <w:t xml:space="preserve"> la protección judicial</w:t>
      </w:r>
      <w:r w:rsidRPr="00556DE0">
        <w:rPr>
          <w:rFonts w:ascii="Verdana" w:hAnsi="Verdana"/>
          <w:color w:val="000000"/>
          <w:sz w:val="16"/>
          <w:szCs w:val="16"/>
          <w:shd w:val="clear" w:color="auto" w:fill="FFFFFF"/>
          <w:lang w:val="es-UY"/>
        </w:rPr>
        <w:t xml:space="preserve">. </w:t>
      </w:r>
      <w:r>
        <w:rPr>
          <w:rFonts w:ascii="Verdana" w:hAnsi="Verdana" w:cs="Verdana"/>
          <w:sz w:val="16"/>
          <w:szCs w:val="16"/>
          <w:lang w:val="es-ES"/>
        </w:rPr>
        <w:t>E</w:t>
      </w:r>
      <w:r>
        <w:rPr>
          <w:rFonts w:ascii="Verdana" w:hAnsi="Verdana"/>
          <w:color w:val="000000"/>
          <w:sz w:val="16"/>
          <w:szCs w:val="16"/>
          <w:shd w:val="clear" w:color="auto" w:fill="FFFFFF"/>
          <w:lang w:val="es-ES"/>
        </w:rPr>
        <w:t>l 3 de julio de 1993</w:t>
      </w:r>
      <w:r w:rsidRPr="00556DE0">
        <w:rPr>
          <w:rFonts w:ascii="Verdana" w:hAnsi="Verdana"/>
          <w:color w:val="000000"/>
          <w:sz w:val="16"/>
          <w:szCs w:val="16"/>
          <w:shd w:val="clear" w:color="auto" w:fill="FFFFFF"/>
          <w:lang w:val="es-ES"/>
        </w:rPr>
        <w:t xml:space="preserve"> durante una gira proselitista en los departamentos de Totonicapán, Huehuetenango y El Quiché, el señor Jorge Carpio Nicolle, periodista y político muy conocido en Guatemala, fundador del diario El Gráfico y del partido político Unión del Centro Nacional (UCN), y su comitiva, fueron interceptados por más de 15 hombres armados que cubrían sus rostros con pasamontañas. Al identificar al señor Jorge Carpio Nicolle, los hombres armados le dispararon a quemarropa, ocasionándole heridas graves que posteriormente le provocaron la muerte. En los mismos hechos </w:t>
      </w:r>
      <w:r>
        <w:rPr>
          <w:rFonts w:ascii="Verdana" w:hAnsi="Verdana"/>
          <w:color w:val="000000"/>
          <w:sz w:val="16"/>
          <w:szCs w:val="16"/>
          <w:shd w:val="clear" w:color="auto" w:fill="FFFFFF"/>
          <w:lang w:val="es-ES"/>
        </w:rPr>
        <w:t xml:space="preserve">se privó de la vida a </w:t>
      </w:r>
      <w:r w:rsidRPr="00556DE0">
        <w:rPr>
          <w:rFonts w:ascii="Verdana" w:hAnsi="Verdana"/>
          <w:color w:val="000000"/>
          <w:sz w:val="16"/>
          <w:szCs w:val="16"/>
          <w:shd w:val="clear" w:color="auto" w:fill="FFFFFF"/>
          <w:lang w:val="es-ES"/>
        </w:rPr>
        <w:t xml:space="preserve">lo señores Juan Vicente Villacorta Fajardo, Alejandro Ávila Guzmán y Rigoberto Rivas González, y </w:t>
      </w:r>
      <w:r>
        <w:rPr>
          <w:rFonts w:ascii="Verdana" w:hAnsi="Verdana"/>
          <w:color w:val="000000"/>
          <w:sz w:val="16"/>
          <w:szCs w:val="16"/>
          <w:shd w:val="clear" w:color="auto" w:fill="FFFFFF"/>
          <w:lang w:val="es-ES"/>
        </w:rPr>
        <w:t xml:space="preserve">el </w:t>
      </w:r>
      <w:r w:rsidRPr="00556DE0">
        <w:rPr>
          <w:rFonts w:ascii="Verdana" w:hAnsi="Verdana"/>
          <w:color w:val="000000"/>
          <w:sz w:val="16"/>
          <w:szCs w:val="16"/>
          <w:shd w:val="clear" w:color="auto" w:fill="FFFFFF"/>
          <w:lang w:val="es-ES"/>
        </w:rPr>
        <w:t>niño Sydney Shaw Díaz resultó gravemente herido. Sydney Shaw Díaz, Martha Arrivillaga de Carpio, Sydney Shaw Arrivillaga, Mario Arturo López Arrivillaga y Ricardo San Pedro Suárez, sobrevivieron a dicho atentado. Se interpusieron una serie de recursos. Sin embargo, no se investigaron los hechos ni se sancionaron a los responsables.</w:t>
      </w:r>
    </w:p>
  </w:footnote>
  <w:footnote w:id="32">
    <w:p w14:paraId="37E29953" w14:textId="3E283D15" w:rsidR="0018425E" w:rsidRPr="00556DE0" w:rsidRDefault="0018425E" w:rsidP="00CD430E">
      <w:pPr>
        <w:autoSpaceDE w:val="0"/>
        <w:autoSpaceDN w:val="0"/>
        <w:adjustRightInd w:val="0"/>
        <w:spacing w:after="0" w:line="240" w:lineRule="auto"/>
        <w:ind w:right="1444"/>
        <w:jc w:val="both"/>
        <w:rPr>
          <w:rFonts w:ascii="Verdana" w:hAnsi="Verdana"/>
          <w:sz w:val="16"/>
          <w:szCs w:val="16"/>
          <w:lang w:val="es-UY"/>
        </w:rPr>
      </w:pPr>
      <w:r w:rsidRPr="00556DE0">
        <w:rPr>
          <w:rStyle w:val="FootnoteReference"/>
          <w:rFonts w:ascii="Verdana" w:hAnsi="Verdana"/>
          <w:sz w:val="16"/>
          <w:szCs w:val="16"/>
        </w:rPr>
        <w:footnoteRef/>
      </w:r>
      <w:r w:rsidRPr="00556DE0">
        <w:rPr>
          <w:rFonts w:ascii="Verdana" w:hAnsi="Verdana"/>
          <w:sz w:val="16"/>
          <w:szCs w:val="16"/>
          <w:lang w:val="es-CR"/>
        </w:rPr>
        <w:t xml:space="preserve"> </w:t>
      </w:r>
      <w:r w:rsidRPr="00556DE0">
        <w:rPr>
          <w:rFonts w:ascii="Verdana" w:hAnsi="Verdana"/>
          <w:sz w:val="16"/>
          <w:szCs w:val="16"/>
          <w:lang w:val="es-CR"/>
        </w:rPr>
        <w:tab/>
        <w:t xml:space="preserve">La Corte </w:t>
      </w:r>
      <w:r w:rsidRPr="00556DE0">
        <w:rPr>
          <w:rFonts w:ascii="Verdana" w:hAnsi="Verdana"/>
          <w:sz w:val="16"/>
          <w:szCs w:val="16"/>
          <w:lang w:val="es-UY"/>
        </w:rPr>
        <w:t xml:space="preserve">declaró responsable al Estado por la violación de los derechos consagrados en los artículos 4.1; 5.1 y 5.2; 7.1, 7.2, 7.4, 7.5 y 7.6; 8.1 y 25.1 de la Convención Americana, en relación con las obligaciones de respeto y garantía contenidas en dicho tratado, y el artículo I de la Convención Interamericana sobre Desaparición Forzada, en perjuicio de María Tiu Tojín; por la violación de los derechos consagrados en los artículos 4.1; 5.1 y 5.2; 7.1 y 7.2; 8.1 y 25.1 de la Convención Americana, en relación con los artículos 1.1 y 19 del mismo tratado y el artículo I de la Convención Interamericana sobre Desaparición Forzada, en perjuicio de la niña Josefa Tiu Tojín; por la violación de los derechos reconocidos en los artículo 5.1, 8.1 y 25.1 de la Convención, en relación con las obligaciones de respeto y garantía contenidas en el artículo 1.1 de la Convención, en perjuicio de Victoriana Tiu Tojín, hermana y tía de las víctimas, y por la violación de los derechos consagrados en los artículos 8.1 y 25.1 de la Convención Americana, en relación con la obligación de respeto y garantía de la misma, en perjuicio de los familiares de María y Josefa Tiu Tojín, a saber: Josefa Tiu Imul, madre de María Tiu Tojín, Rosa Tiu Tojín, Pedro Tiu Tojín, Manuel Tiu Tojín, y Juana Tiu Tojín, hermanos de María Tiu Tojín. </w:t>
      </w:r>
      <w:r>
        <w:rPr>
          <w:rFonts w:ascii="Verdana" w:hAnsi="Verdana"/>
          <w:sz w:val="16"/>
          <w:szCs w:val="16"/>
          <w:lang w:val="es-CR"/>
        </w:rPr>
        <w:t>E</w:t>
      </w:r>
      <w:r w:rsidRPr="00556DE0">
        <w:rPr>
          <w:rFonts w:ascii="Verdana" w:hAnsi="Verdana"/>
          <w:sz w:val="16"/>
          <w:szCs w:val="16"/>
          <w:lang w:val="es-CR"/>
        </w:rPr>
        <w:t>l 29 de agosto de 1990 efectivos del Ejército guatemalteco, acompañados por miembros de las Patrullas de Autodefensa Civil, llegaron a Santa Clara, Municipio de Chajul</w:t>
      </w:r>
      <w:r>
        <w:rPr>
          <w:rFonts w:ascii="Verdana" w:hAnsi="Verdana"/>
          <w:sz w:val="16"/>
          <w:szCs w:val="16"/>
          <w:lang w:val="es-CR"/>
        </w:rPr>
        <w:t>,</w:t>
      </w:r>
      <w:r w:rsidRPr="00556DE0">
        <w:rPr>
          <w:rFonts w:ascii="Verdana" w:hAnsi="Verdana"/>
          <w:sz w:val="16"/>
          <w:szCs w:val="16"/>
          <w:lang w:val="es-CR"/>
        </w:rPr>
        <w:t xml:space="preserve"> y capturaron a 86 de sus residentes, que eran grupos de familias </w:t>
      </w:r>
      <w:r w:rsidRPr="00556DE0">
        <w:rPr>
          <w:rFonts w:ascii="Verdana" w:hAnsi="Verdana"/>
          <w:color w:val="000000"/>
          <w:sz w:val="16"/>
          <w:szCs w:val="16"/>
          <w:shd w:val="clear" w:color="auto" w:fill="FFFFFF"/>
          <w:lang w:val="es-ES"/>
        </w:rPr>
        <w:t>desplazadas</w:t>
      </w:r>
      <w:r w:rsidRPr="00556DE0">
        <w:rPr>
          <w:rFonts w:ascii="Verdana" w:hAnsi="Verdana"/>
          <w:sz w:val="16"/>
          <w:szCs w:val="16"/>
          <w:lang w:val="es-CR"/>
        </w:rPr>
        <w:t xml:space="preserve"> que se habían refugiado en las montañas, como resistencia a las estrategias del Ejército guatemalteco utilizadas en contra de la población desplazada durante el conflicto armado interno. Entre las personas detenidas se encontraban la señora María Tiu Tojín, de 27 años de edad, y su hija Josefa, de un mes de nacida, quienes pertenecían al pueblo Maya. Los 86 detenidos fueron trasladados a la base militar en Santa María Nebaj. En este lugar, María Tiu Tojín y su hija Josefa fueron vistas por última vez. Se interpusieron una serie de r</w:t>
      </w:r>
      <w:r>
        <w:rPr>
          <w:rFonts w:ascii="Verdana" w:hAnsi="Verdana"/>
          <w:sz w:val="16"/>
          <w:szCs w:val="16"/>
          <w:lang w:val="es-CR"/>
        </w:rPr>
        <w:t>ecursos a fin de que se realizaran</w:t>
      </w:r>
      <w:r w:rsidRPr="00556DE0">
        <w:rPr>
          <w:rFonts w:ascii="Verdana" w:hAnsi="Verdana"/>
          <w:sz w:val="16"/>
          <w:szCs w:val="16"/>
          <w:lang w:val="es-CR"/>
        </w:rPr>
        <w:t xml:space="preserve"> las investigaciones y se sancionen a los responsables. Sin embargo, éstos no tuvieron éxito. </w:t>
      </w:r>
    </w:p>
  </w:footnote>
  <w:footnote w:id="33">
    <w:p w14:paraId="0B20D58E" w14:textId="6A7C9B66" w:rsidR="0018425E" w:rsidRPr="00556DE0" w:rsidRDefault="0018425E" w:rsidP="00CD430E">
      <w:pPr>
        <w:autoSpaceDE w:val="0"/>
        <w:autoSpaceDN w:val="0"/>
        <w:adjustRightInd w:val="0"/>
        <w:spacing w:after="0" w:line="240" w:lineRule="auto"/>
        <w:ind w:right="1444"/>
        <w:jc w:val="both"/>
        <w:rPr>
          <w:rFonts w:ascii="Verdana" w:hAnsi="Verdana"/>
          <w:b/>
          <w:sz w:val="16"/>
          <w:szCs w:val="16"/>
          <w:lang w:val="es-UY"/>
        </w:rPr>
      </w:pPr>
      <w:r w:rsidRPr="00556DE0">
        <w:rPr>
          <w:rStyle w:val="FootnoteReference"/>
          <w:rFonts w:ascii="Verdana" w:hAnsi="Verdana"/>
          <w:sz w:val="16"/>
          <w:szCs w:val="16"/>
        </w:rPr>
        <w:footnoteRef/>
      </w:r>
      <w:r w:rsidRPr="00556DE0">
        <w:rPr>
          <w:rFonts w:ascii="Verdana" w:hAnsi="Verdana"/>
          <w:sz w:val="16"/>
          <w:szCs w:val="16"/>
          <w:lang w:val="es-CR"/>
        </w:rPr>
        <w:t xml:space="preserve"> </w:t>
      </w:r>
      <w:r w:rsidRPr="00556DE0">
        <w:rPr>
          <w:rFonts w:ascii="Verdana" w:hAnsi="Verdana"/>
          <w:sz w:val="16"/>
          <w:szCs w:val="16"/>
          <w:lang w:val="es-CR"/>
        </w:rPr>
        <w:tab/>
      </w:r>
      <w:r>
        <w:rPr>
          <w:rFonts w:ascii="Verdana" w:hAnsi="Verdana"/>
          <w:sz w:val="16"/>
          <w:szCs w:val="16"/>
          <w:lang w:val="es-CR"/>
        </w:rPr>
        <w:t>El 7 de diciembre de 1982</w:t>
      </w:r>
      <w:r w:rsidRPr="00556DE0">
        <w:rPr>
          <w:rFonts w:ascii="Verdana" w:hAnsi="Verdana"/>
          <w:sz w:val="16"/>
          <w:szCs w:val="16"/>
          <w:lang w:val="es-CR"/>
        </w:rPr>
        <w:t xml:space="preserve"> soldados guatemaltecos pertenecientes al grupo especial denominado Kaibiles llegaron a Las Dos Erres y sacaron a las personas de sus casas, encerrando a los hombres separados de las mujeres y niños. Mientras los mantuvieron encerrados los golpearon e incluso algunos murieron como consecuencia de los golpes. En la tarde, los Kaibiles sacaron a los hombres y los llevaron vendados y maniatados a un pozo de agua donde los fusilaron. Después sacaron a las mujeres y los niños para llevarlos al mismo lugar. En el camino muchas niñas fueron violadas por los Kaibiles. En los hechos de la masacre perdieron la vida por lo menos 216 personas. Posteriormente, </w:t>
      </w:r>
      <w:r w:rsidRPr="00556DE0">
        <w:rPr>
          <w:rFonts w:ascii="Verdana" w:eastAsia="Calibri" w:hAnsi="Verdana" w:cs="Times New Roman"/>
          <w:sz w:val="16"/>
          <w:szCs w:val="16"/>
          <w:lang w:val="es-ES_tradnl"/>
        </w:rPr>
        <w:t xml:space="preserve">llegaron al Parcelamiento dos niñas, las cuales fueron violadas por dos instructores militares. Al día siguiente, cuando los Kaibiles se marcharon se llevaron a las dos niñas y las violaron nuevamente para luego degollarlas. Antes de marcharse llegaron al Parcelamiento otras seis familias, las cuales fueron fusiladas. </w:t>
      </w:r>
      <w:r w:rsidRPr="00556DE0">
        <w:rPr>
          <w:rFonts w:ascii="Verdana" w:hAnsi="Verdana"/>
          <w:sz w:val="16"/>
          <w:szCs w:val="16"/>
          <w:lang w:val="es-CR"/>
        </w:rPr>
        <w:t xml:space="preserve">Ante la gravedad de los hechos y luego de la denuncia presentada por la Asociación de Familiares de Detenidos-Desaparecidos de Guatemala (FAMDEGUA) el 14 de junio de 1994, ante el Juzgado de Primera Instancia Penal de Petén, se ha impulsado un proceso en la jurisdicción penal ordinaria, el cual en el momento de la Sentencia de la Corte, permanecía en su etapa inicial. </w:t>
      </w:r>
      <w:r>
        <w:rPr>
          <w:rFonts w:ascii="Verdana" w:hAnsi="Verdana"/>
          <w:sz w:val="16"/>
          <w:szCs w:val="16"/>
          <w:lang w:val="es-CR"/>
        </w:rPr>
        <w:t>L</w:t>
      </w:r>
      <w:r w:rsidRPr="00556DE0">
        <w:rPr>
          <w:rFonts w:ascii="Verdana" w:hAnsi="Verdana"/>
          <w:sz w:val="16"/>
          <w:szCs w:val="16"/>
          <w:lang w:val="es-CR"/>
        </w:rPr>
        <w:t xml:space="preserve">a Corte declaró al Estado responsable por </w:t>
      </w:r>
      <w:r w:rsidRPr="00556DE0">
        <w:rPr>
          <w:rFonts w:ascii="Verdana" w:hAnsi="Verdana"/>
          <w:sz w:val="16"/>
          <w:szCs w:val="16"/>
          <w:lang w:val="es-UY"/>
        </w:rPr>
        <w:t xml:space="preserve">violar los derechos a las </w:t>
      </w:r>
      <w:r>
        <w:rPr>
          <w:rFonts w:ascii="Verdana" w:hAnsi="Verdana"/>
          <w:sz w:val="16"/>
          <w:szCs w:val="16"/>
          <w:lang w:val="es-UY"/>
        </w:rPr>
        <w:t>garantías y protección judicial</w:t>
      </w:r>
      <w:r w:rsidRPr="00556DE0">
        <w:rPr>
          <w:rFonts w:ascii="Verdana" w:hAnsi="Verdana"/>
          <w:sz w:val="16"/>
          <w:szCs w:val="16"/>
          <w:lang w:val="es-UY"/>
        </w:rPr>
        <w:t>, y las obligaciones establecidas en los artículos 1, 6 y 8 de la Convención Interamericana para Prevenir y Sancionar la Tortura y en el artículo 7.b) de la Convención Interamericana para Prevenir, Sancionar y Erradicar la Violencia contra la Mujer, también por violación de los derechos de protección de la familia y al nombre, y a la integridad personal.</w:t>
      </w:r>
    </w:p>
  </w:footnote>
  <w:footnote w:id="34">
    <w:p w14:paraId="05AD583F" w14:textId="616A8A90" w:rsidR="0018425E" w:rsidRPr="00C8054B" w:rsidRDefault="0018425E" w:rsidP="00CD430E">
      <w:pPr>
        <w:autoSpaceDE w:val="0"/>
        <w:autoSpaceDN w:val="0"/>
        <w:adjustRightInd w:val="0"/>
        <w:spacing w:after="0" w:line="240" w:lineRule="auto"/>
        <w:ind w:right="1444"/>
        <w:jc w:val="both"/>
        <w:rPr>
          <w:rFonts w:ascii="Verdana" w:hAnsi="Verdana"/>
          <w:sz w:val="16"/>
          <w:szCs w:val="16"/>
          <w:lang w:val="es-CR"/>
        </w:rPr>
      </w:pPr>
      <w:r w:rsidRPr="00556DE0">
        <w:rPr>
          <w:rStyle w:val="FootnoteReference"/>
          <w:rFonts w:ascii="Verdana" w:hAnsi="Verdana"/>
          <w:sz w:val="16"/>
          <w:szCs w:val="16"/>
        </w:rPr>
        <w:footnoteRef/>
      </w:r>
      <w:r w:rsidRPr="00556DE0">
        <w:rPr>
          <w:rFonts w:ascii="Verdana" w:hAnsi="Verdana"/>
          <w:sz w:val="16"/>
          <w:szCs w:val="16"/>
          <w:lang w:val="es-CR"/>
        </w:rPr>
        <w:t xml:space="preserve"> </w:t>
      </w:r>
      <w:r w:rsidRPr="00556DE0">
        <w:rPr>
          <w:rFonts w:ascii="Verdana" w:hAnsi="Verdana"/>
          <w:sz w:val="16"/>
          <w:szCs w:val="16"/>
          <w:lang w:val="es-CR"/>
        </w:rPr>
        <w:tab/>
        <w:t xml:space="preserve">La Corte declaró responsable al Estado por </w:t>
      </w:r>
      <w:r w:rsidRPr="00556DE0">
        <w:rPr>
          <w:rFonts w:ascii="Verdana" w:hAnsi="Verdana"/>
          <w:sz w:val="16"/>
          <w:szCs w:val="16"/>
          <w:lang w:val="es-UY"/>
        </w:rPr>
        <w:t xml:space="preserve">la desaparición forzada de Florencio Chitay Nech y, en consecuencia, la violación de los derechos a la libertad personal, a la </w:t>
      </w:r>
      <w:r>
        <w:rPr>
          <w:rFonts w:ascii="Verdana" w:hAnsi="Verdana"/>
          <w:sz w:val="16"/>
          <w:szCs w:val="16"/>
          <w:lang w:val="es-UY"/>
        </w:rPr>
        <w:t xml:space="preserve">integridad personal, a la vida y </w:t>
      </w:r>
      <w:r w:rsidRPr="00556DE0">
        <w:rPr>
          <w:rFonts w:ascii="Verdana" w:hAnsi="Verdana"/>
          <w:sz w:val="16"/>
          <w:szCs w:val="16"/>
          <w:lang w:val="es-UY"/>
        </w:rPr>
        <w:t>al reconocimiento de la personalidad jurídica</w:t>
      </w:r>
      <w:r>
        <w:rPr>
          <w:rFonts w:ascii="Verdana" w:hAnsi="Verdana"/>
          <w:sz w:val="16"/>
          <w:szCs w:val="16"/>
          <w:lang w:val="es-UY"/>
        </w:rPr>
        <w:t xml:space="preserve">, así como por la violación a los </w:t>
      </w:r>
      <w:r w:rsidRPr="00556DE0">
        <w:rPr>
          <w:rFonts w:ascii="Verdana" w:hAnsi="Verdana"/>
          <w:sz w:val="16"/>
          <w:szCs w:val="16"/>
          <w:lang w:val="es-UY"/>
        </w:rPr>
        <w:t xml:space="preserve">derechos políticos, así como en relación con el artículo I.a) de la Convención Interamericana sobre Desaparición Forzada de Personas. </w:t>
      </w:r>
      <w:r>
        <w:rPr>
          <w:rFonts w:ascii="Verdana" w:hAnsi="Verdana"/>
          <w:sz w:val="16"/>
          <w:szCs w:val="16"/>
          <w:lang w:val="es-CR"/>
        </w:rPr>
        <w:t xml:space="preserve">El </w:t>
      </w:r>
      <w:r w:rsidRPr="00556DE0">
        <w:rPr>
          <w:rFonts w:ascii="Verdana" w:hAnsi="Verdana"/>
          <w:sz w:val="16"/>
          <w:szCs w:val="16"/>
          <w:lang w:val="es-CR"/>
        </w:rPr>
        <w:t>señor Florencio Chitay Nech fue candidato a concejal por el partido Democracia Cristiana en la contienda electoral municipal de San Martín Jilotepeque y resultó electo en el año 1977. Como consecuencia de la desaparición forzada del entonces Alcalde del Municipio, el señor Chitay Nech asumió la responsabilidad de la Alcaldía. Desde junio de 1980 recibió diversas amenazas y hostigamientos. El 1 de abril de 1981, Florencio Chitay Nech salió de su vivienda en la ciudad de Guatemala acompañado de su hijo Estermerio Chitay. Frente a una tienda, un grupo de hombres armados se bajaron de un vehículo, golpearon al señor Chitay Nech en la cabeza, encañonaron a su hijo como amenaza y lo introdujeron en el automóvil. Desde entonces, Florencio Chitay Nech se encuentra desaparecido. La detención y posterior desaparición del señor Chitay Nech fue ocultada por las autoridades, en la medida que éstas no iniciaron una investigación seria y efectiva ante la desaparición ocurrida, omitiendo su deber de garantía de los derechos vulnerados.</w:t>
      </w:r>
    </w:p>
  </w:footnote>
  <w:footnote w:id="35">
    <w:p w14:paraId="661F0A14" w14:textId="4D53B43D" w:rsidR="0018425E" w:rsidRPr="00556DE0" w:rsidRDefault="0018425E" w:rsidP="00CD430E">
      <w:pPr>
        <w:autoSpaceDE w:val="0"/>
        <w:autoSpaceDN w:val="0"/>
        <w:adjustRightInd w:val="0"/>
        <w:spacing w:after="0" w:line="240" w:lineRule="auto"/>
        <w:ind w:right="1444"/>
        <w:jc w:val="both"/>
        <w:rPr>
          <w:rFonts w:ascii="Verdana" w:hAnsi="Verdana"/>
          <w:sz w:val="16"/>
          <w:szCs w:val="16"/>
          <w:lang w:val="es-CR"/>
        </w:rPr>
      </w:pPr>
      <w:r w:rsidRPr="00556DE0">
        <w:rPr>
          <w:rStyle w:val="FootnoteReference"/>
          <w:rFonts w:ascii="Verdana" w:hAnsi="Verdana"/>
          <w:sz w:val="16"/>
          <w:szCs w:val="16"/>
        </w:rPr>
        <w:footnoteRef/>
      </w:r>
      <w:r w:rsidRPr="00556DE0">
        <w:rPr>
          <w:rFonts w:ascii="Verdana" w:hAnsi="Verdana"/>
          <w:sz w:val="16"/>
          <w:szCs w:val="16"/>
          <w:lang w:val="es-CR"/>
        </w:rPr>
        <w:t xml:space="preserve"> </w:t>
      </w:r>
      <w:r w:rsidRPr="00556DE0">
        <w:rPr>
          <w:rFonts w:ascii="Verdana" w:hAnsi="Verdana"/>
          <w:sz w:val="16"/>
          <w:szCs w:val="16"/>
          <w:lang w:val="es-CR"/>
        </w:rPr>
        <w:tab/>
        <w:t xml:space="preserve">El 15 de junio de 1990, </w:t>
      </w:r>
      <w:r w:rsidRPr="00556DE0">
        <w:rPr>
          <w:rFonts w:ascii="Verdana" w:hAnsi="Verdana"/>
          <w:color w:val="000000"/>
          <w:sz w:val="16"/>
          <w:szCs w:val="16"/>
          <w:lang w:val="es-ES"/>
        </w:rPr>
        <w:t>Henry Giovanni Contreras, Federico Clemente Figueroa Túnchez, y los niños Julio Roberto Caal Sandoval y Jovito Josué Juárez Cifuentes, quienes residían en la calle, fueron obligados a subir a un vehículo por hombres armados (miembros de la policía), y posteriormente les dieron muerte. Igualmente, funcionarios policiales le dieron muerte a Anstraum Aman Villagrán Morales el 25 de junio de 1990. Se probó que cuatro de los</w:t>
      </w:r>
      <w:r w:rsidRPr="00556DE0">
        <w:rPr>
          <w:rFonts w:ascii="Verdana" w:hAnsi="Verdana"/>
          <w:color w:val="000000"/>
          <w:sz w:val="16"/>
          <w:szCs w:val="16"/>
          <w:lang w:val="es-UY"/>
        </w:rPr>
        <w:t xml:space="preserve"> jóvenes fueron víctimas de tortura. </w:t>
      </w:r>
      <w:r w:rsidRPr="00556DE0">
        <w:rPr>
          <w:rFonts w:ascii="Verdana" w:hAnsi="Verdana"/>
          <w:color w:val="000000"/>
          <w:sz w:val="16"/>
          <w:szCs w:val="16"/>
          <w:lang w:val="es-ES"/>
        </w:rPr>
        <w:t xml:space="preserve">No se realizaron mayores investigaciones al respecto, ni se identificaron ni sancionaron a los responsables. </w:t>
      </w:r>
      <w:r>
        <w:rPr>
          <w:rFonts w:ascii="Verdana" w:hAnsi="Verdana"/>
          <w:sz w:val="16"/>
          <w:szCs w:val="16"/>
          <w:lang w:val="es-CR"/>
        </w:rPr>
        <w:t>L</w:t>
      </w:r>
      <w:r w:rsidRPr="00556DE0">
        <w:rPr>
          <w:rFonts w:ascii="Verdana" w:hAnsi="Verdana"/>
          <w:sz w:val="16"/>
          <w:szCs w:val="16"/>
          <w:lang w:val="es-CR"/>
        </w:rPr>
        <w:t xml:space="preserve">a Corte declaró al Estado responsable por </w:t>
      </w:r>
      <w:r w:rsidRPr="00556DE0">
        <w:rPr>
          <w:rFonts w:ascii="Verdana" w:hAnsi="Verdana"/>
          <w:sz w:val="16"/>
          <w:szCs w:val="16"/>
          <w:lang w:val="es-UY"/>
        </w:rPr>
        <w:t>violar los derechos a las garantías y protección judicial consagrados en los artículos 8.1 y 25.1 y los derechos contenidos en los artículos artículos 7, 4,  5.1 y 5.2, 19</w:t>
      </w:r>
      <w:r>
        <w:rPr>
          <w:rFonts w:ascii="Verdana" w:hAnsi="Verdana"/>
          <w:sz w:val="16"/>
          <w:szCs w:val="16"/>
          <w:lang w:val="es-UY"/>
        </w:rPr>
        <w:t xml:space="preserve"> de</w:t>
      </w:r>
      <w:r w:rsidRPr="00556DE0">
        <w:rPr>
          <w:rFonts w:ascii="Verdana" w:hAnsi="Verdana"/>
          <w:sz w:val="16"/>
          <w:szCs w:val="16"/>
          <w:lang w:val="es-UY"/>
        </w:rPr>
        <w:t xml:space="preserve"> la Convención.</w:t>
      </w:r>
    </w:p>
  </w:footnote>
  <w:footnote w:id="36">
    <w:p w14:paraId="4FD28D03" w14:textId="4B303CD7" w:rsidR="0018425E" w:rsidRPr="00556DE0" w:rsidRDefault="0018425E" w:rsidP="00CD430E">
      <w:pPr>
        <w:autoSpaceDE w:val="0"/>
        <w:autoSpaceDN w:val="0"/>
        <w:adjustRightInd w:val="0"/>
        <w:spacing w:after="0" w:line="240" w:lineRule="auto"/>
        <w:ind w:right="1444"/>
        <w:jc w:val="both"/>
        <w:rPr>
          <w:rFonts w:ascii="Verdana" w:hAnsi="Verdana"/>
          <w:sz w:val="16"/>
          <w:szCs w:val="16"/>
          <w:lang w:val="es-UY"/>
        </w:rPr>
      </w:pPr>
      <w:r w:rsidRPr="00556DE0">
        <w:rPr>
          <w:rStyle w:val="FootnoteReference"/>
          <w:rFonts w:ascii="Verdana" w:hAnsi="Verdana"/>
          <w:sz w:val="16"/>
          <w:szCs w:val="16"/>
        </w:rPr>
        <w:footnoteRef/>
      </w:r>
      <w:r w:rsidRPr="00556DE0">
        <w:rPr>
          <w:rFonts w:ascii="Verdana" w:hAnsi="Verdana"/>
          <w:sz w:val="16"/>
          <w:szCs w:val="16"/>
          <w:lang w:val="es-CR"/>
        </w:rPr>
        <w:t xml:space="preserve"> </w:t>
      </w:r>
      <w:r w:rsidRPr="00556DE0">
        <w:rPr>
          <w:rFonts w:ascii="Verdana" w:hAnsi="Verdana"/>
          <w:sz w:val="16"/>
          <w:szCs w:val="16"/>
          <w:lang w:val="es-CR"/>
        </w:rPr>
        <w:tab/>
        <w:t xml:space="preserve">El 11 de septiembre de 1990, la señora Myrna Mack fue asesinada por agentes militares, luego de haber sido vigilada. Myrna Mack Chang realizaba actividades de investigación sobre las comunidades de población en resistencia y las políticas del Ejército guatemalteco hacia las mismas. </w:t>
      </w:r>
      <w:r>
        <w:rPr>
          <w:rFonts w:ascii="Verdana" w:hAnsi="Verdana"/>
          <w:sz w:val="16"/>
          <w:szCs w:val="16"/>
          <w:lang w:val="es-CR"/>
        </w:rPr>
        <w:t>L</w:t>
      </w:r>
      <w:r w:rsidRPr="00556DE0">
        <w:rPr>
          <w:rFonts w:ascii="Verdana" w:hAnsi="Verdana"/>
          <w:sz w:val="16"/>
          <w:szCs w:val="16"/>
          <w:lang w:val="es-CR"/>
        </w:rPr>
        <w:t xml:space="preserve">a Corte </w:t>
      </w:r>
      <w:r>
        <w:rPr>
          <w:rFonts w:ascii="Verdana" w:hAnsi="Verdana"/>
          <w:sz w:val="16"/>
          <w:szCs w:val="16"/>
          <w:lang w:val="es-CR"/>
        </w:rPr>
        <w:t xml:space="preserve">declaró al Estado </w:t>
      </w:r>
      <w:r w:rsidRPr="00556DE0">
        <w:rPr>
          <w:rFonts w:ascii="Verdana" w:hAnsi="Verdana"/>
          <w:sz w:val="16"/>
          <w:szCs w:val="16"/>
          <w:lang w:val="es-CR"/>
        </w:rPr>
        <w:t xml:space="preserve">responsable por la </w:t>
      </w:r>
      <w:r>
        <w:rPr>
          <w:rFonts w:ascii="Verdana" w:hAnsi="Verdana"/>
          <w:sz w:val="16"/>
          <w:szCs w:val="16"/>
          <w:lang w:val="es-CR"/>
        </w:rPr>
        <w:t>violación del derecho a la vida y</w:t>
      </w:r>
      <w:r w:rsidRPr="00556DE0">
        <w:rPr>
          <w:rFonts w:ascii="Verdana" w:hAnsi="Verdana"/>
          <w:sz w:val="16"/>
          <w:szCs w:val="16"/>
          <w:lang w:val="es-CR"/>
        </w:rPr>
        <w:t xml:space="preserve"> a la integridad personal</w:t>
      </w:r>
      <w:r>
        <w:rPr>
          <w:rFonts w:ascii="Verdana" w:hAnsi="Verdana"/>
          <w:sz w:val="16"/>
          <w:szCs w:val="16"/>
          <w:lang w:val="es-CR"/>
        </w:rPr>
        <w:t xml:space="preserve"> y, en lo que respecta a la investigación de tales hechos, se declaró al Estado responsable de la violación a los derechos a las garantías judiciales y la protección judicial</w:t>
      </w:r>
      <w:r w:rsidRPr="00556DE0">
        <w:rPr>
          <w:rFonts w:ascii="Verdana" w:hAnsi="Verdana"/>
          <w:sz w:val="16"/>
          <w:szCs w:val="16"/>
          <w:lang w:val="es-UY"/>
        </w:rPr>
        <w:t>.</w:t>
      </w:r>
    </w:p>
  </w:footnote>
  <w:footnote w:id="37">
    <w:p w14:paraId="03F7140C" w14:textId="6359557D" w:rsidR="0018425E" w:rsidRPr="00556DE0" w:rsidRDefault="0018425E" w:rsidP="00F57746">
      <w:pPr>
        <w:pStyle w:val="NoSpacing"/>
        <w:ind w:right="1444"/>
        <w:jc w:val="both"/>
        <w:rPr>
          <w:rFonts w:ascii="Verdana" w:hAnsi="Verdana"/>
          <w:sz w:val="16"/>
          <w:szCs w:val="16"/>
          <w:lang w:val="es-CR"/>
        </w:rPr>
      </w:pPr>
      <w:r w:rsidRPr="00556DE0">
        <w:rPr>
          <w:rStyle w:val="FootnoteReference"/>
          <w:rFonts w:ascii="Verdana" w:hAnsi="Verdana"/>
          <w:sz w:val="16"/>
          <w:szCs w:val="16"/>
        </w:rPr>
        <w:footnoteRef/>
      </w:r>
      <w:r w:rsidRPr="00556DE0">
        <w:rPr>
          <w:rFonts w:ascii="Verdana" w:hAnsi="Verdana"/>
          <w:sz w:val="16"/>
          <w:szCs w:val="16"/>
          <w:lang w:val="es-CR"/>
        </w:rPr>
        <w:t xml:space="preserve"> </w:t>
      </w:r>
      <w:r w:rsidRPr="00556DE0">
        <w:rPr>
          <w:rFonts w:ascii="Verdana" w:hAnsi="Verdana"/>
          <w:sz w:val="16"/>
          <w:szCs w:val="16"/>
          <w:lang w:val="es-CR"/>
        </w:rPr>
        <w:tab/>
        <w:t xml:space="preserve">A esta audiencia comparecieron: a) por la Comisión Interamericana: James Louis Cavallaro, Comisionado y Jorge Meza Flores, Asesor de la Comisión Interamericana; b) por el Estado de Guatemala: Antonio Arenales Forno, Presidente de la Comisión Presidencial Coordinadora de la Política del Ejecutivo en Materia de Derechos Humanos – COPREDEH- y Secretario de la Paz –SEPAZ; Héctor Palacios Lima, Embajador de la República de Guatemala en Costa Rica; Rodrigo Villagrán Sandoval, Director de Seguimiento de Casos de COPREDEH; Enma Estela Hernández Tuy, Asesora de la Dirección de Seguimiento de Casos de COPREDEH, y Barbara Rossiter Bianchini, Asesora de la Dirección de Seguimiento de Casos de COPREDEH; y c) por los representantes de las víctimas: Juan Francisco Soto Forno y Hugo René Morales Díaz, respectivamente, Director Ejecutivo y Asesor Legal del Centro para la Acción Legal en Derechos Humanos (CALDH); Pedro Chitay Rodríguez, víctima del caso Chitay Nech; Jennifer Harbury, víctima del caso Bámaca Velásquez; Lucrecia y María Eugenia Molina Theissen, víctimas del caso Molina Theissen; Helen Mack Chang, representante y familiar de la víctima del caso Mack Chang; Viviana Krsticevic, Directora Ejecutiva de CEJIL; Marcia Aguiluz, Directora del Programa para Centroamérica y México de CEJIL, así como los siguientes abogadas y abogados acreditados por CEJIL: Marcela Martino, Paola Limón, Daniela Araya, Georgia Vulcano, Nery Espinoza Quevedo, Leopoldo Zeissig, José Rodolfo González Sierra y Edgar Fernando Pérez Archila. La Corte celebró la audiencia con la siguiente composición: Presidente Humberto Antonio Sierra Porto y los Jueces Roberto F. Caldas, Manuel E. Ventura Robles, Eduardo Vio Grossi y Eduardo Ferrer Mac-Gregor Poisot. </w:t>
      </w:r>
    </w:p>
  </w:footnote>
  <w:footnote w:id="38">
    <w:p w14:paraId="38C8CA81" w14:textId="545C0D9F" w:rsidR="0018425E" w:rsidRPr="00556DE0" w:rsidRDefault="0018425E" w:rsidP="00F57746">
      <w:pPr>
        <w:autoSpaceDE w:val="0"/>
        <w:autoSpaceDN w:val="0"/>
        <w:adjustRightInd w:val="0"/>
        <w:spacing w:after="0" w:line="240" w:lineRule="auto"/>
        <w:ind w:right="1444"/>
        <w:jc w:val="both"/>
        <w:rPr>
          <w:rFonts w:ascii="Verdana" w:hAnsi="Verdana"/>
          <w:sz w:val="16"/>
          <w:szCs w:val="16"/>
          <w:lang w:val="es-ES_tradnl"/>
        </w:rPr>
      </w:pPr>
      <w:r w:rsidRPr="00556DE0">
        <w:rPr>
          <w:rStyle w:val="FootnoteReference"/>
          <w:rFonts w:ascii="Verdana" w:hAnsi="Verdana"/>
          <w:sz w:val="16"/>
          <w:szCs w:val="16"/>
        </w:rPr>
        <w:footnoteRef/>
      </w:r>
      <w:r w:rsidRPr="00556DE0">
        <w:rPr>
          <w:rFonts w:ascii="Verdana" w:hAnsi="Verdana"/>
          <w:sz w:val="16"/>
          <w:szCs w:val="16"/>
          <w:lang w:val="es-CR"/>
        </w:rPr>
        <w:t xml:space="preserve"> </w:t>
      </w:r>
      <w:r w:rsidRPr="00556DE0">
        <w:rPr>
          <w:rFonts w:ascii="Verdana" w:hAnsi="Verdana"/>
          <w:sz w:val="16"/>
          <w:szCs w:val="16"/>
          <w:lang w:val="es-CR"/>
        </w:rPr>
        <w:tab/>
        <w:t xml:space="preserve">Al respecto, en la Resolución de 2014, la Corte determinó que “el Estado no cumplió con su obligación de informar sobre la implementación de la reparación que estaba siendo supervisada en esos once casos, sino que se dedicó fundamentalmente a cuestionar la competencia temporal del Tribunal para pronunciarse sobre el fondo en cinco de esos casos y a exponer que le resultaban ‘inaceptables’ las consideraciones efectuadas por el Tribunal en esas Sentencias, así como a sostener que los hechos a que se referían siete de esos once casos se enmarcan en los supuestos de la Ley de Reconciliación Nacional por lo cual habría ‘extinción de la responsabilidad penal’”. </w:t>
      </w:r>
    </w:p>
  </w:footnote>
  <w:footnote w:id="39">
    <w:p w14:paraId="54B9333C" w14:textId="785D12D5" w:rsidR="0018425E" w:rsidRPr="000C0CC3" w:rsidRDefault="0018425E" w:rsidP="000C0CC3">
      <w:pPr>
        <w:pStyle w:val="FootnoteText"/>
        <w:ind w:right="1444"/>
        <w:rPr>
          <w:rFonts w:ascii="Verdana" w:hAnsi="Verdana"/>
          <w:sz w:val="16"/>
          <w:szCs w:val="16"/>
        </w:rPr>
      </w:pPr>
      <w:r w:rsidRPr="000C0CC3">
        <w:rPr>
          <w:rStyle w:val="FootnoteReference"/>
          <w:rFonts w:ascii="Verdana" w:hAnsi="Verdana"/>
          <w:sz w:val="16"/>
          <w:szCs w:val="16"/>
        </w:rPr>
        <w:footnoteRef/>
      </w:r>
      <w:r w:rsidRPr="000C0CC3">
        <w:rPr>
          <w:rFonts w:ascii="Verdana" w:hAnsi="Verdana"/>
          <w:sz w:val="16"/>
          <w:szCs w:val="16"/>
        </w:rPr>
        <w:t xml:space="preserve"> </w:t>
      </w:r>
      <w:r w:rsidRPr="000C0CC3">
        <w:rPr>
          <w:rFonts w:ascii="Verdana" w:hAnsi="Verdana"/>
          <w:sz w:val="16"/>
          <w:szCs w:val="16"/>
        </w:rPr>
        <w:tab/>
        <w:t>En esta resolución no se está valorando este informe puesto que se encuentran corriendo los plazos para que los represent</w:t>
      </w:r>
      <w:r>
        <w:rPr>
          <w:rFonts w:ascii="Verdana" w:hAnsi="Verdana"/>
          <w:sz w:val="16"/>
          <w:szCs w:val="16"/>
        </w:rPr>
        <w:t>a</w:t>
      </w:r>
      <w:r w:rsidRPr="000C0CC3">
        <w:rPr>
          <w:rFonts w:ascii="Verdana" w:hAnsi="Verdana"/>
          <w:sz w:val="16"/>
          <w:szCs w:val="16"/>
        </w:rPr>
        <w:t>n</w:t>
      </w:r>
      <w:r>
        <w:rPr>
          <w:rFonts w:ascii="Verdana" w:hAnsi="Verdana"/>
          <w:sz w:val="16"/>
          <w:szCs w:val="16"/>
        </w:rPr>
        <w:t>t</w:t>
      </w:r>
      <w:r w:rsidRPr="000C0CC3">
        <w:rPr>
          <w:rFonts w:ascii="Verdana" w:hAnsi="Verdana"/>
          <w:sz w:val="16"/>
          <w:szCs w:val="16"/>
        </w:rPr>
        <w:t xml:space="preserve">es de las víctimas y la Comisión presenten sus observaciones al mismo. </w:t>
      </w:r>
    </w:p>
  </w:footnote>
  <w:footnote w:id="40">
    <w:p w14:paraId="0A0D8EE8" w14:textId="5C58EA7A" w:rsidR="0018425E" w:rsidRPr="00556DE0" w:rsidRDefault="0018425E" w:rsidP="00F57746">
      <w:pPr>
        <w:autoSpaceDE w:val="0"/>
        <w:autoSpaceDN w:val="0"/>
        <w:adjustRightInd w:val="0"/>
        <w:spacing w:after="0" w:line="240" w:lineRule="auto"/>
        <w:ind w:right="1444"/>
        <w:jc w:val="both"/>
        <w:rPr>
          <w:rFonts w:ascii="Verdana" w:hAnsi="Verdana"/>
          <w:sz w:val="16"/>
          <w:szCs w:val="16"/>
          <w:lang w:val="es-CR"/>
        </w:rPr>
      </w:pPr>
      <w:r w:rsidRPr="00556DE0">
        <w:rPr>
          <w:rStyle w:val="FootnoteReference"/>
          <w:rFonts w:ascii="Verdana" w:hAnsi="Verdana"/>
          <w:sz w:val="16"/>
          <w:szCs w:val="16"/>
        </w:rPr>
        <w:footnoteRef/>
      </w:r>
      <w:r w:rsidRPr="00556DE0">
        <w:rPr>
          <w:rFonts w:ascii="Verdana" w:hAnsi="Verdana"/>
          <w:sz w:val="16"/>
          <w:szCs w:val="16"/>
          <w:lang w:val="es-CR"/>
        </w:rPr>
        <w:t xml:space="preserve"> </w:t>
      </w:r>
      <w:r w:rsidRPr="00556DE0">
        <w:rPr>
          <w:rFonts w:ascii="Verdana" w:hAnsi="Verdana"/>
          <w:sz w:val="16"/>
          <w:szCs w:val="16"/>
          <w:lang w:val="es-CR"/>
        </w:rPr>
        <w:tab/>
        <w:t xml:space="preserve">En este sentido, el Estado proporcionó el listado de actuaciones realizadas en cada uno de los casos hasta la fecha de los referidos informes. En algunos de los casos, el Estado reiteró información que ya fue valorada en la Sentencia de fondo o en las resoluciones de supervisión anteriores. </w:t>
      </w:r>
    </w:p>
  </w:footnote>
  <w:footnote w:id="41">
    <w:p w14:paraId="6D694438" w14:textId="6B8D18E5" w:rsidR="0018425E" w:rsidRPr="00556DE0" w:rsidRDefault="0018425E" w:rsidP="00F57746">
      <w:pPr>
        <w:autoSpaceDE w:val="0"/>
        <w:autoSpaceDN w:val="0"/>
        <w:adjustRightInd w:val="0"/>
        <w:spacing w:after="0" w:line="240" w:lineRule="auto"/>
        <w:ind w:right="1444"/>
        <w:jc w:val="both"/>
        <w:rPr>
          <w:rFonts w:ascii="Verdana" w:hAnsi="Verdana"/>
          <w:sz w:val="16"/>
          <w:szCs w:val="16"/>
          <w:lang w:val="es-ES_tradnl"/>
        </w:rPr>
      </w:pPr>
      <w:r w:rsidRPr="00556DE0">
        <w:rPr>
          <w:rStyle w:val="FootnoteReference"/>
          <w:rFonts w:ascii="Verdana" w:hAnsi="Verdana"/>
          <w:sz w:val="16"/>
          <w:szCs w:val="16"/>
        </w:rPr>
        <w:footnoteRef/>
      </w:r>
      <w:r w:rsidRPr="00556DE0">
        <w:rPr>
          <w:rFonts w:ascii="Verdana" w:hAnsi="Verdana"/>
          <w:sz w:val="16"/>
          <w:szCs w:val="16"/>
          <w:lang w:val="es-CR"/>
        </w:rPr>
        <w:t xml:space="preserve"> </w:t>
      </w:r>
      <w:r w:rsidRPr="00556DE0">
        <w:rPr>
          <w:rFonts w:ascii="Verdana" w:hAnsi="Verdana"/>
          <w:sz w:val="16"/>
          <w:szCs w:val="16"/>
          <w:lang w:val="es-CR"/>
        </w:rPr>
        <w:tab/>
        <w:t xml:space="preserve">En este sentido, en la sentencia del caso </w:t>
      </w:r>
      <w:r w:rsidRPr="00556DE0">
        <w:rPr>
          <w:rFonts w:ascii="Verdana" w:hAnsi="Verdana"/>
          <w:i/>
          <w:sz w:val="16"/>
          <w:szCs w:val="16"/>
          <w:lang w:val="es-CR"/>
        </w:rPr>
        <w:t>Carpio Nicolle</w:t>
      </w:r>
      <w:r w:rsidRPr="00556DE0">
        <w:rPr>
          <w:rFonts w:ascii="Verdana" w:hAnsi="Verdana"/>
          <w:sz w:val="16"/>
          <w:szCs w:val="16"/>
          <w:lang w:val="es-CR"/>
        </w:rPr>
        <w:t>, la Corte determinó que existe cosa juzgada fraudulenta cuando “resulta de un juicio en que no se han respetado las reglas del debido proceso, o cuando los jueces no obraron con independencia e imparcialidad”.</w:t>
      </w:r>
    </w:p>
  </w:footnote>
  <w:footnote w:id="42">
    <w:p w14:paraId="1613884D" w14:textId="6D040CD9" w:rsidR="0018425E" w:rsidRPr="00556DE0" w:rsidRDefault="0018425E" w:rsidP="00F57746">
      <w:pPr>
        <w:autoSpaceDE w:val="0"/>
        <w:autoSpaceDN w:val="0"/>
        <w:adjustRightInd w:val="0"/>
        <w:spacing w:after="0" w:line="240" w:lineRule="auto"/>
        <w:ind w:right="1444"/>
        <w:jc w:val="both"/>
        <w:rPr>
          <w:rFonts w:ascii="Verdana" w:hAnsi="Verdana"/>
          <w:sz w:val="16"/>
          <w:szCs w:val="16"/>
          <w:lang w:val="es-ES_tradnl"/>
        </w:rPr>
      </w:pPr>
      <w:r w:rsidRPr="00556DE0">
        <w:rPr>
          <w:rStyle w:val="FootnoteReference"/>
          <w:rFonts w:ascii="Verdana" w:hAnsi="Verdana"/>
          <w:sz w:val="16"/>
          <w:szCs w:val="16"/>
        </w:rPr>
        <w:footnoteRef/>
      </w:r>
      <w:r w:rsidRPr="00556DE0">
        <w:rPr>
          <w:rFonts w:ascii="Verdana" w:hAnsi="Verdana"/>
          <w:sz w:val="16"/>
          <w:szCs w:val="16"/>
          <w:lang w:val="es-CR"/>
        </w:rPr>
        <w:t xml:space="preserve"> </w:t>
      </w:r>
      <w:r w:rsidRPr="00556DE0">
        <w:rPr>
          <w:rFonts w:ascii="Verdana" w:hAnsi="Verdana"/>
          <w:sz w:val="16"/>
          <w:szCs w:val="16"/>
          <w:lang w:val="es-CR"/>
        </w:rPr>
        <w:tab/>
        <w:t>En los casos de ejecuciones extrajudiciales, la Corte determinó que  “[d]icho procesamiento debe contemplar las normas internacionales pertinentes en la materia, tales como las previstas en el Manual de las Naciones Unidas sobre la prevención e investigación eficaces de las ejecuciones extralegales, arbitrarias o sumarias”.</w:t>
      </w:r>
    </w:p>
  </w:footnote>
  <w:footnote w:id="43">
    <w:p w14:paraId="5E4E8D7A" w14:textId="229CAA43" w:rsidR="0018425E" w:rsidRPr="00556DE0" w:rsidRDefault="0018425E" w:rsidP="00F57746">
      <w:pPr>
        <w:pStyle w:val="FootnoteText"/>
        <w:tabs>
          <w:tab w:val="left" w:pos="567"/>
        </w:tabs>
        <w:ind w:right="1444"/>
        <w:jc w:val="both"/>
        <w:rPr>
          <w:rFonts w:ascii="Verdana" w:hAnsi="Verdana"/>
          <w:sz w:val="16"/>
          <w:szCs w:val="16"/>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t xml:space="preserve">La Corte se refirió a lo </w:t>
      </w:r>
      <w:r w:rsidRPr="00556DE0">
        <w:rPr>
          <w:rFonts w:ascii="Verdana" w:hAnsi="Verdana"/>
          <w:sz w:val="16"/>
          <w:szCs w:val="16"/>
          <w:lang w:val="es-CR"/>
        </w:rPr>
        <w:t>anterior</w:t>
      </w:r>
      <w:r w:rsidRPr="00556DE0">
        <w:rPr>
          <w:rFonts w:ascii="Verdana" w:hAnsi="Verdana"/>
          <w:sz w:val="16"/>
          <w:szCs w:val="16"/>
        </w:rPr>
        <w:t xml:space="preserve"> en términos similares </w:t>
      </w:r>
      <w:r w:rsidRPr="00556DE0">
        <w:rPr>
          <w:rFonts w:ascii="Verdana" w:hAnsi="Verdana" w:cs="Verdana"/>
          <w:sz w:val="16"/>
          <w:szCs w:val="16"/>
          <w:lang w:val="es-ES"/>
        </w:rPr>
        <w:t xml:space="preserve">en los casos </w:t>
      </w:r>
      <w:r w:rsidRPr="00556DE0">
        <w:rPr>
          <w:rFonts w:ascii="Verdana" w:hAnsi="Verdana" w:cs="Verdana"/>
          <w:i/>
          <w:sz w:val="16"/>
          <w:szCs w:val="16"/>
          <w:lang w:val="es-ES"/>
        </w:rPr>
        <w:t xml:space="preserve">Masacre Plan de Sánchez, Mack Chang, Molina Theissen </w:t>
      </w:r>
      <w:r w:rsidRPr="00556DE0">
        <w:rPr>
          <w:rFonts w:ascii="Verdana" w:hAnsi="Verdana" w:cs="Verdana"/>
          <w:sz w:val="16"/>
          <w:szCs w:val="16"/>
          <w:lang w:val="es-ES"/>
        </w:rPr>
        <w:t>y</w:t>
      </w:r>
      <w:r w:rsidRPr="00556DE0">
        <w:rPr>
          <w:rFonts w:ascii="Verdana" w:hAnsi="Verdana" w:cs="Verdana"/>
          <w:i/>
          <w:sz w:val="16"/>
          <w:szCs w:val="16"/>
          <w:lang w:val="es-ES"/>
        </w:rPr>
        <w:t xml:space="preserve"> Carpio Nicolle.</w:t>
      </w:r>
    </w:p>
  </w:footnote>
  <w:footnote w:id="44">
    <w:p w14:paraId="44A3B609" w14:textId="5B17EF66" w:rsidR="0018425E" w:rsidRPr="00556DE0" w:rsidRDefault="0018425E" w:rsidP="00095EA1">
      <w:pPr>
        <w:pStyle w:val="FootnoteText"/>
        <w:tabs>
          <w:tab w:val="left" w:pos="567"/>
        </w:tabs>
        <w:ind w:right="1444"/>
        <w:jc w:val="both"/>
        <w:rPr>
          <w:rFonts w:ascii="Verdana" w:hAnsi="Verdana"/>
          <w:b/>
          <w:sz w:val="16"/>
          <w:szCs w:val="16"/>
          <w:lang w:val="es-CR"/>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r>
      <w:r w:rsidRPr="00556DE0">
        <w:rPr>
          <w:rFonts w:ascii="Verdana" w:hAnsi="Verdana"/>
          <w:sz w:val="16"/>
          <w:szCs w:val="16"/>
          <w:lang w:val="es-CR"/>
        </w:rPr>
        <w:t xml:space="preserve">En la Resolución de 2003, la Corte ya había constatado que el señor Cifuentes López fue sancionado como “uno de los responsables de las violaciones de los derechos humanos cometidas en perjuicio de Nicholas Chapman Blake”. No obstante ello, la Corte consideró que “después de analizar la[s] diversas informaciones aportadas por las partes en sus escritos sobre el cumplimiento de la sentencia sobre reparaciones, considera indispensable que el Estado informe a la Corte sobre la obligación de investigar, juzgar y sancionar a todos [los] responsables de las violaciones a los derechos humanos declaradas por la Corte […] especialmente </w:t>
      </w:r>
      <w:r w:rsidRPr="00556DE0">
        <w:rPr>
          <w:rFonts w:ascii="Verdana" w:hAnsi="Verdana"/>
          <w:sz w:val="16"/>
          <w:szCs w:val="16"/>
        </w:rPr>
        <w:t>en</w:t>
      </w:r>
      <w:r w:rsidRPr="00556DE0">
        <w:rPr>
          <w:rFonts w:ascii="Verdana" w:hAnsi="Verdana"/>
          <w:sz w:val="16"/>
          <w:szCs w:val="16"/>
          <w:lang w:val="es-CR"/>
        </w:rPr>
        <w:t xml:space="preserve"> todo lo relativo a las acciones tomadas por el Estado para investigar, juzgar y sancionar a Candelario López Herrera, Hipólito Ramos García y Mario Cano Saucedo, presuntos responsables en este caso”. </w:t>
      </w:r>
      <w:r w:rsidRPr="00556DE0">
        <w:rPr>
          <w:rFonts w:ascii="Verdana" w:hAnsi="Verdana"/>
          <w:i/>
          <w:sz w:val="16"/>
          <w:szCs w:val="16"/>
          <w:lang w:val="es-CR"/>
        </w:rPr>
        <w:t>Cfr.</w:t>
      </w:r>
      <w:r w:rsidRPr="00556DE0">
        <w:rPr>
          <w:rFonts w:ascii="Verdana" w:hAnsi="Verdana"/>
          <w:sz w:val="16"/>
          <w:szCs w:val="16"/>
          <w:lang w:val="es-CR"/>
        </w:rPr>
        <w:t xml:space="preserve"> </w:t>
      </w:r>
      <w:r w:rsidRPr="00556DE0">
        <w:rPr>
          <w:rFonts w:ascii="Verdana" w:hAnsi="Verdana"/>
          <w:i/>
          <w:sz w:val="16"/>
          <w:szCs w:val="16"/>
          <w:lang w:val="es-CR"/>
        </w:rPr>
        <w:t>Caso Blake Vs. Guatemala. Supervisión de Cumplimiento de Sentencia</w:t>
      </w:r>
      <w:r w:rsidRPr="00556DE0">
        <w:rPr>
          <w:rFonts w:ascii="Verdana" w:hAnsi="Verdana"/>
          <w:sz w:val="16"/>
          <w:szCs w:val="16"/>
          <w:lang w:val="es-CR"/>
        </w:rPr>
        <w:t>. Resolución de la Corte Interamerican</w:t>
      </w:r>
      <w:r>
        <w:rPr>
          <w:rFonts w:ascii="Verdana" w:hAnsi="Verdana"/>
          <w:sz w:val="16"/>
          <w:szCs w:val="16"/>
          <w:lang w:val="es-CR"/>
        </w:rPr>
        <w:t>a de Derechos Humanos de 27 de n</w:t>
      </w:r>
      <w:r w:rsidRPr="00556DE0">
        <w:rPr>
          <w:rFonts w:ascii="Verdana" w:hAnsi="Verdana"/>
          <w:sz w:val="16"/>
          <w:szCs w:val="16"/>
          <w:lang w:val="es-CR"/>
        </w:rPr>
        <w:t xml:space="preserve">oviembre de 2003, Considerando 7; </w:t>
      </w:r>
      <w:r w:rsidRPr="00556DE0">
        <w:rPr>
          <w:rFonts w:ascii="Verdana" w:hAnsi="Verdana"/>
          <w:i/>
          <w:sz w:val="16"/>
          <w:szCs w:val="16"/>
          <w:lang w:val="es-CR"/>
        </w:rPr>
        <w:t>Caso Blake Vs. Guatemala. Supervisión de Cumplimiento de Sentencia</w:t>
      </w:r>
      <w:r w:rsidRPr="00556DE0">
        <w:rPr>
          <w:rFonts w:ascii="Verdana" w:hAnsi="Verdana"/>
          <w:sz w:val="16"/>
          <w:szCs w:val="16"/>
          <w:lang w:val="es-CR"/>
        </w:rPr>
        <w:t xml:space="preserve">. Resolución de la Corte Interamericana de Derechos Humanos de 22 de enero de 2009, Considerando 4. </w:t>
      </w:r>
    </w:p>
  </w:footnote>
  <w:footnote w:id="45">
    <w:p w14:paraId="578B542E" w14:textId="77777777" w:rsidR="0018425E" w:rsidRPr="00556DE0" w:rsidRDefault="0018425E" w:rsidP="00A675AB">
      <w:pPr>
        <w:pStyle w:val="FootnoteText"/>
        <w:ind w:right="1440"/>
        <w:jc w:val="both"/>
        <w:rPr>
          <w:rFonts w:ascii="Verdana" w:hAnsi="Verdana"/>
          <w:sz w:val="16"/>
          <w:szCs w:val="16"/>
          <w:lang w:val="es-CR"/>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lang w:val="es-CR"/>
        </w:rPr>
        <w:tab/>
        <w:t>En el informe del Ministerio Público se indica que las órdenes de aprehensión en contra de los imputados fueron dictadas el 7 de julio de 1985 por el Juzgado Segundo de Primera Instancia de Huehuetenango. Según dicho informe, estas órdenes habrían sido reiteradas el 4 de noviembre de 1996, siendo estas últimas las órdenes “vigentes”.</w:t>
      </w:r>
    </w:p>
  </w:footnote>
  <w:footnote w:id="46">
    <w:p w14:paraId="5A903766" w14:textId="381784B4" w:rsidR="0018425E" w:rsidRPr="00556DE0" w:rsidRDefault="0018425E" w:rsidP="00A675AB">
      <w:pPr>
        <w:pStyle w:val="FootnoteText"/>
        <w:ind w:right="1440"/>
        <w:jc w:val="both"/>
        <w:rPr>
          <w:rFonts w:ascii="Verdana" w:hAnsi="Verdana"/>
          <w:i/>
          <w:sz w:val="16"/>
          <w:szCs w:val="16"/>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r>
      <w:r w:rsidRPr="00556DE0">
        <w:rPr>
          <w:rFonts w:ascii="Verdana" w:hAnsi="Verdana"/>
          <w:i/>
          <w:sz w:val="16"/>
          <w:szCs w:val="16"/>
        </w:rPr>
        <w:t xml:space="preserve">Cfr. Caso de la “Panel Blanca" (Paniagua Morales y otros) Vs. Guatemala. Supervisión de Cumplimiento de Sentencia. </w:t>
      </w:r>
      <w:r w:rsidRPr="00556DE0">
        <w:rPr>
          <w:rFonts w:ascii="Verdana" w:hAnsi="Verdana"/>
          <w:sz w:val="16"/>
          <w:szCs w:val="16"/>
        </w:rPr>
        <w:t>Resolución de la Corte Interamericana de Derechos Humanos de 27 de noviembre de 2007, Considerando 12.</w:t>
      </w:r>
    </w:p>
  </w:footnote>
  <w:footnote w:id="47">
    <w:p w14:paraId="69AA2323" w14:textId="77777777" w:rsidR="0018425E" w:rsidRPr="00556DE0" w:rsidRDefault="0018425E" w:rsidP="00095EA1">
      <w:pPr>
        <w:pStyle w:val="FootnoteText"/>
        <w:ind w:right="1440"/>
        <w:jc w:val="both"/>
        <w:rPr>
          <w:rFonts w:ascii="Verdana" w:hAnsi="Verdana"/>
          <w:i/>
          <w:sz w:val="16"/>
          <w:szCs w:val="16"/>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r>
      <w:r w:rsidRPr="00556DE0">
        <w:rPr>
          <w:rFonts w:ascii="Verdana" w:hAnsi="Verdana"/>
          <w:i/>
          <w:sz w:val="16"/>
          <w:szCs w:val="16"/>
        </w:rPr>
        <w:t xml:space="preserve">Cfr. Caso Supervisión conjunta de 11 casos Vs. Guatemala. Supervisión de Cumplimiento de Sentencia. </w:t>
      </w:r>
      <w:r w:rsidRPr="00556DE0">
        <w:rPr>
          <w:rFonts w:ascii="Verdana" w:hAnsi="Verdana"/>
          <w:sz w:val="16"/>
          <w:szCs w:val="16"/>
        </w:rPr>
        <w:t>Resolución de la Corte Interamericana de Derechos Humanos de 21 de agosto de 2014, Considerando 16.</w:t>
      </w:r>
    </w:p>
  </w:footnote>
  <w:footnote w:id="48">
    <w:p w14:paraId="3F12E2D0" w14:textId="77777777" w:rsidR="0018425E" w:rsidRPr="00556DE0" w:rsidRDefault="0018425E" w:rsidP="00095EA1">
      <w:pPr>
        <w:pStyle w:val="FootnoteText"/>
        <w:tabs>
          <w:tab w:val="left" w:pos="567"/>
        </w:tabs>
        <w:ind w:right="1444"/>
        <w:jc w:val="both"/>
        <w:rPr>
          <w:rFonts w:ascii="Verdana" w:hAnsi="Verdana"/>
          <w:sz w:val="16"/>
          <w:szCs w:val="16"/>
          <w:lang w:val="es-CR"/>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r>
      <w:r w:rsidRPr="00556DE0">
        <w:rPr>
          <w:rFonts w:ascii="Verdana" w:hAnsi="Verdana"/>
          <w:sz w:val="16"/>
          <w:szCs w:val="16"/>
          <w:lang w:val="es-CR"/>
        </w:rPr>
        <w:t>Al respecto, el Estado en dicho informe señaló haber recibido cinco declaraciones testimoniales entre 2008 y 2010, un informe hemerográfico en 2012, veinte informes de investigación recibidos entre 2008 y 2013”.</w:t>
      </w:r>
    </w:p>
  </w:footnote>
  <w:footnote w:id="49">
    <w:p w14:paraId="1477A745" w14:textId="77777777" w:rsidR="0018425E" w:rsidRPr="00556DE0" w:rsidRDefault="0018425E" w:rsidP="00095EA1">
      <w:pPr>
        <w:pStyle w:val="FootnoteText"/>
        <w:tabs>
          <w:tab w:val="left" w:pos="567"/>
        </w:tabs>
        <w:ind w:right="1444"/>
        <w:jc w:val="both"/>
        <w:rPr>
          <w:rFonts w:ascii="Verdana" w:hAnsi="Verdana"/>
          <w:sz w:val="16"/>
          <w:szCs w:val="16"/>
          <w:lang w:val="es-CR"/>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t xml:space="preserve">En este sentido, el Estado indicó en dicho informe que “realiza una organización del expediente del caso, integrado por 16 archivadores físicos, se sistematiza y se hace un análisis de relación de hechos, patrones y estructuras”. </w:t>
      </w:r>
    </w:p>
  </w:footnote>
  <w:footnote w:id="50">
    <w:p w14:paraId="4D58BD7C" w14:textId="77777777" w:rsidR="0018425E" w:rsidRPr="00556DE0" w:rsidRDefault="0018425E" w:rsidP="00095EA1">
      <w:pPr>
        <w:pStyle w:val="FootnoteText"/>
        <w:tabs>
          <w:tab w:val="left" w:pos="567"/>
        </w:tabs>
        <w:ind w:right="1444"/>
        <w:jc w:val="both"/>
        <w:rPr>
          <w:rFonts w:ascii="Verdana" w:hAnsi="Verdana"/>
          <w:sz w:val="16"/>
          <w:szCs w:val="16"/>
          <w:lang w:val="es-CR"/>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r>
      <w:r w:rsidRPr="00556DE0">
        <w:rPr>
          <w:rFonts w:ascii="Verdana" w:hAnsi="Verdana"/>
          <w:sz w:val="16"/>
          <w:szCs w:val="16"/>
          <w:lang w:val="es-CR"/>
        </w:rPr>
        <w:t xml:space="preserve"> Según el Estado, “est[á] </w:t>
      </w:r>
      <w:r w:rsidRPr="00556DE0">
        <w:rPr>
          <w:rFonts w:ascii="Verdana" w:hAnsi="Verdana"/>
          <w:sz w:val="16"/>
          <w:szCs w:val="16"/>
        </w:rPr>
        <w:t>pendiente</w:t>
      </w:r>
      <w:r w:rsidRPr="00556DE0">
        <w:rPr>
          <w:rFonts w:ascii="Verdana" w:hAnsi="Verdana"/>
          <w:sz w:val="16"/>
          <w:szCs w:val="16"/>
          <w:lang w:val="es-CR"/>
        </w:rPr>
        <w:t xml:space="preserve"> la información requerida al Ministerio de Gobernación, acerca del Archivo Histórico de la Policía Nacional para construir la estructura y responsabilidad jerárquica de mando” y “la información solicitada a la Dirección de Recursos Humanos del Ministerio de Gobernación, relacionada con el Ministro de Gobernación de la época en que ocurrieron los hechos y documentación relacionada con la organización y funcionamiento de la ya extinta Guardia de Hacienda”.</w:t>
      </w:r>
      <w:r w:rsidRPr="00556DE0">
        <w:rPr>
          <w:rFonts w:ascii="Verdana" w:hAnsi="Verdana"/>
          <w:b/>
          <w:sz w:val="16"/>
          <w:szCs w:val="16"/>
          <w:lang w:val="es-CR"/>
        </w:rPr>
        <w:t xml:space="preserve"> </w:t>
      </w:r>
    </w:p>
  </w:footnote>
  <w:footnote w:id="51">
    <w:p w14:paraId="405257D5" w14:textId="77777777" w:rsidR="0018425E" w:rsidRPr="00556DE0" w:rsidRDefault="0018425E" w:rsidP="00C96B3F">
      <w:pPr>
        <w:pStyle w:val="FootnoteText"/>
        <w:ind w:right="1440"/>
        <w:jc w:val="both"/>
        <w:rPr>
          <w:rFonts w:ascii="Verdana" w:hAnsi="Verdana"/>
          <w:sz w:val="16"/>
          <w:szCs w:val="16"/>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r>
      <w:r w:rsidRPr="00556DE0">
        <w:rPr>
          <w:rFonts w:ascii="Verdana" w:hAnsi="Verdana"/>
          <w:i/>
          <w:sz w:val="16"/>
          <w:szCs w:val="16"/>
        </w:rPr>
        <w:t>Cfr. Caso de los “Niños de la Calle” (Villagrán Morales y otros) Vs. Guatemala. Supervisión de Cumplimiento de Sentencia</w:t>
      </w:r>
      <w:r w:rsidRPr="00556DE0">
        <w:rPr>
          <w:rFonts w:ascii="Verdana" w:hAnsi="Verdana"/>
          <w:sz w:val="16"/>
          <w:szCs w:val="16"/>
        </w:rPr>
        <w:t>. Resolución de la Corte Interamericana de Derechos Humanos de 27 de enero de 2009, considerando 37.</w:t>
      </w:r>
    </w:p>
  </w:footnote>
  <w:footnote w:id="52">
    <w:p w14:paraId="32005761" w14:textId="77777777" w:rsidR="0018425E" w:rsidRPr="00556DE0" w:rsidRDefault="0018425E" w:rsidP="00C96B3F">
      <w:pPr>
        <w:pStyle w:val="FootnoteText"/>
        <w:ind w:right="1440"/>
        <w:jc w:val="both"/>
        <w:rPr>
          <w:rFonts w:ascii="Verdana" w:hAnsi="Verdana"/>
          <w:sz w:val="16"/>
          <w:szCs w:val="16"/>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t>En dicha resolución, el Estado señaló que se habían absuelto tres sindicados y se había dictado sobreseimiento del caso por el “fallecimiento de un cuarto imputado”. También señaló en dicho momento que “el Ministerio Público se compromete a continuar con la investigación hasta determinar los responsables del hecho” y que “el proceso quedó abierto”.</w:t>
      </w:r>
    </w:p>
  </w:footnote>
  <w:footnote w:id="53">
    <w:p w14:paraId="5224FC47" w14:textId="77777777" w:rsidR="0018425E" w:rsidRPr="00556DE0" w:rsidRDefault="0018425E" w:rsidP="00095EA1">
      <w:pPr>
        <w:pStyle w:val="FootnoteText"/>
        <w:ind w:right="1444"/>
        <w:jc w:val="both"/>
        <w:rPr>
          <w:rFonts w:ascii="Verdana" w:hAnsi="Verdana"/>
          <w:sz w:val="16"/>
          <w:szCs w:val="16"/>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t xml:space="preserve">En el Considerando 38 de la Resolución de supervisión de cumplimiento de 2009, la Corte indicó que: </w:t>
      </w:r>
    </w:p>
    <w:p w14:paraId="6FEF1A0A" w14:textId="77777777" w:rsidR="0018425E" w:rsidRPr="00556DE0" w:rsidRDefault="0018425E" w:rsidP="00095EA1">
      <w:pPr>
        <w:spacing w:after="0" w:line="240" w:lineRule="auto"/>
        <w:ind w:right="1444"/>
        <w:jc w:val="both"/>
        <w:rPr>
          <w:rFonts w:ascii="Verdana" w:hAnsi="Verdana"/>
          <w:sz w:val="16"/>
          <w:szCs w:val="16"/>
          <w:lang w:val="es-ES_tradnl"/>
        </w:rPr>
      </w:pPr>
      <w:r w:rsidRPr="00556DE0">
        <w:rPr>
          <w:rFonts w:ascii="Verdana" w:hAnsi="Verdana"/>
          <w:sz w:val="16"/>
          <w:szCs w:val="16"/>
          <w:lang w:val="es-ES_tradnl"/>
        </w:rPr>
        <w:t>“el Estado debe informar sobre las diligencias que ha llevado a cabo para corregir o subsanar las deficiencias señaladas por el Tribunal en el párrafo 232 de la Sentencia de fondo, relativas a:</w:t>
      </w:r>
    </w:p>
    <w:p w14:paraId="42C6E134" w14:textId="77777777" w:rsidR="0018425E" w:rsidRPr="00556DE0" w:rsidRDefault="0018425E" w:rsidP="00095EA1">
      <w:pPr>
        <w:spacing w:after="0" w:line="240" w:lineRule="auto"/>
        <w:ind w:left="720" w:right="1444"/>
        <w:jc w:val="both"/>
        <w:rPr>
          <w:rFonts w:ascii="Verdana" w:hAnsi="Verdana"/>
          <w:sz w:val="16"/>
          <w:szCs w:val="16"/>
          <w:lang w:val="es-CR"/>
        </w:rPr>
      </w:pPr>
      <w:r w:rsidRPr="00556DE0">
        <w:rPr>
          <w:rFonts w:ascii="Verdana" w:hAnsi="Verdana"/>
          <w:sz w:val="16"/>
          <w:szCs w:val="16"/>
          <w:lang w:val="es-CR"/>
        </w:rPr>
        <w:t xml:space="preserve">a) </w:t>
      </w:r>
      <w:r w:rsidRPr="00556DE0">
        <w:rPr>
          <w:rFonts w:ascii="Verdana" w:hAnsi="Verdana"/>
          <w:sz w:val="16"/>
          <w:szCs w:val="16"/>
          <w:lang w:val="es-CR"/>
        </w:rPr>
        <w:tab/>
        <w:t>la reevaluación del testimonio de “la testigo que declaró haber sido sometida a un secuestro y a malos tratos similares a los que padecieron cuatro de los jóvenes de que trata este caso”;</w:t>
      </w:r>
    </w:p>
    <w:p w14:paraId="62BA4D33" w14:textId="77777777" w:rsidR="0018425E" w:rsidRPr="00556DE0" w:rsidRDefault="0018425E" w:rsidP="00095EA1">
      <w:pPr>
        <w:spacing w:after="0" w:line="240" w:lineRule="auto"/>
        <w:ind w:left="720" w:right="1444"/>
        <w:jc w:val="both"/>
        <w:rPr>
          <w:rFonts w:ascii="Verdana" w:hAnsi="Verdana"/>
          <w:sz w:val="16"/>
          <w:szCs w:val="16"/>
          <w:lang w:val="es-CR"/>
        </w:rPr>
      </w:pPr>
      <w:r w:rsidRPr="00556DE0">
        <w:rPr>
          <w:rFonts w:ascii="Verdana" w:hAnsi="Verdana"/>
          <w:sz w:val="16"/>
          <w:szCs w:val="16"/>
          <w:lang w:val="es-CR"/>
        </w:rPr>
        <w:t xml:space="preserve">b) </w:t>
      </w:r>
      <w:r w:rsidRPr="00556DE0">
        <w:rPr>
          <w:rFonts w:ascii="Verdana" w:hAnsi="Verdana"/>
          <w:sz w:val="16"/>
          <w:szCs w:val="16"/>
          <w:lang w:val="es-CR"/>
        </w:rPr>
        <w:tab/>
        <w:t>la reevaluación de los testimonios que fueron declarados “irrelevantes” sin ninguna explicación, a pesar de que proporcionaban elementos reveladores sobre la forma como ocurrieron los hechos y contribuían a la identificación de los responsables de los mismos;</w:t>
      </w:r>
    </w:p>
    <w:p w14:paraId="2030780B" w14:textId="77777777" w:rsidR="0018425E" w:rsidRPr="00556DE0" w:rsidRDefault="0018425E" w:rsidP="00095EA1">
      <w:pPr>
        <w:spacing w:after="0" w:line="240" w:lineRule="auto"/>
        <w:ind w:left="720" w:right="1444"/>
        <w:jc w:val="both"/>
        <w:rPr>
          <w:rFonts w:ascii="Verdana" w:hAnsi="Verdana"/>
          <w:sz w:val="16"/>
          <w:szCs w:val="16"/>
          <w:lang w:val="es-CR"/>
        </w:rPr>
      </w:pPr>
      <w:r w:rsidRPr="00556DE0">
        <w:rPr>
          <w:rFonts w:ascii="Verdana" w:hAnsi="Verdana"/>
          <w:sz w:val="16"/>
          <w:szCs w:val="16"/>
          <w:lang w:val="es-CR"/>
        </w:rPr>
        <w:t xml:space="preserve">c) </w:t>
      </w:r>
      <w:r w:rsidRPr="00556DE0">
        <w:rPr>
          <w:rFonts w:ascii="Verdana" w:hAnsi="Verdana"/>
          <w:sz w:val="16"/>
          <w:szCs w:val="16"/>
          <w:lang w:val="es-CR"/>
        </w:rPr>
        <w:tab/>
        <w:t>la reevaluación del informe resultante de la investigación policial ordenada por los propios jueces, para dar soporte a los procesos judiciales, que fue descartado por no ser “prueba suficiente” y en los que se afirma que los autores de los homicidios habían sido los dos agentes de la policía identificados por los testigos;</w:t>
      </w:r>
    </w:p>
    <w:p w14:paraId="7E7A01A7" w14:textId="77777777" w:rsidR="0018425E" w:rsidRPr="00556DE0" w:rsidRDefault="0018425E" w:rsidP="00095EA1">
      <w:pPr>
        <w:spacing w:after="0" w:line="240" w:lineRule="auto"/>
        <w:ind w:left="720" w:right="1444"/>
        <w:jc w:val="both"/>
        <w:rPr>
          <w:rFonts w:ascii="Verdana" w:hAnsi="Verdana"/>
          <w:sz w:val="16"/>
          <w:szCs w:val="16"/>
          <w:lang w:val="es-CR"/>
        </w:rPr>
      </w:pPr>
      <w:r w:rsidRPr="00556DE0">
        <w:rPr>
          <w:rFonts w:ascii="Verdana" w:hAnsi="Verdana"/>
          <w:sz w:val="16"/>
          <w:szCs w:val="16"/>
          <w:lang w:val="es-CR"/>
        </w:rPr>
        <w:t>d)</w:t>
      </w:r>
      <w:r w:rsidRPr="00556DE0">
        <w:rPr>
          <w:rFonts w:ascii="Verdana" w:hAnsi="Verdana"/>
          <w:sz w:val="16"/>
          <w:szCs w:val="16"/>
          <w:lang w:val="es-CR"/>
        </w:rPr>
        <w:tab/>
        <w:t>la reevaluación de la declaración del testigo que trabajaba por el bienestar de los “niños de la calle”;</w:t>
      </w:r>
    </w:p>
    <w:p w14:paraId="299E64B2" w14:textId="77777777" w:rsidR="0018425E" w:rsidRPr="00556DE0" w:rsidRDefault="0018425E" w:rsidP="00095EA1">
      <w:pPr>
        <w:spacing w:after="0" w:line="240" w:lineRule="auto"/>
        <w:ind w:left="720" w:right="1444"/>
        <w:jc w:val="both"/>
        <w:rPr>
          <w:rFonts w:ascii="Verdana" w:hAnsi="Verdana"/>
          <w:sz w:val="16"/>
          <w:szCs w:val="16"/>
          <w:lang w:val="es-CR"/>
        </w:rPr>
      </w:pPr>
      <w:r w:rsidRPr="00556DE0">
        <w:rPr>
          <w:rFonts w:ascii="Verdana" w:hAnsi="Verdana"/>
          <w:sz w:val="16"/>
          <w:szCs w:val="16"/>
          <w:lang w:val="es-CR"/>
        </w:rPr>
        <w:t>e)</w:t>
      </w:r>
      <w:r w:rsidRPr="00556DE0">
        <w:rPr>
          <w:rFonts w:ascii="Verdana" w:hAnsi="Verdana"/>
          <w:sz w:val="16"/>
          <w:szCs w:val="16"/>
          <w:lang w:val="es-CR"/>
        </w:rPr>
        <w:tab/>
        <w:t>la reevaluación de ciertos testigos cuyas declaraciones fueron tomadas muchos meses después de ocurridos los hechos, sobre las circunstancias de tiempo en que sucedieron estos últimos, y que fueron desestimadas totalmente a pesar de que éstas proporcionaban, de manera consistente y coincidente, información relevante sobre otros aspectos de los acontecimientos objeto de investigación, y</w:t>
      </w:r>
    </w:p>
    <w:p w14:paraId="3C89D243" w14:textId="77777777" w:rsidR="0018425E" w:rsidRPr="00556DE0" w:rsidRDefault="0018425E" w:rsidP="00095EA1">
      <w:pPr>
        <w:spacing w:after="0" w:line="240" w:lineRule="auto"/>
        <w:ind w:left="720" w:right="1444"/>
        <w:jc w:val="both"/>
        <w:rPr>
          <w:rFonts w:ascii="Verdana" w:hAnsi="Verdana"/>
          <w:sz w:val="16"/>
          <w:szCs w:val="16"/>
          <w:lang w:val="es-CR"/>
        </w:rPr>
      </w:pPr>
      <w:r w:rsidRPr="00556DE0">
        <w:rPr>
          <w:rFonts w:ascii="Verdana" w:hAnsi="Verdana"/>
          <w:sz w:val="16"/>
          <w:szCs w:val="16"/>
          <w:lang w:val="es-CR"/>
        </w:rPr>
        <w:t>f)</w:t>
      </w:r>
      <w:r w:rsidRPr="00556DE0">
        <w:rPr>
          <w:rFonts w:ascii="Verdana" w:hAnsi="Verdana"/>
          <w:sz w:val="16"/>
          <w:szCs w:val="16"/>
          <w:lang w:val="es-CR"/>
        </w:rPr>
        <w:tab/>
        <w:t>la reevaluación de la prueba balística que se encuentra en el expediente, de acuerdo con la cual el proyectil que fue encontrado junto al cadáver de Anstraum Aman Villagrán Morales habría sido disparado por el arma de dotación de uno de los policías acusados”.</w:t>
      </w:r>
    </w:p>
  </w:footnote>
  <w:footnote w:id="54">
    <w:p w14:paraId="0E5426C4" w14:textId="0813B414" w:rsidR="0018425E" w:rsidRPr="00556DE0" w:rsidRDefault="0018425E" w:rsidP="00095EA1">
      <w:pPr>
        <w:pStyle w:val="FootnoteText"/>
        <w:tabs>
          <w:tab w:val="left" w:pos="567"/>
        </w:tabs>
        <w:ind w:right="1444"/>
        <w:jc w:val="both"/>
        <w:rPr>
          <w:rFonts w:ascii="Verdana" w:hAnsi="Verdana"/>
          <w:sz w:val="16"/>
          <w:szCs w:val="16"/>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t xml:space="preserve">Al respecto, el Estado señaló que “el 24 de septiembre de 2009 el Ministerio Público solicitó a la Cámara Penal de la Corte Suprema de Justicia de Guatemala la autoejecutabilidad de la Sentencia emitida por la Corte IDH de 19 de noviembre [de] 1999 en el caso Niños de la Calle y en consecuencia, la nulidad de la sentencia del 26 de diciembre [de] 1991 dictada por el Juzgado Tercero de Primera Instancia Penal del Departamento de Guatemala. De conformidad con lo anterior, el 11 de diciembre [de] 2009 la Cámara Penal de la Corte Suprema de Justicia declaró […] la autoejecutabilidad de la sentencia emitida por la Honorable Corte Interamericana de Derechos Humanos”. </w:t>
      </w:r>
    </w:p>
  </w:footnote>
  <w:footnote w:id="55">
    <w:p w14:paraId="4D5FD930" w14:textId="77777777" w:rsidR="0018425E" w:rsidRPr="00556DE0" w:rsidRDefault="0018425E" w:rsidP="00095EA1">
      <w:pPr>
        <w:pStyle w:val="FootnoteText"/>
        <w:tabs>
          <w:tab w:val="left" w:pos="567"/>
        </w:tabs>
        <w:ind w:right="1444"/>
        <w:jc w:val="both"/>
        <w:rPr>
          <w:rFonts w:ascii="Verdana" w:hAnsi="Verdana"/>
          <w:sz w:val="16"/>
          <w:szCs w:val="16"/>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t xml:space="preserve">Dichas solicitudes fueron (1) una “[s]olicitud de información sobre record laboral de los presuntos responsables del hecho al Departamento de Recursos Humanos de la Policía Nacional Civil y al Archivo Histórico de la Policía Nacional”; (2) una “[s]olicitud de información sobre el personal encargado de la armería del quinto Cuerpo de la Policía Nacional al Archivo Histórico de la Policía Nacional Civil; (3) una “[s]olicitud de información al Departamento de Material y Equipo de Defensa de la Policía Nacional Civil para determinar el paradero de la ojiva del arma que figura en la investigación”; (4) una “[s]olicitud de información sobre el Registro de Personas Jurídicas al Ministerio de Gobernación con el fin de obtener información de Casa Alianza”. </w:t>
      </w:r>
    </w:p>
  </w:footnote>
  <w:footnote w:id="56">
    <w:p w14:paraId="711BD1D0" w14:textId="77777777" w:rsidR="0018425E" w:rsidRPr="00556DE0" w:rsidRDefault="0018425E" w:rsidP="00095EA1">
      <w:pPr>
        <w:pStyle w:val="FootnoteText"/>
        <w:tabs>
          <w:tab w:val="left" w:pos="567"/>
        </w:tabs>
        <w:ind w:right="1444"/>
        <w:jc w:val="both"/>
        <w:rPr>
          <w:rFonts w:ascii="Verdana" w:hAnsi="Verdana"/>
          <w:sz w:val="16"/>
          <w:szCs w:val="16"/>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t xml:space="preserve">El Estado señaló que presentó “[s]olicitud de la siguiente documentación: certificación del proceso judicial de la causa 145-4-91 al Archivo del Organismo Judicial, Juzgado Segundo de Primera Instancia Penal, Narcoactividad y Delitos contra el Ambiente; antecedentes penales y policíacos de los presuntos responsables del hecho al Organismo Judicial y Dirección de la Policía Nacional Civil”.  </w:t>
      </w:r>
    </w:p>
  </w:footnote>
  <w:footnote w:id="57">
    <w:p w14:paraId="534D0E6D" w14:textId="77777777" w:rsidR="0018425E" w:rsidRPr="00556DE0" w:rsidRDefault="0018425E" w:rsidP="00095EA1">
      <w:pPr>
        <w:pStyle w:val="FootnoteText"/>
        <w:tabs>
          <w:tab w:val="left" w:pos="567"/>
        </w:tabs>
        <w:ind w:right="1444"/>
        <w:jc w:val="both"/>
        <w:rPr>
          <w:rFonts w:ascii="Verdana" w:hAnsi="Verdana"/>
          <w:sz w:val="16"/>
          <w:szCs w:val="16"/>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t xml:space="preserve">Con relación a dicho peritaje balístico, el Estado sólo señaló en el informe del Ministerio Público, que “se concluye que el arma de fuego involucrada en el hecho se encuentra en capacidad de disparar”. </w:t>
      </w:r>
    </w:p>
  </w:footnote>
  <w:footnote w:id="58">
    <w:p w14:paraId="4E2F3ACC" w14:textId="004A47C7" w:rsidR="0018425E" w:rsidRPr="00556DE0" w:rsidRDefault="0018425E" w:rsidP="00095EA1">
      <w:pPr>
        <w:pStyle w:val="FootnoteText"/>
        <w:ind w:right="1444"/>
        <w:jc w:val="both"/>
        <w:rPr>
          <w:rFonts w:ascii="Verdana" w:hAnsi="Verdana"/>
          <w:sz w:val="16"/>
          <w:szCs w:val="16"/>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t>Al respecto, el Estado señaló que “se celebraron mesas de trabajo con familiares de las víctimas durante junio de [2015</w:t>
      </w:r>
      <w:proofErr w:type="gramStart"/>
      <w:r w:rsidRPr="00556DE0">
        <w:rPr>
          <w:rFonts w:ascii="Verdana" w:hAnsi="Verdana"/>
          <w:sz w:val="16"/>
          <w:szCs w:val="16"/>
        </w:rPr>
        <w:t>]para</w:t>
      </w:r>
      <w:proofErr w:type="gramEnd"/>
      <w:r w:rsidRPr="00556DE0">
        <w:rPr>
          <w:rFonts w:ascii="Verdana" w:hAnsi="Verdana"/>
          <w:sz w:val="16"/>
          <w:szCs w:val="16"/>
        </w:rPr>
        <w:t xml:space="preserve"> establecer líneas de investigación y fortalecer la hipótesis de trabajo”, que tres familiares de las víctimas “ampliaron [su] declaración testimonial”, y que “se acordó que el [Ministerio Público] en colaboración con dichas personas localizarían a más testigos”. También indicó que “se programó una mesa de trabajo con la Unidad de Análisis del [Ministerio Público], a fin de recabar información acerca de la estructura de la Policía Nacional que operaba en el año [1980]”. </w:t>
      </w:r>
    </w:p>
  </w:footnote>
  <w:footnote w:id="59">
    <w:p w14:paraId="04EF7DBA" w14:textId="77777777" w:rsidR="0018425E" w:rsidRPr="00556DE0" w:rsidRDefault="0018425E" w:rsidP="00095EA1">
      <w:pPr>
        <w:pStyle w:val="FootnoteText"/>
        <w:jc w:val="both"/>
        <w:rPr>
          <w:rFonts w:ascii="Verdana" w:hAnsi="Verdana"/>
          <w:sz w:val="16"/>
          <w:szCs w:val="16"/>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t xml:space="preserve">Observaciones de junio y noviembre de 2015. </w:t>
      </w:r>
    </w:p>
  </w:footnote>
  <w:footnote w:id="60">
    <w:p w14:paraId="72B70556" w14:textId="77777777" w:rsidR="0018425E" w:rsidRPr="00556DE0" w:rsidRDefault="0018425E" w:rsidP="00095EA1">
      <w:pPr>
        <w:pStyle w:val="FootnoteText"/>
        <w:ind w:right="1444"/>
        <w:jc w:val="both"/>
        <w:rPr>
          <w:rFonts w:ascii="Verdana" w:hAnsi="Verdana"/>
          <w:sz w:val="16"/>
          <w:szCs w:val="16"/>
          <w:lang w:val="es-CR"/>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r>
      <w:r w:rsidRPr="00556DE0">
        <w:rPr>
          <w:rFonts w:ascii="Verdana" w:hAnsi="Verdana"/>
          <w:bCs/>
          <w:i/>
          <w:sz w:val="16"/>
          <w:szCs w:val="16"/>
        </w:rPr>
        <w:t>Cfr.</w:t>
      </w:r>
      <w:r w:rsidRPr="00556DE0">
        <w:rPr>
          <w:rFonts w:ascii="Verdana" w:hAnsi="Verdana"/>
          <w:bCs/>
          <w:sz w:val="16"/>
          <w:szCs w:val="16"/>
        </w:rPr>
        <w:t xml:space="preserve"> </w:t>
      </w:r>
      <w:r w:rsidRPr="00556DE0">
        <w:rPr>
          <w:rFonts w:ascii="Verdana" w:hAnsi="Verdana"/>
          <w:bCs/>
          <w:i/>
          <w:sz w:val="16"/>
          <w:szCs w:val="16"/>
        </w:rPr>
        <w:t>Caso Defensor de Derechos Humanos y otros Vs. Guatemala. Excepciones Preliminares, Fondo, Reparaciones y Costas</w:t>
      </w:r>
      <w:r w:rsidRPr="00556DE0">
        <w:rPr>
          <w:rFonts w:ascii="Verdana" w:hAnsi="Verdana"/>
          <w:bCs/>
          <w:sz w:val="16"/>
          <w:szCs w:val="16"/>
        </w:rPr>
        <w:t>. Sentencia de 28 de agosto de 2014. Serie C No. 283</w:t>
      </w:r>
      <w:r w:rsidRPr="00556DE0">
        <w:rPr>
          <w:rFonts w:ascii="Verdana" w:hAnsi="Verdana"/>
          <w:sz w:val="16"/>
          <w:szCs w:val="16"/>
        </w:rPr>
        <w:t>, párr. 207</w:t>
      </w:r>
      <w:r w:rsidRPr="00556DE0">
        <w:rPr>
          <w:rFonts w:ascii="Verdana" w:hAnsi="Verdana"/>
          <w:color w:val="FF0000"/>
          <w:sz w:val="16"/>
          <w:szCs w:val="16"/>
        </w:rPr>
        <w:t>.</w:t>
      </w:r>
    </w:p>
  </w:footnote>
  <w:footnote w:id="61">
    <w:p w14:paraId="725499FE" w14:textId="77777777" w:rsidR="0018425E" w:rsidRPr="00556DE0" w:rsidRDefault="0018425E" w:rsidP="00041A7C">
      <w:pPr>
        <w:pStyle w:val="FootnoteText"/>
        <w:ind w:right="1440"/>
        <w:rPr>
          <w:rFonts w:ascii="Verdana" w:hAnsi="Verdana"/>
          <w:sz w:val="16"/>
          <w:szCs w:val="16"/>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r>
      <w:r w:rsidRPr="00556DE0">
        <w:rPr>
          <w:rFonts w:ascii="Verdana" w:hAnsi="Verdana"/>
          <w:i/>
          <w:sz w:val="16"/>
          <w:szCs w:val="16"/>
        </w:rPr>
        <w:t>Cfr. Caso de los “Niños de la Calle” (Villagrán Morales y otros) Vs. Guatemala. Fondo</w:t>
      </w:r>
      <w:r w:rsidRPr="00556DE0">
        <w:rPr>
          <w:rFonts w:ascii="Verdana" w:hAnsi="Verdana"/>
          <w:sz w:val="16"/>
          <w:szCs w:val="16"/>
        </w:rPr>
        <w:t>. Sentencia de 19 de noviembre de 1999. Serie C No. 63, párr. 65.</w:t>
      </w:r>
    </w:p>
  </w:footnote>
  <w:footnote w:id="62">
    <w:p w14:paraId="32A498BD" w14:textId="77777777" w:rsidR="0018425E" w:rsidRPr="00556DE0" w:rsidRDefault="0018425E" w:rsidP="00095EA1">
      <w:pPr>
        <w:pStyle w:val="FootnoteText"/>
        <w:ind w:right="1444"/>
        <w:jc w:val="both"/>
        <w:rPr>
          <w:rFonts w:ascii="Verdana" w:hAnsi="Verdana"/>
          <w:sz w:val="16"/>
          <w:szCs w:val="16"/>
          <w:lang w:val="es-CR"/>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r>
      <w:r w:rsidRPr="00556DE0">
        <w:rPr>
          <w:rFonts w:ascii="Verdana" w:hAnsi="Verdana"/>
          <w:sz w:val="16"/>
          <w:szCs w:val="16"/>
          <w:lang w:val="es-CR"/>
        </w:rPr>
        <w:t xml:space="preserve">Al respecto, tanto la Comisión como los representantes hacen notar que el mismo Estado señaló que “tal equipo no presentó el informe final esperado debido a una reasignación que se le hiciera para apoyar en otros casos”. </w:t>
      </w:r>
    </w:p>
  </w:footnote>
  <w:footnote w:id="63">
    <w:p w14:paraId="6F84610D" w14:textId="77777777" w:rsidR="0018425E" w:rsidRPr="00556DE0" w:rsidRDefault="0018425E" w:rsidP="00095EA1">
      <w:pPr>
        <w:pStyle w:val="FootnoteText"/>
        <w:jc w:val="both"/>
        <w:rPr>
          <w:rFonts w:ascii="Verdana" w:hAnsi="Verdana"/>
          <w:sz w:val="16"/>
          <w:szCs w:val="16"/>
          <w:lang w:val="es-CR"/>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lang w:val="es-CR"/>
        </w:rPr>
        <w:tab/>
        <w:t xml:space="preserve">No presentó evidencia sobre su realización. </w:t>
      </w:r>
    </w:p>
  </w:footnote>
  <w:footnote w:id="64">
    <w:p w14:paraId="448C1A1F" w14:textId="77777777" w:rsidR="0018425E" w:rsidRPr="00556DE0" w:rsidRDefault="0018425E" w:rsidP="00095EA1">
      <w:pPr>
        <w:pStyle w:val="FootnoteText"/>
        <w:ind w:right="1444"/>
        <w:jc w:val="both"/>
        <w:rPr>
          <w:rFonts w:ascii="Verdana" w:hAnsi="Verdana"/>
          <w:sz w:val="16"/>
          <w:szCs w:val="16"/>
          <w:lang w:val="es-CR"/>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lang w:val="es-CR"/>
        </w:rPr>
        <w:tab/>
        <w:t xml:space="preserve">No se indicó siguiera en cuánto tiempo se tiene previsto la localización de “más testigos” y recepción de sus declaraciones testimoniales adicionales, ni cuándo se va a efectivamente efectuar la “mesa de trabajo” que </w:t>
      </w:r>
      <w:r w:rsidRPr="00556DE0">
        <w:rPr>
          <w:rFonts w:ascii="Verdana" w:hAnsi="Verdana"/>
          <w:sz w:val="16"/>
          <w:szCs w:val="16"/>
        </w:rPr>
        <w:t>“se programó […] con la Unidad de Análisis del [Ministerio Público], a fin de recabar información acerca de la estructura de la Policía Nacional que operaba en el año 1.</w:t>
      </w:r>
      <w:r w:rsidRPr="00556DE0">
        <w:rPr>
          <w:rFonts w:ascii="Verdana" w:hAnsi="Verdana"/>
          <w:sz w:val="16"/>
          <w:szCs w:val="16"/>
          <w:lang w:val="es-CR"/>
        </w:rPr>
        <w:t>980</w:t>
      </w:r>
      <w:r w:rsidRPr="00556DE0">
        <w:rPr>
          <w:rFonts w:ascii="Verdana" w:hAnsi="Verdana"/>
          <w:sz w:val="16"/>
          <w:szCs w:val="16"/>
        </w:rPr>
        <w:t>”.</w:t>
      </w:r>
    </w:p>
  </w:footnote>
  <w:footnote w:id="65">
    <w:p w14:paraId="0CAFE1C4" w14:textId="68164372" w:rsidR="0018425E" w:rsidRPr="00556DE0" w:rsidRDefault="0018425E" w:rsidP="002A579B">
      <w:pPr>
        <w:pStyle w:val="FootnoteText"/>
        <w:ind w:right="1444"/>
        <w:jc w:val="both"/>
        <w:rPr>
          <w:rFonts w:ascii="Verdana" w:hAnsi="Verdana"/>
          <w:sz w:val="16"/>
          <w:szCs w:val="16"/>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r>
      <w:r w:rsidRPr="00556DE0">
        <w:rPr>
          <w:rFonts w:ascii="Verdana" w:hAnsi="Verdana"/>
          <w:i/>
          <w:sz w:val="16"/>
          <w:szCs w:val="16"/>
        </w:rPr>
        <w:t xml:space="preserve">Cfr. </w:t>
      </w:r>
      <w:r w:rsidRPr="00556DE0">
        <w:rPr>
          <w:rStyle w:val="Strong"/>
          <w:rFonts w:ascii="Verdana" w:hAnsi="Verdana"/>
          <w:b w:val="0"/>
          <w:i/>
          <w:color w:val="000000"/>
          <w:sz w:val="16"/>
          <w:szCs w:val="16"/>
          <w:shd w:val="clear" w:color="auto" w:fill="FFFFFF"/>
        </w:rPr>
        <w:t>Caso Bámaca Velásquez Vs. Guatemala. Fondo.</w:t>
      </w:r>
      <w:r w:rsidRPr="00556DE0">
        <w:rPr>
          <w:rStyle w:val="Strong"/>
          <w:rFonts w:ascii="Verdana" w:hAnsi="Verdana"/>
          <w:b w:val="0"/>
          <w:color w:val="000000"/>
          <w:sz w:val="16"/>
          <w:szCs w:val="16"/>
          <w:shd w:val="clear" w:color="auto" w:fill="FFFFFF"/>
        </w:rPr>
        <w:t xml:space="preserve"> Sentencia de 25 de noviembre de 2000. Serie C No. 70, párrs. 85 y 121 literal m). </w:t>
      </w:r>
    </w:p>
  </w:footnote>
  <w:footnote w:id="66">
    <w:p w14:paraId="7A34092C" w14:textId="5C6C73F0" w:rsidR="0018425E" w:rsidRPr="00556DE0" w:rsidRDefault="0018425E" w:rsidP="00D111E7">
      <w:pPr>
        <w:pStyle w:val="FootnoteText"/>
        <w:ind w:right="1444"/>
        <w:jc w:val="both"/>
        <w:rPr>
          <w:rFonts w:ascii="Verdana" w:hAnsi="Verdana"/>
          <w:sz w:val="16"/>
          <w:szCs w:val="16"/>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r>
      <w:r w:rsidRPr="00556DE0">
        <w:rPr>
          <w:rFonts w:ascii="Verdana" w:hAnsi="Verdana"/>
          <w:i/>
          <w:sz w:val="16"/>
          <w:szCs w:val="16"/>
        </w:rPr>
        <w:t xml:space="preserve">Cfr. </w:t>
      </w:r>
      <w:r w:rsidRPr="00556DE0">
        <w:rPr>
          <w:rStyle w:val="Strong"/>
          <w:rFonts w:ascii="Verdana" w:hAnsi="Verdana"/>
          <w:b w:val="0"/>
          <w:i/>
          <w:color w:val="000000"/>
          <w:sz w:val="16"/>
          <w:szCs w:val="16"/>
          <w:shd w:val="clear" w:color="auto" w:fill="FFFFFF"/>
        </w:rPr>
        <w:t>Caso Bámaca Velásquez Vs. Guatemala. Fondo, supra</w:t>
      </w:r>
      <w:r w:rsidRPr="00556DE0">
        <w:rPr>
          <w:rStyle w:val="Strong"/>
          <w:rFonts w:ascii="Verdana" w:hAnsi="Verdana"/>
          <w:b w:val="0"/>
          <w:color w:val="000000"/>
          <w:sz w:val="16"/>
          <w:szCs w:val="16"/>
          <w:shd w:val="clear" w:color="auto" w:fill="FFFFFF"/>
        </w:rPr>
        <w:t>, párrs. 85.</w:t>
      </w:r>
    </w:p>
  </w:footnote>
  <w:footnote w:id="67">
    <w:p w14:paraId="128A5B30" w14:textId="214CBE0D" w:rsidR="0018425E" w:rsidRPr="00556DE0" w:rsidRDefault="0018425E" w:rsidP="00F87BE3">
      <w:pPr>
        <w:pStyle w:val="FootnoteText"/>
        <w:ind w:right="1444"/>
        <w:jc w:val="both"/>
        <w:rPr>
          <w:rFonts w:ascii="Verdana" w:hAnsi="Verdana"/>
          <w:sz w:val="16"/>
          <w:szCs w:val="16"/>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r>
      <w:r w:rsidRPr="00556DE0">
        <w:rPr>
          <w:rFonts w:ascii="Verdana" w:hAnsi="Verdana"/>
          <w:i/>
          <w:sz w:val="16"/>
          <w:szCs w:val="16"/>
        </w:rPr>
        <w:t xml:space="preserve">Cfr. </w:t>
      </w:r>
      <w:r w:rsidRPr="00556DE0">
        <w:rPr>
          <w:rStyle w:val="Strong"/>
          <w:rFonts w:ascii="Verdana" w:hAnsi="Verdana"/>
          <w:b w:val="0"/>
          <w:i/>
          <w:color w:val="000000"/>
          <w:sz w:val="16"/>
          <w:szCs w:val="16"/>
          <w:shd w:val="clear" w:color="auto" w:fill="FFFFFF"/>
        </w:rPr>
        <w:t>Caso Bámaca Velásquez Vs. Guatemala. Supervisión de Cumplimiento de Sentencia.</w:t>
      </w:r>
      <w:r w:rsidRPr="00556DE0">
        <w:rPr>
          <w:rStyle w:val="Strong"/>
          <w:rFonts w:ascii="Verdana" w:hAnsi="Verdana"/>
          <w:b w:val="0"/>
          <w:color w:val="000000"/>
          <w:sz w:val="16"/>
          <w:szCs w:val="16"/>
          <w:shd w:val="clear" w:color="auto" w:fill="FFFFFF"/>
        </w:rPr>
        <w:t xml:space="preserve"> Resolución de la Presidenta de la Corte Interamericana de Derechos humanos de 11 de noviembre de 2008, Considerandos 35 y 36, y </w:t>
      </w:r>
      <w:r w:rsidRPr="00556DE0">
        <w:rPr>
          <w:rStyle w:val="Strong"/>
          <w:rFonts w:ascii="Verdana" w:hAnsi="Verdana"/>
          <w:b w:val="0"/>
          <w:i/>
          <w:color w:val="000000"/>
          <w:sz w:val="16"/>
          <w:szCs w:val="16"/>
          <w:shd w:val="clear" w:color="auto" w:fill="FFFFFF"/>
        </w:rPr>
        <w:t>Caso Bámaca Velásquez Vs. Guatemala. Supervisión de Cumplimiento de Sentencia.</w:t>
      </w:r>
      <w:r w:rsidRPr="00556DE0">
        <w:rPr>
          <w:rStyle w:val="Strong"/>
          <w:rFonts w:ascii="Verdana" w:hAnsi="Verdana"/>
          <w:b w:val="0"/>
          <w:color w:val="000000"/>
          <w:sz w:val="16"/>
          <w:szCs w:val="16"/>
          <w:shd w:val="clear" w:color="auto" w:fill="FFFFFF"/>
        </w:rPr>
        <w:t xml:space="preserve"> Resolución de la Corte Interamericana de Derechos Humanos 18 de noviembre de 2010, Considerandos 9 y 18.</w:t>
      </w:r>
    </w:p>
  </w:footnote>
  <w:footnote w:id="68">
    <w:p w14:paraId="35CFFA99" w14:textId="68C23B5A" w:rsidR="0018425E" w:rsidRPr="00556DE0" w:rsidRDefault="0018425E" w:rsidP="004251DF">
      <w:pPr>
        <w:pStyle w:val="FootnoteText"/>
        <w:ind w:right="1444"/>
        <w:jc w:val="both"/>
        <w:rPr>
          <w:rFonts w:ascii="Verdana" w:hAnsi="Verdana"/>
          <w:sz w:val="16"/>
          <w:szCs w:val="16"/>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r>
      <w:r w:rsidRPr="00556DE0">
        <w:rPr>
          <w:rFonts w:ascii="Verdana" w:hAnsi="Verdana"/>
          <w:i/>
          <w:sz w:val="16"/>
          <w:szCs w:val="16"/>
        </w:rPr>
        <w:t xml:space="preserve">Cfr. </w:t>
      </w:r>
      <w:r w:rsidRPr="00556DE0">
        <w:rPr>
          <w:rStyle w:val="Strong"/>
          <w:rFonts w:ascii="Verdana" w:hAnsi="Verdana"/>
          <w:b w:val="0"/>
          <w:i/>
          <w:color w:val="000000"/>
          <w:sz w:val="16"/>
          <w:szCs w:val="16"/>
          <w:shd w:val="clear" w:color="auto" w:fill="FFFFFF"/>
        </w:rPr>
        <w:t>Caso Bámaca Velásquez Vs. Guatemala. Supervisión de Cumplimiento de Sentencia.</w:t>
      </w:r>
      <w:r w:rsidRPr="00556DE0">
        <w:rPr>
          <w:rStyle w:val="Strong"/>
          <w:rFonts w:ascii="Verdana" w:hAnsi="Verdana"/>
          <w:b w:val="0"/>
          <w:color w:val="000000"/>
          <w:sz w:val="16"/>
          <w:szCs w:val="16"/>
          <w:shd w:val="clear" w:color="auto" w:fill="FFFFFF"/>
        </w:rPr>
        <w:t xml:space="preserve"> Resolución de la Presidenta de la Corte Interamericana de Derechos humanos de 11 de noviembre de 2008, Considerando 35.</w:t>
      </w:r>
    </w:p>
  </w:footnote>
  <w:footnote w:id="69">
    <w:p w14:paraId="745DAF1D" w14:textId="2E3F5EDF" w:rsidR="0018425E" w:rsidRPr="00556DE0" w:rsidRDefault="0018425E" w:rsidP="004251DF">
      <w:pPr>
        <w:pStyle w:val="FootnoteText"/>
        <w:ind w:right="1444"/>
        <w:jc w:val="both"/>
        <w:rPr>
          <w:rFonts w:ascii="Verdana" w:hAnsi="Verdana"/>
          <w:sz w:val="16"/>
          <w:szCs w:val="16"/>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r>
      <w:r w:rsidRPr="00556DE0">
        <w:rPr>
          <w:rFonts w:ascii="Verdana" w:hAnsi="Verdana"/>
          <w:i/>
          <w:sz w:val="16"/>
          <w:szCs w:val="16"/>
        </w:rPr>
        <w:t xml:space="preserve">Cfr. </w:t>
      </w:r>
      <w:r w:rsidRPr="00556DE0">
        <w:rPr>
          <w:rStyle w:val="Strong"/>
          <w:rFonts w:ascii="Verdana" w:hAnsi="Verdana"/>
          <w:b w:val="0"/>
          <w:i/>
          <w:color w:val="000000"/>
          <w:sz w:val="16"/>
          <w:szCs w:val="16"/>
          <w:shd w:val="clear" w:color="auto" w:fill="FFFFFF"/>
        </w:rPr>
        <w:t>Caso Bámaca Velásquez Vs. Guatemala. Supervisión de Cumplimiento de Sentencia.</w:t>
      </w:r>
      <w:r w:rsidRPr="00556DE0">
        <w:rPr>
          <w:rStyle w:val="Strong"/>
          <w:rFonts w:ascii="Verdana" w:hAnsi="Verdana"/>
          <w:b w:val="0"/>
          <w:color w:val="000000"/>
          <w:sz w:val="16"/>
          <w:szCs w:val="16"/>
          <w:shd w:val="clear" w:color="auto" w:fill="FFFFFF"/>
        </w:rPr>
        <w:t xml:space="preserve"> Resolución de la Corte Interamericana de Derechos Humanos de 27 de enero de 2009, Considerando 11.</w:t>
      </w:r>
    </w:p>
  </w:footnote>
  <w:footnote w:id="70">
    <w:p w14:paraId="43783FB3" w14:textId="5E961ED7" w:rsidR="0018425E" w:rsidRPr="00556DE0" w:rsidRDefault="0018425E" w:rsidP="00D62C3B">
      <w:pPr>
        <w:pStyle w:val="FootnoteText"/>
        <w:ind w:right="1444"/>
        <w:jc w:val="both"/>
        <w:rPr>
          <w:rFonts w:ascii="Verdana" w:hAnsi="Verdana"/>
          <w:sz w:val="16"/>
          <w:szCs w:val="16"/>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r>
      <w:r w:rsidRPr="00556DE0">
        <w:rPr>
          <w:rStyle w:val="Strong"/>
          <w:rFonts w:ascii="Verdana" w:hAnsi="Verdana"/>
          <w:b w:val="0"/>
          <w:i/>
          <w:color w:val="000000"/>
          <w:sz w:val="16"/>
          <w:szCs w:val="16"/>
          <w:shd w:val="clear" w:color="auto" w:fill="FFFFFF"/>
        </w:rPr>
        <w:t>Caso Bámaca Velásquez Vs. Guatemala. Supervisión de Cumplimiento de Sentencia.</w:t>
      </w:r>
      <w:r w:rsidRPr="00556DE0">
        <w:rPr>
          <w:rStyle w:val="Strong"/>
          <w:rFonts w:ascii="Verdana" w:hAnsi="Verdana"/>
          <w:b w:val="0"/>
          <w:color w:val="000000"/>
          <w:sz w:val="16"/>
          <w:szCs w:val="16"/>
          <w:shd w:val="clear" w:color="auto" w:fill="FFFFFF"/>
        </w:rPr>
        <w:t xml:space="preserve"> Resolución de la Corte Interamericana de Derechos Humanos 18 de noviembre de 2010, Considerandos 9, 11 12 y 13.</w:t>
      </w:r>
    </w:p>
  </w:footnote>
  <w:footnote w:id="71">
    <w:p w14:paraId="275A7C37" w14:textId="7A43E863" w:rsidR="0018425E" w:rsidRPr="00556DE0" w:rsidRDefault="0018425E" w:rsidP="001F0829">
      <w:pPr>
        <w:pStyle w:val="FootnoteText"/>
        <w:ind w:right="1444"/>
        <w:jc w:val="both"/>
        <w:rPr>
          <w:rFonts w:ascii="Verdana" w:hAnsi="Verdana"/>
          <w:sz w:val="16"/>
          <w:szCs w:val="16"/>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r>
      <w:r w:rsidRPr="00556DE0">
        <w:rPr>
          <w:rStyle w:val="Strong"/>
          <w:rFonts w:ascii="Verdana" w:hAnsi="Verdana"/>
          <w:b w:val="0"/>
          <w:i/>
          <w:color w:val="000000"/>
          <w:sz w:val="16"/>
          <w:szCs w:val="16"/>
          <w:shd w:val="clear" w:color="auto" w:fill="FFFFFF"/>
        </w:rPr>
        <w:t>Caso Bámaca Velásquez Vs. Guatemala. Supervisión de Cumplimiento de Sentencia.</w:t>
      </w:r>
      <w:r w:rsidRPr="00556DE0">
        <w:rPr>
          <w:rStyle w:val="Strong"/>
          <w:rFonts w:ascii="Verdana" w:hAnsi="Verdana"/>
          <w:b w:val="0"/>
          <w:color w:val="000000"/>
          <w:sz w:val="16"/>
          <w:szCs w:val="16"/>
          <w:shd w:val="clear" w:color="auto" w:fill="FFFFFF"/>
        </w:rPr>
        <w:t xml:space="preserve"> Resolución de la Corte Interamericana de Derechos Humanos 18 de noviembre de 2010, Considerandos 10, 17, 36, 41 a 52.</w:t>
      </w:r>
    </w:p>
  </w:footnote>
  <w:footnote w:id="72">
    <w:p w14:paraId="6BBAB367" w14:textId="6FAD61E6" w:rsidR="0018425E" w:rsidRPr="00556DE0" w:rsidRDefault="0018425E" w:rsidP="00F57746">
      <w:pPr>
        <w:pStyle w:val="FootnoteText"/>
        <w:ind w:right="1444"/>
        <w:jc w:val="both"/>
        <w:rPr>
          <w:rFonts w:ascii="Verdana" w:hAnsi="Verdana"/>
          <w:sz w:val="16"/>
          <w:szCs w:val="16"/>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t xml:space="preserve">Al respecto, la Corte señaló en el Considerando 58 de dicha Resolución que “es necesario proteger a los fiscales y a toda autoridad pública que impulse la investigación en el presente caso respecto a toda amenaza, hostigamiento o intimidación”. Además, indicó que “la protección contra intimidaciones implica velar porque haya continuidad en las tareas de impulso a las investigaciones, de tal forma que aquellos funcionarios comprometidos con esta tarea no sean fácilmente removidos o trasladados”. Concluyó señalando que “[e]sta consideración es inherente a lo dispuesto por la Corte en el sentido de remover todo obstáculo, tanto legal como de facto, que pueda generar impunidad en el presente caso”. </w:t>
      </w:r>
    </w:p>
  </w:footnote>
  <w:footnote w:id="73">
    <w:p w14:paraId="74815F8A" w14:textId="5AD7B4D5" w:rsidR="0018425E" w:rsidRPr="00556DE0" w:rsidRDefault="0018425E" w:rsidP="00F57746">
      <w:pPr>
        <w:pStyle w:val="FootnoteText"/>
        <w:ind w:right="1444"/>
        <w:jc w:val="both"/>
        <w:rPr>
          <w:rFonts w:ascii="Verdana" w:hAnsi="Verdana"/>
          <w:sz w:val="16"/>
          <w:szCs w:val="16"/>
          <w:lang w:val="es-CR"/>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t xml:space="preserve">El </w:t>
      </w:r>
      <w:r w:rsidRPr="00556DE0">
        <w:rPr>
          <w:rFonts w:ascii="Verdana" w:hAnsi="Verdana"/>
          <w:sz w:val="16"/>
          <w:szCs w:val="16"/>
          <w:lang w:val="es-CR"/>
        </w:rPr>
        <w:t xml:space="preserve">Ministerio </w:t>
      </w:r>
      <w:r w:rsidRPr="00556DE0">
        <w:rPr>
          <w:rFonts w:ascii="Verdana" w:hAnsi="Verdana"/>
          <w:bCs/>
          <w:sz w:val="16"/>
          <w:szCs w:val="16"/>
        </w:rPr>
        <w:t>Público</w:t>
      </w:r>
      <w:r w:rsidRPr="00556DE0">
        <w:rPr>
          <w:rFonts w:ascii="Verdana" w:hAnsi="Verdana"/>
          <w:sz w:val="16"/>
          <w:szCs w:val="16"/>
          <w:lang w:val="es-CR"/>
        </w:rPr>
        <w:t xml:space="preserve"> señaló los nombres de las trece personas imputadas. </w:t>
      </w:r>
    </w:p>
  </w:footnote>
  <w:footnote w:id="74">
    <w:p w14:paraId="223B2B58" w14:textId="265A9474" w:rsidR="0018425E" w:rsidRPr="00556DE0" w:rsidRDefault="0018425E" w:rsidP="00F57746">
      <w:pPr>
        <w:pStyle w:val="FootnoteText"/>
        <w:ind w:right="1444"/>
        <w:jc w:val="both"/>
        <w:rPr>
          <w:rFonts w:ascii="Verdana" w:hAnsi="Verdana"/>
          <w:sz w:val="16"/>
          <w:szCs w:val="16"/>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t xml:space="preserve">En dicho dictamen, se concluye “que existen sólidas evidencias de responsabilidad en este hecho en la mayoría de Oficiales y Especialistas mencionados en  [la] denuncia […] excepto en el caso del General Otto Pérez Molina por no estar en la cadena de mando de los presuntos responsables  y por no haberse dado los acontecimientos delictuosos dentro de su campo de responsabilidad funcional […] tampoco existiría responsabilidad alguna en el caso de la obediencia debida del Capitán Cesar Corzantes Alvarado”. </w:t>
      </w:r>
      <w:r w:rsidRPr="00556DE0">
        <w:rPr>
          <w:rFonts w:ascii="Verdana" w:hAnsi="Verdana"/>
          <w:i/>
          <w:sz w:val="16"/>
          <w:szCs w:val="16"/>
        </w:rPr>
        <w:t>Cfr.</w:t>
      </w:r>
      <w:r w:rsidRPr="00556DE0">
        <w:rPr>
          <w:rFonts w:ascii="Verdana" w:hAnsi="Verdana"/>
          <w:sz w:val="16"/>
          <w:szCs w:val="16"/>
        </w:rPr>
        <w:t xml:space="preserve"> Opinión Técnica elaborada por Manuel Vásquez de 22 de junio de 2011 (anexo al informe estatal de 26 de marzo de 2012). Los representantes, en reiteradas oportunidades, señalaron que existieron irregularidades en la desestimación de la denuncia en contra de ambos “que afectaron esta decisión”, con base en defectos en la notificación para la celebración de dicha audiencia.</w:t>
      </w:r>
      <w:r w:rsidRPr="00556DE0">
        <w:rPr>
          <w:rFonts w:ascii="Verdana" w:hAnsi="Verdana"/>
          <w:b/>
          <w:sz w:val="16"/>
          <w:szCs w:val="16"/>
        </w:rPr>
        <w:t xml:space="preserve"> </w:t>
      </w:r>
      <w:r w:rsidRPr="00556DE0">
        <w:rPr>
          <w:rFonts w:ascii="Verdana" w:hAnsi="Verdana"/>
          <w:sz w:val="16"/>
          <w:szCs w:val="16"/>
        </w:rPr>
        <w:t xml:space="preserve">También señalaron que la jueza que habría dictado esa decisión “está siendo investigada por la presunta comisión de los delitos de lavado de dinero u otros activos; enriquecimiento ilícito, e incumplimiento del deber de presentar declaración jurada patrimonial”. </w:t>
      </w:r>
    </w:p>
  </w:footnote>
  <w:footnote w:id="75">
    <w:p w14:paraId="16553B04" w14:textId="1541EBFE" w:rsidR="0018425E" w:rsidRPr="00556DE0" w:rsidRDefault="0018425E" w:rsidP="000B5057">
      <w:pPr>
        <w:pStyle w:val="FootnoteText"/>
        <w:ind w:right="1444"/>
        <w:jc w:val="both"/>
        <w:rPr>
          <w:rFonts w:ascii="Verdana" w:hAnsi="Verdana"/>
          <w:sz w:val="16"/>
          <w:szCs w:val="16"/>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t xml:space="preserve">Conforme al Informe del Ministerio Público de mayo de 2014, en este caso se interpusieron los siguientes recursos judiciales: a) amparo N° 8-2010 por el señor Julio Alpírez el que se acumuló con los amparos N° 9-2010; 10-2010; 11-2010; 12-2010, y 15-2010; b) amparo N° 24-2010 promovido por el señor Francisco Flores; amparo N° 25-2010 promovido por el señor Julio Contreras; c) amparo N° 26-2010 promovido por el señor Julio Soto; d) amparo N° 4994-2011 promovido por el señor Julio Soto; e) amparo N° 1018-2012-00066 promovido por la señora Jennifer Harbury; f) amparos N° 4904-2011 y 4937-2011 (acumulados) promovidos por los señores Juan Soto y Julio Alpírez. </w:t>
      </w:r>
    </w:p>
  </w:footnote>
  <w:footnote w:id="76">
    <w:p w14:paraId="518A4CB2" w14:textId="68407433" w:rsidR="0018425E" w:rsidRPr="00556DE0" w:rsidRDefault="0018425E" w:rsidP="000B5057">
      <w:pPr>
        <w:pStyle w:val="FootnoteText"/>
        <w:ind w:right="1444"/>
        <w:jc w:val="both"/>
        <w:rPr>
          <w:rFonts w:ascii="Verdana" w:hAnsi="Verdana"/>
          <w:sz w:val="16"/>
          <w:szCs w:val="16"/>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lang w:val="es-CR"/>
        </w:rPr>
        <w:t>Los representantes afirmaron que “Del informe presentado por la Fiscalía General se desprende que entre los años 2010 y 2011 se presentaron al menos 15 acciones de amparo en el marco de los dos procesos penales abiertos por la desaparición forzada de Efraín Bámaca”.</w:t>
      </w:r>
    </w:p>
  </w:footnote>
  <w:footnote w:id="77">
    <w:p w14:paraId="0EC42FB9" w14:textId="20C39A39" w:rsidR="0018425E" w:rsidRPr="00556DE0" w:rsidRDefault="0018425E" w:rsidP="008D354C">
      <w:pPr>
        <w:pStyle w:val="FootnoteText"/>
        <w:ind w:right="1440"/>
        <w:jc w:val="both"/>
        <w:rPr>
          <w:rFonts w:ascii="Verdana" w:hAnsi="Verdana"/>
          <w:sz w:val="16"/>
          <w:szCs w:val="16"/>
          <w:lang w:val="es-CR"/>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lang w:val="es-CR"/>
        </w:rPr>
        <w:tab/>
        <w:t xml:space="preserve">En dicha resolución se constató que el Juzgado Tercero de Primera Instancia Penal de Sentencia condenó el 12 de febrero de 1993 al señor Noel de Jesús Beteta a 25 años de prisión por el delito de asesinato en perjuicio de Myrna Mack Chang; y, por otro lado, que la Cámara Penal de la Corte Suprema de Justicia de Guatemala en sentencia de 14 de enero de 2004 emitida por la Sala Cuarta de Apelaciones determinó que el señor Juan Valencia Osorio era responsable del delito de asesinato cometido en contra de la vida e integridad física de Myrna Mack Chang </w:t>
      </w:r>
      <w:r>
        <w:rPr>
          <w:rFonts w:ascii="Verdana" w:hAnsi="Verdana"/>
          <w:sz w:val="16"/>
          <w:szCs w:val="16"/>
          <w:lang w:val="es-CR"/>
        </w:rPr>
        <w:t>en calidad de autor intelectual</w:t>
      </w:r>
      <w:r w:rsidRPr="00556DE0">
        <w:rPr>
          <w:rFonts w:ascii="Verdana" w:hAnsi="Verdana"/>
          <w:sz w:val="16"/>
          <w:szCs w:val="16"/>
          <w:lang w:val="es-CR"/>
        </w:rPr>
        <w:t xml:space="preserve"> </w:t>
      </w:r>
      <w:r>
        <w:rPr>
          <w:rFonts w:ascii="Verdana" w:hAnsi="Verdana"/>
          <w:sz w:val="16"/>
          <w:szCs w:val="16"/>
          <w:lang w:val="es-CR"/>
        </w:rPr>
        <w:t xml:space="preserve">y </w:t>
      </w:r>
      <w:r w:rsidRPr="00556DE0">
        <w:rPr>
          <w:rFonts w:ascii="Verdana" w:hAnsi="Verdana"/>
          <w:sz w:val="16"/>
          <w:szCs w:val="16"/>
          <w:lang w:val="es-CR"/>
        </w:rPr>
        <w:t>lo condenó a treinta años de prisión y la suspensión de sus derechos políticos mientras dure la condena.</w:t>
      </w:r>
      <w:r w:rsidRPr="00556DE0">
        <w:rPr>
          <w:rFonts w:ascii="Verdana" w:hAnsi="Verdana"/>
          <w:i/>
          <w:sz w:val="16"/>
          <w:szCs w:val="16"/>
        </w:rPr>
        <w:t xml:space="preserve"> Cfr. Caso Myrna Mack Chang Vs. Guatemala. Supervisión de Cumplimiento de Sentencia</w:t>
      </w:r>
      <w:r w:rsidRPr="00556DE0">
        <w:rPr>
          <w:rFonts w:ascii="Verdana" w:hAnsi="Verdana"/>
          <w:sz w:val="16"/>
          <w:szCs w:val="16"/>
        </w:rPr>
        <w:t>. Resolución de la Corte de 26 de noviembre de 2007, Considerandos 6 y 7.</w:t>
      </w:r>
    </w:p>
  </w:footnote>
  <w:footnote w:id="78">
    <w:p w14:paraId="17678CDF" w14:textId="72E4EE11" w:rsidR="0018425E" w:rsidRPr="00556DE0" w:rsidRDefault="0018425E" w:rsidP="008D354C">
      <w:pPr>
        <w:pStyle w:val="FootnoteText"/>
        <w:ind w:right="1444"/>
        <w:jc w:val="both"/>
        <w:rPr>
          <w:rFonts w:ascii="Verdana" w:hAnsi="Verdana"/>
          <w:sz w:val="16"/>
          <w:szCs w:val="16"/>
        </w:rPr>
      </w:pPr>
      <w:r w:rsidRPr="00556DE0">
        <w:rPr>
          <w:rStyle w:val="FootnoteReference"/>
          <w:rFonts w:ascii="Verdana" w:hAnsi="Verdana"/>
          <w:sz w:val="16"/>
          <w:szCs w:val="16"/>
        </w:rPr>
        <w:footnoteRef/>
      </w:r>
      <w:r w:rsidRPr="00556DE0">
        <w:rPr>
          <w:rFonts w:ascii="Verdana" w:hAnsi="Verdana"/>
          <w:sz w:val="16"/>
          <w:szCs w:val="16"/>
          <w:lang w:val="es-CR"/>
        </w:rPr>
        <w:t xml:space="preserve"> </w:t>
      </w:r>
      <w:r w:rsidRPr="00556DE0">
        <w:rPr>
          <w:rFonts w:ascii="Verdana" w:hAnsi="Verdana"/>
          <w:sz w:val="16"/>
          <w:szCs w:val="16"/>
          <w:lang w:val="es-CR"/>
        </w:rPr>
        <w:tab/>
      </w:r>
      <w:r w:rsidRPr="00556DE0">
        <w:rPr>
          <w:rFonts w:ascii="Verdana" w:hAnsi="Verdana"/>
          <w:i/>
          <w:sz w:val="16"/>
          <w:szCs w:val="16"/>
          <w:lang w:val="es-CR"/>
        </w:rPr>
        <w:t xml:space="preserve">Cfr. Caso Myrna Mack Chang Vs. Guatemala. </w:t>
      </w:r>
      <w:r w:rsidRPr="00556DE0">
        <w:rPr>
          <w:rFonts w:ascii="Verdana" w:hAnsi="Verdana"/>
          <w:i/>
          <w:sz w:val="16"/>
          <w:szCs w:val="16"/>
        </w:rPr>
        <w:t>Supervisión de Cumplimiento de Sentencia</w:t>
      </w:r>
      <w:r w:rsidRPr="00556DE0">
        <w:rPr>
          <w:rFonts w:ascii="Verdana" w:hAnsi="Verdana"/>
          <w:sz w:val="16"/>
          <w:szCs w:val="16"/>
        </w:rPr>
        <w:t>. Resolución de la Corte Interamericana de Derechos Humanos de 16 de noviembre de 2009, Considerandos 8 a 10 y punto declarativo primero.</w:t>
      </w:r>
    </w:p>
  </w:footnote>
  <w:footnote w:id="79">
    <w:p w14:paraId="7A94177B" w14:textId="77777777" w:rsidR="0018425E" w:rsidRPr="00556DE0" w:rsidRDefault="0018425E" w:rsidP="008D354C">
      <w:pPr>
        <w:pStyle w:val="FootnoteText"/>
        <w:ind w:right="1440"/>
        <w:jc w:val="both"/>
        <w:rPr>
          <w:rFonts w:ascii="Verdana" w:hAnsi="Verdana"/>
          <w:sz w:val="16"/>
          <w:szCs w:val="16"/>
        </w:rPr>
      </w:pPr>
      <w:r w:rsidRPr="00556DE0">
        <w:rPr>
          <w:rStyle w:val="FootnoteReference"/>
          <w:rFonts w:ascii="Verdana" w:hAnsi="Verdana"/>
          <w:sz w:val="16"/>
          <w:szCs w:val="16"/>
        </w:rPr>
        <w:footnoteRef/>
      </w:r>
      <w:r w:rsidRPr="00556DE0">
        <w:rPr>
          <w:rFonts w:ascii="Verdana" w:hAnsi="Verdana"/>
          <w:sz w:val="16"/>
          <w:szCs w:val="16"/>
          <w:lang w:val="es-CR"/>
        </w:rPr>
        <w:t xml:space="preserve"> </w:t>
      </w:r>
      <w:r w:rsidRPr="00556DE0">
        <w:rPr>
          <w:rFonts w:ascii="Verdana" w:hAnsi="Verdana"/>
          <w:sz w:val="16"/>
          <w:szCs w:val="16"/>
          <w:lang w:val="es-CR"/>
        </w:rPr>
        <w:tab/>
      </w:r>
      <w:r w:rsidRPr="00556DE0">
        <w:rPr>
          <w:rFonts w:ascii="Verdana" w:hAnsi="Verdana"/>
          <w:i/>
          <w:sz w:val="16"/>
          <w:szCs w:val="16"/>
          <w:lang w:val="es-CR"/>
        </w:rPr>
        <w:t xml:space="preserve">Cfr. Caso Myrna Mack Chang Vs. Guatemala. </w:t>
      </w:r>
      <w:r w:rsidRPr="00556DE0">
        <w:rPr>
          <w:rFonts w:ascii="Verdana" w:hAnsi="Verdana"/>
          <w:i/>
          <w:sz w:val="16"/>
          <w:szCs w:val="16"/>
        </w:rPr>
        <w:t>Supervisión de Cumplimiento de Sentencia</w:t>
      </w:r>
      <w:r w:rsidRPr="00556DE0">
        <w:rPr>
          <w:rFonts w:ascii="Verdana" w:hAnsi="Verdana"/>
          <w:sz w:val="16"/>
          <w:szCs w:val="16"/>
        </w:rPr>
        <w:t xml:space="preserve">. Resolución de la Corte de 26 de noviembre de 2007, Considerandos 16 y 17, y </w:t>
      </w:r>
      <w:r w:rsidRPr="00556DE0">
        <w:rPr>
          <w:rFonts w:ascii="Verdana" w:hAnsi="Verdana"/>
          <w:i/>
          <w:sz w:val="16"/>
          <w:szCs w:val="16"/>
        </w:rPr>
        <w:t>Caso Myrna Mack Chang Vs. Guatemala. Supervisión de Cumplimiento de Sentencia</w:t>
      </w:r>
      <w:r w:rsidRPr="00556DE0">
        <w:rPr>
          <w:rFonts w:ascii="Verdana" w:hAnsi="Verdana"/>
          <w:sz w:val="16"/>
          <w:szCs w:val="16"/>
        </w:rPr>
        <w:t xml:space="preserve">. Resolución de la Corte Interamericana de Derechos Humanos de 16 de noviembre de 2009, Considerandos 12 y 13. </w:t>
      </w:r>
    </w:p>
  </w:footnote>
  <w:footnote w:id="80">
    <w:p w14:paraId="6F9D4F55" w14:textId="338D7003" w:rsidR="0018425E" w:rsidRPr="00556DE0" w:rsidRDefault="0018425E" w:rsidP="00221FD0">
      <w:pPr>
        <w:pStyle w:val="FootnoteText"/>
        <w:ind w:right="1444"/>
        <w:jc w:val="both"/>
        <w:rPr>
          <w:rFonts w:ascii="Verdana" w:hAnsi="Verdana"/>
          <w:sz w:val="16"/>
          <w:szCs w:val="16"/>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t>Donde fueron atendidos por la esposa del señor Juan Valencia Osorio, quien les indicó que no sabe nada de él desde el año 2004.</w:t>
      </w:r>
    </w:p>
  </w:footnote>
  <w:footnote w:id="81">
    <w:p w14:paraId="418A27CE" w14:textId="2DF0BC9F" w:rsidR="0018425E" w:rsidRPr="00397A65" w:rsidRDefault="0018425E" w:rsidP="00607AEE">
      <w:pPr>
        <w:pStyle w:val="FootnoteText"/>
        <w:ind w:right="1444"/>
        <w:jc w:val="both"/>
        <w:rPr>
          <w:rFonts w:ascii="Verdana" w:hAnsi="Verdana"/>
          <w:sz w:val="16"/>
          <w:szCs w:val="16"/>
        </w:rPr>
      </w:pPr>
      <w:r w:rsidRPr="00397A65">
        <w:rPr>
          <w:rStyle w:val="FootnoteReference"/>
          <w:rFonts w:ascii="Verdana" w:hAnsi="Verdana"/>
          <w:sz w:val="16"/>
          <w:szCs w:val="16"/>
        </w:rPr>
        <w:footnoteRef/>
      </w:r>
      <w:r w:rsidRPr="00397A65">
        <w:rPr>
          <w:rFonts w:ascii="Verdana" w:hAnsi="Verdana"/>
          <w:sz w:val="16"/>
          <w:szCs w:val="16"/>
        </w:rPr>
        <w:t xml:space="preserve"> </w:t>
      </w:r>
      <w:r w:rsidRPr="00397A65">
        <w:rPr>
          <w:rFonts w:ascii="Verdana" w:hAnsi="Verdana"/>
          <w:sz w:val="16"/>
          <w:szCs w:val="16"/>
        </w:rPr>
        <w:tab/>
        <w:t>S</w:t>
      </w:r>
      <w:r w:rsidRPr="00397A65">
        <w:rPr>
          <w:rFonts w:ascii="Verdana" w:hAnsi="Verdana"/>
          <w:sz w:val="16"/>
          <w:szCs w:val="16"/>
          <w:lang w:val="es-CR"/>
        </w:rPr>
        <w:t>egún afirmaciones realizadas por el Estado en el marco de las medidas provisionales ordenadas en relación con el presente caso,</w:t>
      </w:r>
      <w:r w:rsidRPr="00397A65">
        <w:rPr>
          <w:rFonts w:ascii="Verdana" w:hAnsi="Verdana"/>
          <w:i/>
          <w:sz w:val="16"/>
          <w:szCs w:val="16"/>
        </w:rPr>
        <w:t xml:space="preserve"> </w:t>
      </w:r>
      <w:r w:rsidRPr="00397A65">
        <w:rPr>
          <w:rFonts w:ascii="Verdana" w:hAnsi="Verdana"/>
          <w:sz w:val="16"/>
          <w:szCs w:val="16"/>
          <w:lang w:val="es-CR"/>
        </w:rPr>
        <w:t xml:space="preserve">desde el 2012 el Ministerio Público “tuvo conocimiento de dónde se encontraba viviendo el sindicado”. </w:t>
      </w:r>
      <w:r w:rsidRPr="00397A65">
        <w:rPr>
          <w:rFonts w:ascii="Verdana" w:hAnsi="Verdana"/>
          <w:sz w:val="16"/>
          <w:szCs w:val="16"/>
        </w:rPr>
        <w:t>Al momento en que el Estado presentó esta información en el año 2013, indicó que el sindicado supuestamente se encontraría viviendo en El Salvador</w:t>
      </w:r>
      <w:r>
        <w:rPr>
          <w:rFonts w:ascii="Verdana" w:hAnsi="Verdana"/>
          <w:sz w:val="16"/>
          <w:szCs w:val="16"/>
        </w:rPr>
        <w:t xml:space="preserve"> </w:t>
      </w:r>
      <w:r w:rsidRPr="00397A65">
        <w:rPr>
          <w:rFonts w:ascii="Verdana" w:hAnsi="Verdana"/>
          <w:sz w:val="16"/>
          <w:szCs w:val="16"/>
          <w:lang w:val="es-CR"/>
        </w:rPr>
        <w:t>por lo cual se estaba “reactivando su localización a la Interpol”</w:t>
      </w:r>
      <w:r w:rsidRPr="00397A65">
        <w:rPr>
          <w:rFonts w:ascii="Verdana" w:hAnsi="Verdana"/>
          <w:sz w:val="16"/>
          <w:szCs w:val="16"/>
        </w:rPr>
        <w:t xml:space="preserve">. </w:t>
      </w:r>
      <w:r w:rsidRPr="00397A65">
        <w:rPr>
          <w:rFonts w:ascii="Verdana" w:hAnsi="Verdana"/>
          <w:sz w:val="16"/>
          <w:szCs w:val="16"/>
          <w:lang w:val="es-CR"/>
        </w:rPr>
        <w:t xml:space="preserve">Sobre este aspecto, el Estado no hizo referencia en los informes presentados en el marco de la supervisión de cumplimiento. </w:t>
      </w:r>
      <w:r w:rsidRPr="00397A65">
        <w:rPr>
          <w:rFonts w:ascii="Verdana" w:hAnsi="Verdana"/>
          <w:i/>
          <w:sz w:val="16"/>
          <w:szCs w:val="16"/>
        </w:rPr>
        <w:t xml:space="preserve">Cfr. </w:t>
      </w:r>
      <w:r w:rsidRPr="00397A65">
        <w:rPr>
          <w:rStyle w:val="Strong"/>
          <w:rFonts w:ascii="Verdana" w:hAnsi="Verdana"/>
          <w:b w:val="0"/>
          <w:i/>
          <w:color w:val="000000"/>
          <w:sz w:val="16"/>
          <w:szCs w:val="16"/>
          <w:shd w:val="clear" w:color="auto" w:fill="FFFFFF"/>
        </w:rPr>
        <w:t>Caso Mack Chang y otros Vs. Guatemala. Medidas Provisionales.</w:t>
      </w:r>
      <w:r w:rsidRPr="00397A65">
        <w:rPr>
          <w:rStyle w:val="Strong"/>
          <w:rFonts w:ascii="Verdana" w:hAnsi="Verdana"/>
          <w:b w:val="0"/>
          <w:color w:val="000000"/>
          <w:sz w:val="16"/>
          <w:szCs w:val="16"/>
          <w:shd w:val="clear" w:color="auto" w:fill="FFFFFF"/>
        </w:rPr>
        <w:t xml:space="preserve"> Resolución de la Corte Interamericana de Derechos Humanos de 14 de mayo de 2014, Considerando 13 d). </w:t>
      </w:r>
    </w:p>
  </w:footnote>
  <w:footnote w:id="82">
    <w:p w14:paraId="04C5508C" w14:textId="7E9D0520" w:rsidR="0018425E" w:rsidRPr="00556DE0" w:rsidRDefault="0018425E" w:rsidP="00104103">
      <w:pPr>
        <w:pStyle w:val="FootnoteText"/>
        <w:ind w:right="1444"/>
        <w:jc w:val="both"/>
        <w:rPr>
          <w:rFonts w:ascii="Verdana" w:hAnsi="Verdana"/>
          <w:sz w:val="16"/>
          <w:szCs w:val="16"/>
        </w:rPr>
      </w:pPr>
      <w:r w:rsidRPr="00556DE0">
        <w:rPr>
          <w:rStyle w:val="FootnoteReference"/>
          <w:rFonts w:ascii="Verdana" w:hAnsi="Verdana"/>
          <w:sz w:val="16"/>
          <w:szCs w:val="16"/>
        </w:rPr>
        <w:footnoteRef/>
      </w:r>
      <w:r w:rsidRPr="00556DE0">
        <w:rPr>
          <w:rFonts w:ascii="Verdana" w:hAnsi="Verdana"/>
          <w:sz w:val="16"/>
          <w:szCs w:val="16"/>
          <w:lang w:val="it-IT"/>
        </w:rPr>
        <w:t xml:space="preserve"> </w:t>
      </w:r>
      <w:r w:rsidRPr="00556DE0">
        <w:rPr>
          <w:rFonts w:ascii="Verdana" w:hAnsi="Verdana"/>
          <w:sz w:val="16"/>
          <w:szCs w:val="16"/>
          <w:lang w:val="it-IT"/>
        </w:rPr>
        <w:tab/>
      </w:r>
      <w:r w:rsidRPr="00556DE0">
        <w:rPr>
          <w:rFonts w:ascii="Verdana" w:hAnsi="Verdana"/>
          <w:sz w:val="16"/>
          <w:szCs w:val="16"/>
          <w:lang w:val="it-IT"/>
        </w:rPr>
        <w:t xml:space="preserve">Cfr. </w:t>
      </w:r>
      <w:r w:rsidRPr="00556DE0">
        <w:rPr>
          <w:rStyle w:val="Strong"/>
          <w:rFonts w:ascii="Verdana" w:hAnsi="Verdana"/>
          <w:b w:val="0"/>
          <w:i/>
          <w:color w:val="000000"/>
          <w:sz w:val="16"/>
          <w:szCs w:val="16"/>
          <w:shd w:val="clear" w:color="auto" w:fill="FFFFFF"/>
          <w:lang w:val="it-IT"/>
        </w:rPr>
        <w:t xml:space="preserve">Caso Maritza Urrutia Vs. </w:t>
      </w:r>
      <w:r w:rsidRPr="00556DE0">
        <w:rPr>
          <w:rStyle w:val="Strong"/>
          <w:rFonts w:ascii="Verdana" w:hAnsi="Verdana"/>
          <w:b w:val="0"/>
          <w:i/>
          <w:color w:val="000000"/>
          <w:sz w:val="16"/>
          <w:szCs w:val="16"/>
          <w:shd w:val="clear" w:color="auto" w:fill="FFFFFF"/>
          <w:lang w:val="es-CR"/>
        </w:rPr>
        <w:t xml:space="preserve">Guatemala. </w:t>
      </w:r>
      <w:r w:rsidRPr="00556DE0">
        <w:rPr>
          <w:rStyle w:val="Strong"/>
          <w:rFonts w:ascii="Verdana" w:hAnsi="Verdana"/>
          <w:b w:val="0"/>
          <w:i/>
          <w:color w:val="000000"/>
          <w:sz w:val="16"/>
          <w:szCs w:val="16"/>
          <w:shd w:val="clear" w:color="auto" w:fill="FFFFFF"/>
        </w:rPr>
        <w:t>Supervisión de Cumplimiento de Sentencia.</w:t>
      </w:r>
      <w:r w:rsidRPr="00556DE0">
        <w:rPr>
          <w:rStyle w:val="Strong"/>
          <w:rFonts w:ascii="Verdana" w:hAnsi="Verdana"/>
          <w:b w:val="0"/>
          <w:color w:val="000000"/>
          <w:sz w:val="16"/>
          <w:szCs w:val="16"/>
          <w:shd w:val="clear" w:color="auto" w:fill="FFFFFF"/>
        </w:rPr>
        <w:t xml:space="preserve"> Resolución de la Corte Interamericana de Derechos Humanos de 22 de enero de 2009, Considerandos 5 y 8.</w:t>
      </w:r>
    </w:p>
  </w:footnote>
  <w:footnote w:id="83">
    <w:p w14:paraId="0CFF7B1A" w14:textId="0DA31008" w:rsidR="0018425E" w:rsidRPr="00556DE0" w:rsidRDefault="0018425E" w:rsidP="00631A59">
      <w:pPr>
        <w:pStyle w:val="FootnoteText"/>
        <w:ind w:right="1444"/>
        <w:jc w:val="both"/>
        <w:rPr>
          <w:rFonts w:ascii="Verdana" w:hAnsi="Verdana"/>
          <w:sz w:val="16"/>
          <w:szCs w:val="16"/>
          <w:lang w:val="es-CR"/>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lang w:val="es-CR"/>
        </w:rPr>
        <w:tab/>
      </w:r>
      <w:r w:rsidRPr="00556DE0">
        <w:rPr>
          <w:rFonts w:ascii="Verdana" w:hAnsi="Verdana"/>
          <w:i/>
          <w:sz w:val="16"/>
          <w:szCs w:val="16"/>
          <w:lang w:val="es-CR"/>
        </w:rPr>
        <w:t xml:space="preserve">Cfr. </w:t>
      </w:r>
      <w:r w:rsidRPr="00556DE0">
        <w:rPr>
          <w:rStyle w:val="Strong"/>
          <w:rFonts w:ascii="Verdana" w:hAnsi="Verdana"/>
          <w:b w:val="0"/>
          <w:i/>
          <w:color w:val="000000"/>
          <w:sz w:val="16"/>
          <w:szCs w:val="16"/>
          <w:shd w:val="clear" w:color="auto" w:fill="FFFFFF"/>
        </w:rPr>
        <w:t>Caso Gudiel Álvarez y otros ("Diario Militar") Vs. Guatemala. Fondo Reparaciones y Costas.</w:t>
      </w:r>
      <w:r w:rsidRPr="00556DE0">
        <w:rPr>
          <w:rStyle w:val="Strong"/>
          <w:rFonts w:ascii="Verdana" w:hAnsi="Verdana"/>
          <w:b w:val="0"/>
          <w:color w:val="000000"/>
          <w:sz w:val="16"/>
          <w:szCs w:val="16"/>
          <w:shd w:val="clear" w:color="auto" w:fill="FFFFFF"/>
        </w:rPr>
        <w:t xml:space="preserve"> Sentencia de 20 noviembre de 2012 Serie C No. 253, Considerando 246.</w:t>
      </w:r>
    </w:p>
  </w:footnote>
  <w:footnote w:id="84">
    <w:p w14:paraId="724CC1FF" w14:textId="772D5985" w:rsidR="0018425E" w:rsidRPr="000E3EA1" w:rsidRDefault="0018425E" w:rsidP="00577BD4">
      <w:pPr>
        <w:pStyle w:val="FootnoteText"/>
        <w:ind w:right="1444"/>
        <w:jc w:val="both"/>
        <w:rPr>
          <w:rFonts w:ascii="Verdana" w:hAnsi="Verdana"/>
          <w:sz w:val="16"/>
          <w:szCs w:val="16"/>
          <w:lang w:val="es-CR"/>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r>
      <w:r w:rsidRPr="009E44C3">
        <w:rPr>
          <w:rFonts w:ascii="Verdana" w:hAnsi="Verdana"/>
          <w:i/>
          <w:sz w:val="16"/>
          <w:szCs w:val="16"/>
        </w:rPr>
        <w:t>Cfr.</w:t>
      </w:r>
      <w:r w:rsidRPr="00556DE0">
        <w:rPr>
          <w:rFonts w:ascii="Verdana" w:hAnsi="Verdana"/>
          <w:sz w:val="16"/>
          <w:szCs w:val="16"/>
        </w:rPr>
        <w:t xml:space="preserve"> </w:t>
      </w:r>
      <w:r w:rsidRPr="00556DE0">
        <w:rPr>
          <w:rStyle w:val="Strong"/>
          <w:rFonts w:ascii="Verdana" w:hAnsi="Verdana"/>
          <w:b w:val="0"/>
          <w:i/>
          <w:color w:val="000000"/>
          <w:sz w:val="16"/>
          <w:szCs w:val="16"/>
          <w:shd w:val="clear" w:color="auto" w:fill="FFFFFF"/>
        </w:rPr>
        <w:t>Caso Familia Barrios Vs. Venezuela. Fondo, Reparaciones y Costas.</w:t>
      </w:r>
      <w:r w:rsidRPr="00556DE0">
        <w:rPr>
          <w:rStyle w:val="Strong"/>
          <w:rFonts w:ascii="Verdana" w:hAnsi="Verdana"/>
          <w:b w:val="0"/>
          <w:color w:val="000000"/>
          <w:sz w:val="16"/>
          <w:szCs w:val="16"/>
          <w:shd w:val="clear" w:color="auto" w:fill="FFFFFF"/>
        </w:rPr>
        <w:t xml:space="preserve"> Sentencia de 24 de noviembre de 2011. Serie C No. 237, Considerando 292, y</w:t>
      </w:r>
      <w:r w:rsidRPr="00556DE0">
        <w:rPr>
          <w:rStyle w:val="Strong"/>
          <w:rFonts w:ascii="Verdana" w:hAnsi="Verdana"/>
          <w:color w:val="000000"/>
          <w:sz w:val="16"/>
          <w:szCs w:val="16"/>
          <w:shd w:val="clear" w:color="auto" w:fill="FFFFFF"/>
        </w:rPr>
        <w:t xml:space="preserve"> </w:t>
      </w:r>
      <w:r w:rsidRPr="00556DE0">
        <w:rPr>
          <w:rFonts w:ascii="Verdana" w:hAnsi="Verdana"/>
          <w:i/>
          <w:sz w:val="16"/>
          <w:szCs w:val="16"/>
          <w:lang w:val="es-CR"/>
        </w:rPr>
        <w:t xml:space="preserve">Cfr. </w:t>
      </w:r>
      <w:r w:rsidRPr="00556DE0">
        <w:rPr>
          <w:rStyle w:val="Strong"/>
          <w:rFonts w:ascii="Verdana" w:hAnsi="Verdana"/>
          <w:b w:val="0"/>
          <w:i/>
          <w:color w:val="000000"/>
          <w:sz w:val="16"/>
          <w:szCs w:val="16"/>
          <w:shd w:val="clear" w:color="auto" w:fill="FFFFFF"/>
        </w:rPr>
        <w:t xml:space="preserve">Caso Gudiel Álvarez y otros ("Diario Militar") Vs. Guatemala, supra, </w:t>
      </w:r>
      <w:r w:rsidRPr="000E3EA1">
        <w:rPr>
          <w:rStyle w:val="Strong"/>
          <w:rFonts w:ascii="Verdana" w:hAnsi="Verdana"/>
          <w:b w:val="0"/>
          <w:color w:val="000000"/>
          <w:sz w:val="16"/>
          <w:szCs w:val="16"/>
          <w:shd w:val="clear" w:color="auto" w:fill="FFFFFF"/>
        </w:rPr>
        <w:t>Considerando 246.</w:t>
      </w:r>
    </w:p>
  </w:footnote>
  <w:footnote w:id="85">
    <w:p w14:paraId="2DDC2F4E" w14:textId="7432DBA9" w:rsidR="0018425E" w:rsidRPr="00556DE0" w:rsidRDefault="0018425E" w:rsidP="00F3215A">
      <w:pPr>
        <w:pStyle w:val="FootnoteText"/>
        <w:ind w:right="1440"/>
        <w:jc w:val="both"/>
        <w:rPr>
          <w:rFonts w:ascii="Verdana" w:hAnsi="Verdana"/>
          <w:sz w:val="16"/>
          <w:szCs w:val="16"/>
          <w:lang w:val="es-CR"/>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lang w:val="es-CR"/>
        </w:rPr>
        <w:tab/>
      </w:r>
      <w:r w:rsidRPr="00556DE0">
        <w:rPr>
          <w:rFonts w:ascii="Verdana" w:hAnsi="Verdana"/>
          <w:i/>
          <w:sz w:val="16"/>
          <w:szCs w:val="16"/>
          <w:lang w:val="es-CR"/>
        </w:rPr>
        <w:t>Cfr. Caso Molina Theissen Vs. Guatemala. Supervisión de Cumplimiento de Sentencia</w:t>
      </w:r>
      <w:r w:rsidRPr="00556DE0">
        <w:rPr>
          <w:rFonts w:ascii="Verdana" w:hAnsi="Verdana"/>
          <w:sz w:val="16"/>
          <w:szCs w:val="16"/>
          <w:lang w:val="es-CR"/>
        </w:rPr>
        <w:t>. Resolución de la Corte Interamericana de Derechos Human</w:t>
      </w:r>
      <w:r>
        <w:rPr>
          <w:rFonts w:ascii="Verdana" w:hAnsi="Verdana"/>
          <w:sz w:val="16"/>
          <w:szCs w:val="16"/>
          <w:lang w:val="es-CR"/>
        </w:rPr>
        <w:t>os de 16 de noviembre de 2009, C</w:t>
      </w:r>
      <w:r w:rsidRPr="00556DE0">
        <w:rPr>
          <w:rFonts w:ascii="Verdana" w:hAnsi="Verdana"/>
          <w:sz w:val="16"/>
          <w:szCs w:val="16"/>
          <w:lang w:val="es-CR"/>
        </w:rPr>
        <w:t>onsiderandos 8 y 21.</w:t>
      </w:r>
    </w:p>
  </w:footnote>
  <w:footnote w:id="86">
    <w:p w14:paraId="351F8649" w14:textId="7E2D7D03" w:rsidR="0018425E" w:rsidRPr="00556DE0" w:rsidRDefault="0018425E" w:rsidP="00F3215A">
      <w:pPr>
        <w:pStyle w:val="FootnoteText"/>
        <w:ind w:right="1444"/>
        <w:jc w:val="both"/>
        <w:rPr>
          <w:rFonts w:ascii="Verdana" w:hAnsi="Verdana"/>
          <w:sz w:val="16"/>
          <w:szCs w:val="16"/>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t>Mediante los puntos resolutivos 2 y 3 de la Resolución referida, la Corte resolvió:</w:t>
      </w:r>
    </w:p>
    <w:p w14:paraId="156F687A" w14:textId="77777777" w:rsidR="0018425E" w:rsidRPr="00556DE0" w:rsidRDefault="0018425E" w:rsidP="00F3215A">
      <w:pPr>
        <w:autoSpaceDE w:val="0"/>
        <w:autoSpaceDN w:val="0"/>
        <w:adjustRightInd w:val="0"/>
        <w:spacing w:after="0" w:line="240" w:lineRule="auto"/>
        <w:ind w:right="1444"/>
        <w:jc w:val="both"/>
        <w:rPr>
          <w:rFonts w:ascii="Verdana" w:hAnsi="Verdana"/>
          <w:sz w:val="16"/>
          <w:szCs w:val="16"/>
          <w:lang w:val="es-CR"/>
        </w:rPr>
      </w:pPr>
      <w:r w:rsidRPr="00556DE0">
        <w:rPr>
          <w:rFonts w:ascii="Verdana" w:hAnsi="Verdana"/>
          <w:sz w:val="16"/>
          <w:szCs w:val="16"/>
          <w:lang w:val="es-CR"/>
        </w:rPr>
        <w:t>“2.</w:t>
      </w:r>
      <w:r w:rsidRPr="00556DE0">
        <w:rPr>
          <w:rFonts w:ascii="Verdana" w:hAnsi="Verdana"/>
          <w:sz w:val="16"/>
          <w:szCs w:val="16"/>
          <w:lang w:val="es-CR"/>
        </w:rPr>
        <w:tab/>
        <w:t>Solicitar al Estado que presente, a más tardar el 29 de marzo de 2010, un cronograma con información puntual, clara y exhaustiva que contenga:</w:t>
      </w:r>
    </w:p>
    <w:p w14:paraId="6E07CE82" w14:textId="77777777" w:rsidR="0018425E" w:rsidRPr="00556DE0" w:rsidRDefault="0018425E" w:rsidP="00F3215A">
      <w:pPr>
        <w:pStyle w:val="FootnoteText"/>
        <w:ind w:left="720" w:right="1444"/>
        <w:jc w:val="both"/>
        <w:rPr>
          <w:rFonts w:ascii="Verdana" w:hAnsi="Verdana"/>
          <w:sz w:val="16"/>
          <w:szCs w:val="16"/>
        </w:rPr>
      </w:pPr>
      <w:r w:rsidRPr="00556DE0">
        <w:rPr>
          <w:rFonts w:ascii="Verdana" w:hAnsi="Verdana"/>
          <w:sz w:val="16"/>
          <w:szCs w:val="16"/>
        </w:rPr>
        <w:t>a)</w:t>
      </w:r>
      <w:r w:rsidRPr="00556DE0">
        <w:rPr>
          <w:rFonts w:ascii="Verdana" w:hAnsi="Verdana"/>
          <w:sz w:val="16"/>
          <w:szCs w:val="16"/>
        </w:rPr>
        <w:tab/>
        <w:t>todas las gestiones que realizará para investigar los hechos del presente caso, identificar y, en su caso, sancionar a los responsables; las posibles fechas de tales gestiones, y las instituciones o personas que las llevarán a cabo;</w:t>
      </w:r>
    </w:p>
    <w:p w14:paraId="3C8A484A" w14:textId="77777777" w:rsidR="0018425E" w:rsidRPr="00556DE0" w:rsidRDefault="0018425E" w:rsidP="00F3215A">
      <w:pPr>
        <w:pStyle w:val="FootnoteText"/>
        <w:ind w:left="720" w:right="1444"/>
        <w:jc w:val="both"/>
        <w:rPr>
          <w:rFonts w:ascii="Verdana" w:hAnsi="Verdana"/>
          <w:sz w:val="16"/>
          <w:szCs w:val="16"/>
        </w:rPr>
      </w:pPr>
      <w:r w:rsidRPr="00556DE0">
        <w:rPr>
          <w:rFonts w:ascii="Verdana" w:hAnsi="Verdana"/>
          <w:sz w:val="16"/>
          <w:szCs w:val="16"/>
        </w:rPr>
        <w:t>b)</w:t>
      </w:r>
      <w:r w:rsidRPr="00556DE0">
        <w:rPr>
          <w:rFonts w:ascii="Verdana" w:hAnsi="Verdana"/>
          <w:sz w:val="16"/>
          <w:szCs w:val="16"/>
        </w:rPr>
        <w:tab/>
        <w:t>los planes específicos de acción, con fechas determinadas, destinados a hallar los restos del joven Marco Antonio Molina Theissen; las autoridades o instituciones que se encargarán de la búsqueda y las gestiones que cada una de ellas realizará, y las autoridades o instituciones a las que se solicitará información;</w:t>
      </w:r>
    </w:p>
    <w:p w14:paraId="20040A7D" w14:textId="77777777" w:rsidR="0018425E" w:rsidRPr="00556DE0" w:rsidRDefault="0018425E" w:rsidP="00F3215A">
      <w:pPr>
        <w:pStyle w:val="FootnoteText"/>
        <w:ind w:right="1444" w:firstLine="720"/>
        <w:jc w:val="both"/>
        <w:rPr>
          <w:rFonts w:ascii="Verdana" w:hAnsi="Verdana"/>
          <w:sz w:val="16"/>
          <w:szCs w:val="16"/>
        </w:rPr>
      </w:pPr>
      <w:r w:rsidRPr="00556DE0">
        <w:rPr>
          <w:rFonts w:ascii="Verdana" w:hAnsi="Verdana"/>
          <w:sz w:val="16"/>
          <w:szCs w:val="16"/>
        </w:rPr>
        <w:t>c)</w:t>
      </w:r>
      <w:r w:rsidRPr="00556DE0">
        <w:rPr>
          <w:rFonts w:ascii="Verdana" w:hAnsi="Verdana"/>
          <w:sz w:val="16"/>
          <w:szCs w:val="16"/>
        </w:rPr>
        <w:tab/>
        <w:t>las gestiones de tipo administrativo y presupuestario que deberán realizarse de manera previa, y</w:t>
      </w:r>
    </w:p>
    <w:p w14:paraId="56131B73" w14:textId="77777777" w:rsidR="0018425E" w:rsidRPr="00556DE0" w:rsidRDefault="0018425E" w:rsidP="00F3215A">
      <w:pPr>
        <w:pStyle w:val="FootnoteText"/>
        <w:ind w:left="720" w:right="1444"/>
        <w:jc w:val="both"/>
        <w:rPr>
          <w:rFonts w:ascii="Verdana" w:hAnsi="Verdana"/>
          <w:sz w:val="16"/>
          <w:szCs w:val="16"/>
        </w:rPr>
      </w:pPr>
      <w:r w:rsidRPr="00556DE0">
        <w:rPr>
          <w:rFonts w:ascii="Verdana" w:hAnsi="Verdana"/>
          <w:sz w:val="16"/>
          <w:szCs w:val="16"/>
        </w:rPr>
        <w:t>d)</w:t>
      </w:r>
      <w:r w:rsidRPr="00556DE0">
        <w:rPr>
          <w:rFonts w:ascii="Verdana" w:hAnsi="Verdana"/>
          <w:sz w:val="16"/>
          <w:szCs w:val="16"/>
        </w:rPr>
        <w:tab/>
        <w:t xml:space="preserve">en caso de identificarse alguna dificultad para la realización de las diligencias señaladas </w:t>
      </w:r>
      <w:r w:rsidRPr="00556DE0">
        <w:rPr>
          <w:rFonts w:ascii="Verdana" w:hAnsi="Verdana"/>
          <w:i/>
          <w:sz w:val="16"/>
          <w:szCs w:val="16"/>
        </w:rPr>
        <w:t>supra</w:t>
      </w:r>
      <w:r w:rsidRPr="00556DE0">
        <w:rPr>
          <w:rFonts w:ascii="Verdana" w:hAnsi="Verdana"/>
          <w:sz w:val="16"/>
          <w:szCs w:val="16"/>
        </w:rPr>
        <w:t xml:space="preserve"> a), b) y c), deberá indicarse, además, el plan, con un tiempo determinado, para superarla.</w:t>
      </w:r>
    </w:p>
    <w:p w14:paraId="3610F3E7" w14:textId="445F691F" w:rsidR="0018425E" w:rsidRPr="00556DE0" w:rsidRDefault="0018425E" w:rsidP="00F3215A">
      <w:pPr>
        <w:pStyle w:val="FootnoteText"/>
        <w:ind w:right="1444"/>
        <w:jc w:val="both"/>
        <w:rPr>
          <w:rFonts w:ascii="Verdana" w:hAnsi="Verdana"/>
          <w:sz w:val="16"/>
          <w:szCs w:val="16"/>
        </w:rPr>
      </w:pPr>
      <w:r w:rsidRPr="00556DE0">
        <w:rPr>
          <w:rFonts w:ascii="Verdana" w:hAnsi="Verdana"/>
          <w:sz w:val="16"/>
          <w:szCs w:val="16"/>
        </w:rPr>
        <w:t>3.</w:t>
      </w:r>
      <w:r w:rsidRPr="00556DE0">
        <w:rPr>
          <w:rFonts w:ascii="Verdana" w:hAnsi="Verdana"/>
          <w:sz w:val="16"/>
          <w:szCs w:val="16"/>
        </w:rPr>
        <w:tab/>
        <w:t>Solicitar al Estado […] que:</w:t>
      </w:r>
    </w:p>
    <w:p w14:paraId="4369B8B0" w14:textId="77777777" w:rsidR="0018425E" w:rsidRPr="00556DE0" w:rsidRDefault="0018425E" w:rsidP="00F3215A">
      <w:pPr>
        <w:pStyle w:val="FootnoteText"/>
        <w:ind w:left="720" w:right="1444"/>
        <w:jc w:val="both"/>
        <w:rPr>
          <w:rFonts w:ascii="Verdana" w:hAnsi="Verdana"/>
          <w:sz w:val="16"/>
          <w:szCs w:val="16"/>
        </w:rPr>
      </w:pPr>
      <w:r w:rsidRPr="00556DE0">
        <w:rPr>
          <w:rFonts w:ascii="Verdana" w:hAnsi="Verdana"/>
          <w:sz w:val="16"/>
          <w:szCs w:val="16"/>
        </w:rPr>
        <w:t>a)</w:t>
      </w:r>
      <w:r w:rsidRPr="00556DE0">
        <w:rPr>
          <w:rFonts w:ascii="Verdana" w:hAnsi="Verdana"/>
          <w:sz w:val="16"/>
          <w:szCs w:val="16"/>
        </w:rPr>
        <w:tab/>
        <w:t>designe un funcionario de la [Comisión Nacional para el Seguimiento y Apoyo al Fortalecimiento de la Justicia o “CNSAFJ”], quien, junto con la [Comisión Presidencial Coordinadora de la Política del Ejecutivo en Materia de Derechos Humanos o “COPREDEH”], deberá presentar un informe, a más tardar el 29 de marzo de 2010, que establezca: i) el presupuesto que tiene el Estado para impulsar los casos de violaciones de derechos humanos durante el conflicto armado; ii) si dicho presupuesto es suficiente para cubrir las necesidades investigativas, en especial las del presente caso, y iii) de ser insuficiente dicho presupuesto, las medidas necesarias para incrementarlo;</w:t>
      </w:r>
    </w:p>
    <w:p w14:paraId="49DF14A0" w14:textId="77777777" w:rsidR="0018425E" w:rsidRPr="00556DE0" w:rsidRDefault="0018425E" w:rsidP="00F3215A">
      <w:pPr>
        <w:pStyle w:val="FootnoteText"/>
        <w:ind w:left="720" w:right="1444"/>
        <w:jc w:val="both"/>
        <w:rPr>
          <w:rFonts w:ascii="Verdana" w:hAnsi="Verdana"/>
          <w:sz w:val="16"/>
          <w:szCs w:val="16"/>
        </w:rPr>
      </w:pPr>
      <w:r w:rsidRPr="00556DE0">
        <w:rPr>
          <w:rFonts w:ascii="Verdana" w:hAnsi="Verdana"/>
          <w:sz w:val="16"/>
          <w:szCs w:val="16"/>
        </w:rPr>
        <w:t>b)</w:t>
      </w:r>
      <w:r w:rsidRPr="00556DE0">
        <w:rPr>
          <w:rFonts w:ascii="Verdana" w:hAnsi="Verdana"/>
          <w:sz w:val="16"/>
          <w:szCs w:val="16"/>
        </w:rPr>
        <w:tab/>
        <w:t>designe un funcionario de la CNSAFJ, quien establecerá un cronograma de trabajo con las Altas Cortes dirigido a impulsar los casos de violaciones masivas y sistemáticas de derechos humanos. Este funcionario presentará, a más tardar el 29 de marzo de 2010, conjuntamente con la COPREDEH, un informe sobre el cronograma acordado con las Altas Cortes y la metodología a utilizar para alcanzar los fines propuestos;</w:t>
      </w:r>
    </w:p>
    <w:p w14:paraId="0E270C0E" w14:textId="77777777" w:rsidR="0018425E" w:rsidRPr="00556DE0" w:rsidRDefault="0018425E" w:rsidP="00F3215A">
      <w:pPr>
        <w:pStyle w:val="FootnoteText"/>
        <w:ind w:left="720" w:right="1444"/>
        <w:jc w:val="both"/>
        <w:rPr>
          <w:rFonts w:ascii="Verdana" w:hAnsi="Verdana"/>
          <w:sz w:val="16"/>
          <w:szCs w:val="16"/>
        </w:rPr>
      </w:pPr>
      <w:r w:rsidRPr="00556DE0">
        <w:rPr>
          <w:rFonts w:ascii="Verdana" w:hAnsi="Verdana"/>
          <w:sz w:val="16"/>
          <w:szCs w:val="16"/>
        </w:rPr>
        <w:t>c)</w:t>
      </w:r>
      <w:r w:rsidRPr="00556DE0">
        <w:rPr>
          <w:rFonts w:ascii="Verdana" w:hAnsi="Verdana"/>
          <w:sz w:val="16"/>
          <w:szCs w:val="16"/>
        </w:rPr>
        <w:tab/>
        <w:t>designe un funcionario de enlace en la inteligencia militar del Ejército, a quien el Ministerio Público y el juzgado que estén a cargo de las investigaciones internas del presente caso, así como la CNSAFJ, la COPREDEH, las víctimas de este caso o sus representantes, puedan dirigirse en búsqueda de información para descubrir a los responsables o hallar los restos del joven Molina Theissen. Este funcionario presentará, a más tardar el 29 de marzo de 2010, conjuntamente con la COPREDEH, un informe sobre la metodología y el cronograma dirigido a impulsar la colaboración del estamento militar en el impulso de las investigaciones.</w:t>
      </w:r>
    </w:p>
    <w:p w14:paraId="0B0624F8" w14:textId="77777777" w:rsidR="0018425E" w:rsidRPr="00556DE0" w:rsidRDefault="0018425E" w:rsidP="00F3215A">
      <w:pPr>
        <w:pStyle w:val="FootnoteText"/>
        <w:ind w:left="720" w:right="1444"/>
        <w:jc w:val="both"/>
        <w:rPr>
          <w:rFonts w:ascii="Verdana" w:hAnsi="Verdana"/>
          <w:sz w:val="16"/>
          <w:szCs w:val="16"/>
        </w:rPr>
      </w:pPr>
      <w:r w:rsidRPr="00556DE0">
        <w:rPr>
          <w:rFonts w:ascii="Verdana" w:hAnsi="Verdana"/>
          <w:sz w:val="16"/>
          <w:szCs w:val="16"/>
        </w:rPr>
        <w:t>d)</w:t>
      </w:r>
      <w:r w:rsidRPr="00556DE0">
        <w:rPr>
          <w:rFonts w:ascii="Verdana" w:hAnsi="Verdana"/>
          <w:sz w:val="16"/>
          <w:szCs w:val="16"/>
        </w:rPr>
        <w:tab/>
        <w:t>Informe, a más tardar el 29 de marzo de 2010, sobre el número de acciones disciplinarias, administrativas o penales emprendidas conforme a la legislación guatemalteca contra funcionarios que se niegan a colaborar en el cumplimiento de estas órdenes.”</w:t>
      </w:r>
    </w:p>
  </w:footnote>
  <w:footnote w:id="87">
    <w:p w14:paraId="05C4F432" w14:textId="77777777" w:rsidR="0018425E" w:rsidRPr="00556DE0" w:rsidRDefault="0018425E" w:rsidP="00F3215A">
      <w:pPr>
        <w:autoSpaceDE w:val="0"/>
        <w:autoSpaceDN w:val="0"/>
        <w:adjustRightInd w:val="0"/>
        <w:spacing w:after="0" w:line="240" w:lineRule="auto"/>
        <w:ind w:right="1444"/>
        <w:jc w:val="both"/>
        <w:rPr>
          <w:rFonts w:ascii="Verdana" w:hAnsi="Verdana"/>
          <w:sz w:val="16"/>
          <w:szCs w:val="16"/>
          <w:lang w:val="es-ES_tradnl"/>
        </w:rPr>
      </w:pPr>
      <w:r w:rsidRPr="00556DE0">
        <w:rPr>
          <w:rStyle w:val="FootnoteReference"/>
          <w:rFonts w:ascii="Verdana" w:hAnsi="Verdana"/>
          <w:sz w:val="16"/>
          <w:szCs w:val="16"/>
        </w:rPr>
        <w:footnoteRef/>
      </w:r>
      <w:r w:rsidRPr="00556DE0">
        <w:rPr>
          <w:rFonts w:ascii="Verdana" w:hAnsi="Verdana"/>
          <w:sz w:val="16"/>
          <w:szCs w:val="16"/>
          <w:lang w:val="es-CR"/>
        </w:rPr>
        <w:t xml:space="preserve"> </w:t>
      </w:r>
      <w:r w:rsidRPr="00556DE0">
        <w:rPr>
          <w:rFonts w:ascii="Verdana" w:hAnsi="Verdana"/>
          <w:sz w:val="16"/>
          <w:szCs w:val="16"/>
          <w:lang w:val="es-CR"/>
        </w:rPr>
        <w:tab/>
        <w:t xml:space="preserve">Dichas diligencias consisten principalmente en la obtención de informes de distintos organismos, tales como la Unidad de Acceso a la Información del Archivo Histórico, la Policía Nacional Civil, la Superintendencia de Administración Tributaria, la Dirección General de Migración, y el Ministerio de Defensa, </w:t>
      </w:r>
      <w:r w:rsidRPr="00556DE0">
        <w:rPr>
          <w:rFonts w:ascii="Verdana" w:hAnsi="Verdana"/>
          <w:i/>
          <w:sz w:val="16"/>
          <w:szCs w:val="16"/>
          <w:lang w:val="es-CR"/>
        </w:rPr>
        <w:t>inter alia.</w:t>
      </w:r>
    </w:p>
  </w:footnote>
  <w:footnote w:id="88">
    <w:p w14:paraId="6FD8DB2F" w14:textId="77777777" w:rsidR="0018425E" w:rsidRPr="00556DE0" w:rsidRDefault="0018425E" w:rsidP="00F3215A">
      <w:pPr>
        <w:pStyle w:val="FootnoteText"/>
        <w:ind w:right="1440"/>
        <w:jc w:val="both"/>
        <w:rPr>
          <w:rFonts w:ascii="Verdana" w:hAnsi="Verdana"/>
          <w:sz w:val="16"/>
          <w:szCs w:val="16"/>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t>En dicho informe se indicó que los peritajes realizados correspondían a un peritaje de Derecho Internacional Humanitario y otro Técnico Militar. También citaron peritajes pendientes de realizar relativos a: “[el] análisis de los documentos desclasificados de Estados Unidos de América con relación a la desaparición forzada de Marcos Antonio Molina Theissen”; “los documentos localizados en la extinta Policía Nacional, que se refieren a la detención ilegal de Emma Guadalupe Molina Theissen y posterior desaparición forzada de Marco Antonio Molina Theissen”; “un peritaje psicosocial sobre el impacto que la desaparición forzada de Marco Antonio Molina Theissen tuvo en la sociedad”;“un peritaje histórico social” y “[la] ampliación del peritaje militar”.</w:t>
      </w:r>
    </w:p>
  </w:footnote>
  <w:footnote w:id="89">
    <w:p w14:paraId="268CB6E3" w14:textId="77777777" w:rsidR="0018425E" w:rsidRPr="00556DE0" w:rsidRDefault="0018425E" w:rsidP="00F3215A">
      <w:pPr>
        <w:pStyle w:val="FootnoteText"/>
        <w:ind w:right="1440"/>
        <w:jc w:val="both"/>
        <w:rPr>
          <w:rFonts w:ascii="Verdana" w:hAnsi="Verdana"/>
          <w:sz w:val="16"/>
          <w:szCs w:val="16"/>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t xml:space="preserve">Al respecto, también indicó el Estado que </w:t>
      </w:r>
      <w:r w:rsidRPr="00556DE0">
        <w:rPr>
          <w:rFonts w:ascii="Verdana" w:hAnsi="Verdana"/>
          <w:sz w:val="16"/>
          <w:szCs w:val="16"/>
          <w:lang w:val="es-CR"/>
        </w:rPr>
        <w:t>realizó “una reunión con […] PAJUST” y obtuvo “apoyo para el pago del peritaje” en razón de la “existencia de nuevos elementos de investigación que relacionan a posibles sindicados de la desaparición forzada del menor Marco Antonio Molina Theissen”.</w:t>
      </w:r>
    </w:p>
  </w:footnote>
  <w:footnote w:id="90">
    <w:p w14:paraId="7F50D6C3" w14:textId="77777777" w:rsidR="0018425E" w:rsidRPr="00556DE0" w:rsidRDefault="0018425E" w:rsidP="00F3215A">
      <w:pPr>
        <w:pStyle w:val="FootnoteText"/>
        <w:ind w:right="1444"/>
        <w:jc w:val="both"/>
        <w:rPr>
          <w:rFonts w:ascii="Verdana" w:hAnsi="Verdana"/>
          <w:sz w:val="16"/>
          <w:szCs w:val="16"/>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t>El Estado hizo referencia, en específico, a solicitudes de información al “Registro Tributario Unificado de la Superintendencia de Administración Tributaria respecto de los posibles autores materiales, en junio de 2015”, y “a la Dirección General de Migración […sobre] el movimiento migratorio de la Sra. Emma Guadalupe Molina Theissen”, entre otros. También destacó otras solicitudes realizadas al Ministerio de la Defensa Nacional, a la Fundación de Antropología Forense de Guatemala, la “ampliación de declaraciones testimoniales en calidad de anticipo de prueba”.</w:t>
      </w:r>
    </w:p>
  </w:footnote>
  <w:footnote w:id="91">
    <w:p w14:paraId="5B4BEECC" w14:textId="77777777" w:rsidR="0018425E" w:rsidRPr="00556DE0" w:rsidRDefault="0018425E" w:rsidP="00F3215A">
      <w:pPr>
        <w:autoSpaceDE w:val="0"/>
        <w:autoSpaceDN w:val="0"/>
        <w:adjustRightInd w:val="0"/>
        <w:spacing w:after="0" w:line="240" w:lineRule="auto"/>
        <w:ind w:right="1444"/>
        <w:jc w:val="both"/>
        <w:rPr>
          <w:rFonts w:ascii="Verdana" w:hAnsi="Verdana"/>
          <w:sz w:val="16"/>
          <w:szCs w:val="16"/>
          <w:lang w:val="es-ES_tradnl"/>
        </w:rPr>
      </w:pPr>
      <w:r w:rsidRPr="00556DE0">
        <w:rPr>
          <w:rStyle w:val="FootnoteReference"/>
          <w:rFonts w:ascii="Verdana" w:hAnsi="Verdana"/>
          <w:sz w:val="16"/>
          <w:szCs w:val="16"/>
        </w:rPr>
        <w:footnoteRef/>
      </w:r>
      <w:r w:rsidRPr="00556DE0">
        <w:rPr>
          <w:rFonts w:ascii="Verdana" w:hAnsi="Verdana"/>
          <w:sz w:val="16"/>
          <w:szCs w:val="16"/>
          <w:lang w:val="es-CR"/>
        </w:rPr>
        <w:t xml:space="preserve"> </w:t>
      </w:r>
      <w:r w:rsidRPr="00556DE0">
        <w:rPr>
          <w:rFonts w:ascii="Verdana" w:hAnsi="Verdana"/>
          <w:sz w:val="16"/>
          <w:szCs w:val="16"/>
          <w:lang w:val="es-CR"/>
        </w:rPr>
        <w:tab/>
        <w:t xml:space="preserve">Si bien para la fecha en la que se emite la presente Resolución corre un plazo a favor de los representantes para presentar sus observaciones al informe estatal individual del presente caso, la Corte hace notar que las representantes “deja[n] constancia que [sus] observaciones sobre [la obligación de investigar] serán de la misma naturaleza que las que se exponen” en sus observaciones al informe conjunto del Estado. </w:t>
      </w:r>
    </w:p>
  </w:footnote>
  <w:footnote w:id="92">
    <w:p w14:paraId="0B1500F9" w14:textId="77777777" w:rsidR="0018425E" w:rsidRPr="00556DE0" w:rsidRDefault="0018425E" w:rsidP="00F3215A">
      <w:pPr>
        <w:autoSpaceDE w:val="0"/>
        <w:autoSpaceDN w:val="0"/>
        <w:adjustRightInd w:val="0"/>
        <w:spacing w:after="0" w:line="240" w:lineRule="auto"/>
        <w:ind w:right="1444"/>
        <w:jc w:val="both"/>
        <w:rPr>
          <w:rFonts w:ascii="Verdana" w:hAnsi="Verdana"/>
          <w:b/>
          <w:sz w:val="16"/>
          <w:szCs w:val="16"/>
          <w:lang w:val="es-ES_tradnl"/>
        </w:rPr>
      </w:pPr>
      <w:r w:rsidRPr="00556DE0">
        <w:rPr>
          <w:rStyle w:val="FootnoteReference"/>
          <w:rFonts w:ascii="Verdana" w:hAnsi="Verdana"/>
          <w:sz w:val="16"/>
          <w:szCs w:val="16"/>
        </w:rPr>
        <w:footnoteRef/>
      </w:r>
      <w:r w:rsidRPr="00556DE0">
        <w:rPr>
          <w:rFonts w:ascii="Verdana" w:hAnsi="Verdana"/>
          <w:sz w:val="16"/>
          <w:szCs w:val="16"/>
          <w:lang w:val="es-CR"/>
        </w:rPr>
        <w:t xml:space="preserve"> </w:t>
      </w:r>
      <w:r w:rsidRPr="00556DE0">
        <w:rPr>
          <w:rFonts w:ascii="Verdana" w:hAnsi="Verdana"/>
          <w:sz w:val="16"/>
          <w:szCs w:val="16"/>
          <w:lang w:val="es-CR"/>
        </w:rPr>
        <w:tab/>
        <w:t xml:space="preserve">Con relación a las otras ocho solicitudes, el Ministerio Público indicó que el Ministerio de la Defensa Nacional proporcionó la información solicitada. </w:t>
      </w:r>
    </w:p>
  </w:footnote>
  <w:footnote w:id="93">
    <w:p w14:paraId="488EB8AC" w14:textId="77777777" w:rsidR="0018425E" w:rsidRPr="00556DE0" w:rsidRDefault="0018425E" w:rsidP="00F3215A">
      <w:pPr>
        <w:pStyle w:val="FootnoteText"/>
        <w:ind w:right="1440"/>
        <w:jc w:val="both"/>
        <w:rPr>
          <w:rFonts w:ascii="Verdana" w:hAnsi="Verdana"/>
          <w:sz w:val="16"/>
          <w:szCs w:val="16"/>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r>
      <w:r w:rsidRPr="00556DE0">
        <w:rPr>
          <w:rFonts w:ascii="Verdana" w:hAnsi="Verdana"/>
          <w:i/>
          <w:sz w:val="16"/>
          <w:szCs w:val="16"/>
        </w:rPr>
        <w:t>Cfr. Caso Masacre Plan de Sánchez Vs. Guatemala. Supervisión de Cumplimiento de Sentencia</w:t>
      </w:r>
      <w:r w:rsidRPr="00556DE0">
        <w:rPr>
          <w:rFonts w:ascii="Verdana" w:hAnsi="Verdana"/>
          <w:sz w:val="16"/>
          <w:szCs w:val="16"/>
        </w:rPr>
        <w:t>. Resolución de la Corte Interamericana de Derechos Humanos de 21 de febrero de 2011, considerandos 6 y 9.</w:t>
      </w:r>
    </w:p>
  </w:footnote>
  <w:footnote w:id="94">
    <w:p w14:paraId="264F7028" w14:textId="3E02F8D3" w:rsidR="0018425E" w:rsidRPr="00556DE0" w:rsidRDefault="0018425E" w:rsidP="00F3215A">
      <w:pPr>
        <w:pStyle w:val="FootnoteText"/>
        <w:ind w:right="1444"/>
        <w:jc w:val="both"/>
        <w:rPr>
          <w:rFonts w:ascii="Verdana" w:hAnsi="Verdana"/>
          <w:sz w:val="16"/>
          <w:szCs w:val="16"/>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t>En particular solicitó en el considerando 10 de la resolución mencionada información sobre: “a) la autoridad a cargo de la investigación y el número con el cual se le identifica; b) el estado actual del proceso seguido a las personas que se ”han ubicado e identificado” como presuntos responsables de participar en la masacre de Plan de Sánchez; c) una lista de las diligencias realizadas y su resultado; y d) un cronograma de las diligencias próximas a realizar, con el fin de avanzar en la identificación, juzgamiento y eventual sanción de los responsables”.</w:t>
      </w:r>
    </w:p>
  </w:footnote>
  <w:footnote w:id="95">
    <w:p w14:paraId="508E87EC" w14:textId="0EE2A99D" w:rsidR="0018425E" w:rsidRPr="00556DE0" w:rsidRDefault="0018425E" w:rsidP="00F3215A">
      <w:pPr>
        <w:pStyle w:val="FootnoteText"/>
        <w:ind w:right="1444"/>
        <w:jc w:val="both"/>
        <w:rPr>
          <w:rFonts w:ascii="Verdana" w:hAnsi="Verdana"/>
          <w:sz w:val="16"/>
          <w:szCs w:val="16"/>
          <w:lang w:val="es-CR"/>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t xml:space="preserve">El Estado indicó que los nombres de </w:t>
      </w:r>
      <w:r w:rsidRPr="00556DE0">
        <w:rPr>
          <w:rFonts w:ascii="Verdana" w:hAnsi="Verdana"/>
          <w:sz w:val="16"/>
          <w:szCs w:val="16"/>
          <w:lang w:val="es-CR"/>
        </w:rPr>
        <w:t xml:space="preserve">estas personas son: Lucas Tecú, Mario Acoj Morales, Santos Rosales García, Julián Acoj Morales y Eusebio Grave Galeano. </w:t>
      </w:r>
    </w:p>
  </w:footnote>
  <w:footnote w:id="96">
    <w:p w14:paraId="070136F7" w14:textId="77777777" w:rsidR="0018425E" w:rsidRPr="00556DE0" w:rsidRDefault="0018425E" w:rsidP="00F3215A">
      <w:pPr>
        <w:pStyle w:val="FootnoteText"/>
        <w:ind w:right="1440"/>
        <w:rPr>
          <w:rFonts w:ascii="Verdana" w:hAnsi="Verdana"/>
          <w:sz w:val="16"/>
          <w:szCs w:val="16"/>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t xml:space="preserve">Los imputados con órdenes de aprehensión indicados por el Estado son: José Antonio Solares González y Otto Erick Ponce Morales. </w:t>
      </w:r>
    </w:p>
  </w:footnote>
  <w:footnote w:id="97">
    <w:p w14:paraId="54A6471E" w14:textId="664DA430" w:rsidR="0018425E" w:rsidRPr="00556DE0" w:rsidRDefault="0018425E" w:rsidP="00F3215A">
      <w:pPr>
        <w:pStyle w:val="FootnoteText"/>
        <w:ind w:right="1444"/>
        <w:jc w:val="both"/>
        <w:rPr>
          <w:rFonts w:ascii="Verdana" w:hAnsi="Verdana"/>
          <w:sz w:val="16"/>
          <w:szCs w:val="16"/>
          <w:lang w:val="es-CR"/>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r>
      <w:r w:rsidRPr="00556DE0">
        <w:rPr>
          <w:rFonts w:ascii="Verdana" w:hAnsi="Verdana"/>
          <w:sz w:val="16"/>
          <w:szCs w:val="16"/>
          <w:lang w:val="es-CR"/>
        </w:rPr>
        <w:t xml:space="preserve">Al respecto, el Estado afirmó en su informe de abril de 2015 que ”su localización sigue siendo un gran obstáculo”, y que se han realizado varias diligencias dirigidas a ejecutar las órdenes de aprehensión, siendo la última una solicitud a INTERPOL el 10 de marzo de 2015 de “reactivación de la notificación roja a </w:t>
      </w:r>
      <w:r>
        <w:rPr>
          <w:rFonts w:ascii="Verdana" w:hAnsi="Verdana"/>
          <w:sz w:val="16"/>
          <w:szCs w:val="16"/>
          <w:lang w:val="es-CR"/>
        </w:rPr>
        <w:t>nivel nacional e internacional”</w:t>
      </w:r>
      <w:r w:rsidRPr="00556DE0">
        <w:rPr>
          <w:rFonts w:ascii="Verdana" w:hAnsi="Verdana"/>
          <w:sz w:val="16"/>
          <w:szCs w:val="16"/>
          <w:lang w:val="es-CR"/>
        </w:rPr>
        <w:t>. En su informe de octubre de 2015, el Estado señaló que “se presume que [ambos] podrían vivir en el extranjero con una identidad falsa”.</w:t>
      </w:r>
    </w:p>
  </w:footnote>
  <w:footnote w:id="98">
    <w:p w14:paraId="0A033C3E" w14:textId="2C9AE923" w:rsidR="0018425E" w:rsidRPr="00556DE0" w:rsidRDefault="0018425E" w:rsidP="00F3215A">
      <w:pPr>
        <w:pStyle w:val="FootnoteText"/>
        <w:ind w:right="1444"/>
        <w:jc w:val="both"/>
        <w:rPr>
          <w:rFonts w:ascii="Verdana" w:hAnsi="Verdana"/>
          <w:sz w:val="16"/>
          <w:szCs w:val="16"/>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t>El imputado interpuso dicha acción de amparo alegando que la autorización “de allanamiento, inspección y registro con el objeto de hacer efectiva la orden de aprehensión en su contra […] viola el debido proceso […] establecido en la Ley de Reconciliación Nacional que otorga amnistía para algunos delitos cometidos durante el conflicto armado interno”. Según dicho informe del Ministerio Público, la mencionada acción de amparo habría sido denegada en primera instancia y estaría en etapa de apelación, sin que a la fecha del informe, la Corte de Constitucionalidad hubiese dictado una sentencia al respecto.</w:t>
      </w:r>
    </w:p>
  </w:footnote>
  <w:footnote w:id="99">
    <w:p w14:paraId="392AD10B" w14:textId="12F843EE" w:rsidR="0018425E" w:rsidRPr="00556DE0" w:rsidRDefault="0018425E" w:rsidP="00F3215A">
      <w:pPr>
        <w:pStyle w:val="FootnoteText"/>
        <w:ind w:right="1444"/>
        <w:jc w:val="both"/>
        <w:rPr>
          <w:rFonts w:ascii="Verdana" w:hAnsi="Verdana"/>
          <w:sz w:val="16"/>
          <w:szCs w:val="16"/>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t xml:space="preserve">El Ministerio Público informó que el Instituto de Previsión Militar se negó a proporcionar información; específicamente se cita el caso de la respuesta del 27 de agosto de 2013, sobre un requerimiento de información sobre las actas de supervivencia del señor José Antonio Solares González y Otto Erick Ponce Morales. También denuncian la negativa del Ministerio de la Defensa Nacional de brindar información sobre el Destacamento Militar de Rabinal, y citan que la solicitud de información del 30 de enero de 2014 fue respondida afirmando que “no existe información” al respecto. </w:t>
      </w:r>
    </w:p>
  </w:footnote>
  <w:footnote w:id="100">
    <w:p w14:paraId="76A25CC3" w14:textId="77777777" w:rsidR="0018425E" w:rsidRPr="00556DE0" w:rsidRDefault="0018425E" w:rsidP="00F3215A">
      <w:pPr>
        <w:pStyle w:val="FootnoteText"/>
        <w:ind w:right="1444"/>
        <w:jc w:val="both"/>
        <w:rPr>
          <w:rFonts w:ascii="Verdana" w:hAnsi="Verdana"/>
          <w:sz w:val="16"/>
          <w:szCs w:val="16"/>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t xml:space="preserve">El Estado informó que “a través de sus autoridades internas se ubicó “a una testigo presencial de sexo femenino quien indica haber reconocido a uno de los responsables que participó en esos hechos”; se ha procedido a realizar “algunas entrevistas a otras personas […] que sufrieron algunos atentados en el mismo lugar de los hechos donde ocurrió el asesinato del señor Jorge Carpio y otros”, y que el Ministerio Público “está ubicando a los agentes de la policía nacional civil que cubrían la jurisdicción en la época de los hechos para establecer otros extremos que coadyuven a la investigación””. </w:t>
      </w:r>
      <w:r w:rsidRPr="00556DE0">
        <w:rPr>
          <w:rFonts w:ascii="Verdana" w:hAnsi="Verdana"/>
          <w:i/>
          <w:sz w:val="16"/>
          <w:szCs w:val="16"/>
        </w:rPr>
        <w:t>Cfr. Caso Carpio Nicolle y otros Vs. Guatemala. Supervisión de Cumplimiento de Sentencia</w:t>
      </w:r>
      <w:r w:rsidRPr="00556DE0">
        <w:rPr>
          <w:rFonts w:ascii="Verdana" w:hAnsi="Verdana"/>
          <w:sz w:val="16"/>
          <w:szCs w:val="16"/>
        </w:rPr>
        <w:t>. Resolución de la Corte Interamericana de Derechos Humanos de 01 de julio de 2009, considerando 8.</w:t>
      </w:r>
    </w:p>
  </w:footnote>
  <w:footnote w:id="101">
    <w:p w14:paraId="6289C80A" w14:textId="59CB2D56" w:rsidR="0018425E" w:rsidRPr="00556DE0" w:rsidRDefault="0018425E" w:rsidP="00F3215A">
      <w:pPr>
        <w:pStyle w:val="FootnoteText"/>
        <w:ind w:right="1444"/>
        <w:jc w:val="both"/>
        <w:rPr>
          <w:rFonts w:ascii="Verdana" w:hAnsi="Verdana"/>
          <w:sz w:val="16"/>
          <w:szCs w:val="16"/>
          <w:lang w:val="es-CR"/>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t>En dicho informe se señala que</w:t>
      </w:r>
      <w:r w:rsidRPr="00556DE0">
        <w:rPr>
          <w:rFonts w:ascii="Verdana" w:hAnsi="Verdana"/>
          <w:sz w:val="16"/>
          <w:szCs w:val="16"/>
          <w:lang w:val="es-CR"/>
        </w:rPr>
        <w:t xml:space="preserve"> estas personas eran “Marcelino Tuy </w:t>
      </w:r>
      <w:proofErr w:type="gramStart"/>
      <w:r w:rsidRPr="00556DE0">
        <w:rPr>
          <w:rFonts w:ascii="Verdana" w:hAnsi="Verdana"/>
          <w:sz w:val="16"/>
          <w:szCs w:val="16"/>
          <w:lang w:val="es-CR"/>
        </w:rPr>
        <w:t>Taniel[</w:t>
      </w:r>
      <w:proofErr w:type="gramEnd"/>
      <w:r w:rsidRPr="00556DE0">
        <w:rPr>
          <w:rFonts w:ascii="Verdana" w:hAnsi="Verdana"/>
          <w:sz w:val="16"/>
          <w:szCs w:val="16"/>
          <w:lang w:val="es-CR"/>
        </w:rPr>
        <w:t xml:space="preserve">,] Nazario Tuy Taniel[,] Lorenzo Mendoza Ordóñez (y/o Isidro Acabal, y/o Isidro Mendoza Acaval y/o Basilio Mendoza Acabal)[,] Francisco Grave Tun[,] Tomás Pérez Pérez[,] Jesús Cuc Churunel[,] Jorge Chopen Churunel[,] Francisco Ixcoy López[,] Nicolás Jax Us[,] Moisés Ayun Chanchavac” y Juan Acabal Patzán. </w:t>
      </w:r>
    </w:p>
  </w:footnote>
  <w:footnote w:id="102">
    <w:p w14:paraId="6055A5A2" w14:textId="77777777" w:rsidR="0018425E" w:rsidRPr="00556DE0" w:rsidRDefault="0018425E" w:rsidP="00F3215A">
      <w:pPr>
        <w:pStyle w:val="FootnoteText"/>
        <w:ind w:right="1444"/>
        <w:jc w:val="both"/>
        <w:rPr>
          <w:rFonts w:ascii="Verdana" w:hAnsi="Verdana"/>
          <w:sz w:val="16"/>
          <w:szCs w:val="16"/>
          <w:lang w:val="es-CR"/>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r>
      <w:r w:rsidRPr="00556DE0">
        <w:rPr>
          <w:rFonts w:ascii="Verdana" w:hAnsi="Verdana"/>
          <w:sz w:val="16"/>
          <w:szCs w:val="16"/>
          <w:lang w:val="es-CR"/>
        </w:rPr>
        <w:t xml:space="preserve">Fueron condenados en primera instancia Juan Acabal Patzan, como autor responsable de seis delitos de asesinato; Francisco Grave Tun, como autor de dos delitos de asesinato y Marcelino Tuy Taniel y Nazario Tuy Taniel, como autores responsables de fabricación o tenencia de materias explosivas. </w:t>
      </w:r>
    </w:p>
  </w:footnote>
  <w:footnote w:id="103">
    <w:p w14:paraId="50C03295" w14:textId="77777777" w:rsidR="0018425E" w:rsidRPr="00556DE0" w:rsidRDefault="0018425E" w:rsidP="00F3215A">
      <w:pPr>
        <w:pStyle w:val="FootnoteText"/>
        <w:jc w:val="both"/>
        <w:rPr>
          <w:rFonts w:ascii="Verdana" w:hAnsi="Verdana"/>
          <w:sz w:val="16"/>
          <w:szCs w:val="16"/>
          <w:lang w:val="es-CR"/>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r>
      <w:r w:rsidRPr="00556DE0">
        <w:rPr>
          <w:rFonts w:ascii="Verdana" w:hAnsi="Verdana"/>
          <w:sz w:val="16"/>
          <w:szCs w:val="16"/>
          <w:lang w:val="es-CR"/>
        </w:rPr>
        <w:t xml:space="preserve">Fueron absueltos en segunda instancia Juan Acabal Patzán y Franciso Grave Tum. </w:t>
      </w:r>
    </w:p>
  </w:footnote>
  <w:footnote w:id="104">
    <w:p w14:paraId="78616C32" w14:textId="62972391" w:rsidR="0018425E" w:rsidRPr="00556DE0" w:rsidRDefault="0018425E" w:rsidP="00F3215A">
      <w:pPr>
        <w:pStyle w:val="FootnoteText"/>
        <w:jc w:val="both"/>
        <w:rPr>
          <w:rFonts w:ascii="Verdana" w:hAnsi="Verdana"/>
          <w:sz w:val="16"/>
          <w:szCs w:val="16"/>
          <w:lang w:val="es-CR"/>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t xml:space="preserve">En segunda instancia, </w:t>
      </w:r>
      <w:r w:rsidRPr="00556DE0">
        <w:rPr>
          <w:rFonts w:ascii="Verdana" w:hAnsi="Verdana"/>
          <w:sz w:val="16"/>
          <w:szCs w:val="16"/>
          <w:lang w:val="es-CR"/>
        </w:rPr>
        <w:t>fueron puestos en libertad Marcelino Tuy Taniel y Nazario Tuy Taniel.</w:t>
      </w:r>
    </w:p>
  </w:footnote>
  <w:footnote w:id="105">
    <w:p w14:paraId="4C80B3D9" w14:textId="77777777" w:rsidR="0018425E" w:rsidRPr="00556DE0" w:rsidRDefault="0018425E" w:rsidP="00F3215A">
      <w:pPr>
        <w:pStyle w:val="FootnoteText"/>
        <w:ind w:right="1444"/>
        <w:jc w:val="both"/>
        <w:rPr>
          <w:rFonts w:ascii="Verdana" w:hAnsi="Verdana"/>
          <w:sz w:val="16"/>
          <w:szCs w:val="16"/>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t xml:space="preserve">El Estado señaló que 1) se habrían identificado y ubicado a diez testigos presenciales, 2) se solicitó la certificación de documentos relacionados con el manejo de evidencia balística, 3) se iniciaron “diligencias para determinar el paradero de algunas evidencias que fueron recolectadas con motivo del hecho que se investiga”, 4) se solicitaron informes “de datos personales del personal que laboró en [el Ministerio de Gobernación]”, 5) se contó con una declaración del señor Mario Enrique Gómez Ayala, y 6) se realizaron cuatro solicitudes de información respectivamente al “DIGECAM”, al Director del Sistema Penitenciario, al Director General de Migración y al Registro Nacional de las Personas. </w:t>
      </w:r>
    </w:p>
  </w:footnote>
  <w:footnote w:id="106">
    <w:p w14:paraId="00806513" w14:textId="743024B3" w:rsidR="0018425E" w:rsidRPr="00556DE0" w:rsidRDefault="0018425E" w:rsidP="00F3215A">
      <w:pPr>
        <w:pStyle w:val="FootnoteText"/>
        <w:ind w:right="1444"/>
        <w:jc w:val="both"/>
        <w:rPr>
          <w:rFonts w:ascii="Verdana" w:hAnsi="Verdana"/>
          <w:sz w:val="16"/>
          <w:szCs w:val="16"/>
          <w:lang w:val="es-CR"/>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r>
      <w:r w:rsidRPr="00556DE0">
        <w:rPr>
          <w:rFonts w:ascii="Verdana" w:hAnsi="Verdana"/>
          <w:sz w:val="16"/>
          <w:szCs w:val="16"/>
          <w:lang w:val="es-CR"/>
        </w:rPr>
        <w:t xml:space="preserve">Además, se habría identificado a “testigos que poseen información sobre los posibles autores materiales del hecho ocurrido”; se habría solicitado “información al Registro de Ciudadanos del Tribunal Supremo Electoral, a la Dirección General de Control de Armas y Municiones y al Gabinete de la Policía Nacional Civil con el objeto de individualizar a los posibles sindicados”; se habrían encontrado “nuevos indicios como medios probatorios para individualizar a los supuestos autores materiales del hecho”; se realizaron “investigaciones de campo para ubicar las residencias de los posibles autores materiales del hecho”,  “se realizaron actividades de coordinación […] para continuar la investigación, y “se continúa la investigación para identificar a los posibles autores intelectuales con el fin de cumplir el compromiso que tiene el Ministerio Público de esclarecer el hecho”. </w:t>
      </w:r>
    </w:p>
  </w:footnote>
  <w:footnote w:id="107">
    <w:p w14:paraId="6B86A6BD" w14:textId="606CF337" w:rsidR="0018425E" w:rsidRPr="00556DE0" w:rsidRDefault="0018425E" w:rsidP="00170A19">
      <w:pPr>
        <w:pStyle w:val="FootnoteText"/>
        <w:ind w:right="1444"/>
        <w:jc w:val="both"/>
        <w:rPr>
          <w:rFonts w:ascii="Verdana" w:hAnsi="Verdana"/>
          <w:b/>
          <w:sz w:val="16"/>
          <w:szCs w:val="16"/>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r>
      <w:r w:rsidRPr="00556DE0">
        <w:rPr>
          <w:rFonts w:ascii="Verdana" w:hAnsi="Verdana"/>
          <w:i/>
          <w:sz w:val="16"/>
          <w:szCs w:val="16"/>
        </w:rPr>
        <w:t>Cfr.</w:t>
      </w:r>
      <w:r w:rsidRPr="00556DE0">
        <w:rPr>
          <w:rFonts w:ascii="Verdana" w:hAnsi="Verdana"/>
          <w:b/>
          <w:i/>
          <w:sz w:val="16"/>
          <w:szCs w:val="16"/>
        </w:rPr>
        <w:t xml:space="preserve"> </w:t>
      </w:r>
      <w:r w:rsidRPr="00556DE0">
        <w:rPr>
          <w:rStyle w:val="Strong"/>
          <w:rFonts w:ascii="Verdana" w:hAnsi="Verdana"/>
          <w:b w:val="0"/>
          <w:i/>
          <w:color w:val="000000"/>
          <w:sz w:val="16"/>
          <w:szCs w:val="16"/>
          <w:shd w:val="clear" w:color="auto" w:fill="FFFFFF"/>
        </w:rPr>
        <w:t>Caso Tiu Tojín Vs. Guatemala. Supervisión de Cumplimiento de Sentencia.</w:t>
      </w:r>
      <w:r w:rsidRPr="00556DE0">
        <w:rPr>
          <w:rStyle w:val="Strong"/>
          <w:rFonts w:ascii="Verdana" w:hAnsi="Verdana"/>
          <w:b w:val="0"/>
          <w:color w:val="000000"/>
          <w:sz w:val="16"/>
          <w:szCs w:val="16"/>
          <w:shd w:val="clear" w:color="auto" w:fill="FFFFFF"/>
        </w:rPr>
        <w:t xml:space="preserve"> Resolución de la Corte Interamericana de Derechos Humanos 16 de mayo de 2011, Considerandos 6, 9 y 12</w:t>
      </w:r>
    </w:p>
  </w:footnote>
  <w:footnote w:id="108">
    <w:p w14:paraId="47B6059F" w14:textId="4E65E42E" w:rsidR="0018425E" w:rsidRPr="00556DE0" w:rsidRDefault="0018425E" w:rsidP="00AD2ABD">
      <w:pPr>
        <w:pStyle w:val="FootnoteText"/>
        <w:ind w:right="1444"/>
        <w:jc w:val="both"/>
        <w:rPr>
          <w:rFonts w:ascii="Verdana" w:hAnsi="Verdana"/>
          <w:b/>
          <w:sz w:val="16"/>
          <w:szCs w:val="16"/>
          <w:lang w:val="es-CR"/>
        </w:rPr>
      </w:pPr>
      <w:r w:rsidRPr="00556DE0">
        <w:rPr>
          <w:rStyle w:val="FootnoteReference"/>
          <w:rFonts w:ascii="Verdana" w:hAnsi="Verdana"/>
          <w:sz w:val="16"/>
          <w:szCs w:val="16"/>
        </w:rPr>
        <w:footnoteRef/>
      </w:r>
      <w:r w:rsidRPr="00556DE0">
        <w:rPr>
          <w:rFonts w:ascii="Verdana" w:hAnsi="Verdana"/>
          <w:sz w:val="16"/>
          <w:szCs w:val="16"/>
          <w:lang w:val="es-CR"/>
        </w:rPr>
        <w:t xml:space="preserve"> </w:t>
      </w:r>
      <w:r w:rsidRPr="00556DE0">
        <w:rPr>
          <w:rFonts w:ascii="Verdana" w:hAnsi="Verdana"/>
          <w:sz w:val="16"/>
          <w:szCs w:val="16"/>
          <w:lang w:val="es-CR"/>
        </w:rPr>
        <w:tab/>
        <w:t xml:space="preserve">En el dicho informe se indican los nombres de las catorce personas  identificadas como presuntos responsables de los hechos. </w:t>
      </w:r>
    </w:p>
  </w:footnote>
  <w:footnote w:id="109">
    <w:p w14:paraId="04207452" w14:textId="5EB7E524" w:rsidR="0018425E" w:rsidRPr="00556DE0" w:rsidRDefault="0018425E" w:rsidP="00BF7BA9">
      <w:pPr>
        <w:pStyle w:val="FootnoteText"/>
        <w:ind w:right="1444"/>
        <w:jc w:val="both"/>
        <w:rPr>
          <w:rFonts w:ascii="Verdana" w:hAnsi="Verdana"/>
          <w:sz w:val="16"/>
          <w:szCs w:val="16"/>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t xml:space="preserve">En este sentido, </w:t>
      </w:r>
      <w:r w:rsidRPr="00556DE0">
        <w:rPr>
          <w:rFonts w:ascii="Verdana" w:hAnsi="Verdana"/>
          <w:sz w:val="16"/>
          <w:szCs w:val="16"/>
          <w:lang w:val="es-CR"/>
        </w:rPr>
        <w:t xml:space="preserve">el Ministerio Público ha informado que el Ministerio de la Defensa Nacional ha denegado los requerimientos “que se le han hecho relacionados con el caso, según oficios” de fecha 4 de julio de 2012 y 12 de junio de 2012. </w:t>
      </w:r>
    </w:p>
  </w:footnote>
  <w:footnote w:id="110">
    <w:p w14:paraId="52EAC23A" w14:textId="064E0F77" w:rsidR="0018425E" w:rsidRPr="00556DE0" w:rsidRDefault="0018425E" w:rsidP="00F57746">
      <w:pPr>
        <w:pStyle w:val="FootnoteText"/>
        <w:ind w:right="1444"/>
        <w:jc w:val="both"/>
        <w:rPr>
          <w:rFonts w:ascii="Verdana" w:hAnsi="Verdana"/>
          <w:sz w:val="16"/>
          <w:szCs w:val="16"/>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t>Sobre ello, los representant</w:t>
      </w:r>
      <w:r w:rsidRPr="00556DE0">
        <w:rPr>
          <w:rFonts w:ascii="Verdana" w:hAnsi="Verdana"/>
          <w:sz w:val="16"/>
          <w:szCs w:val="16"/>
          <w:lang w:val="es-CR"/>
        </w:rPr>
        <w:t>e</w:t>
      </w:r>
      <w:r w:rsidRPr="00556DE0">
        <w:rPr>
          <w:rFonts w:ascii="Verdana" w:hAnsi="Verdana"/>
          <w:sz w:val="16"/>
          <w:szCs w:val="16"/>
        </w:rPr>
        <w:t xml:space="preserve">s hicieron notar que “el Estado es el único responsable directo de investigar, juzgar y, en su caso, sancionar a los </w:t>
      </w:r>
      <w:r w:rsidRPr="00556DE0">
        <w:rPr>
          <w:rFonts w:ascii="Verdana" w:hAnsi="Verdana"/>
          <w:sz w:val="16"/>
          <w:szCs w:val="16"/>
          <w:lang w:val="es-CR"/>
        </w:rPr>
        <w:t>responsables</w:t>
      </w:r>
      <w:r w:rsidRPr="00556DE0">
        <w:rPr>
          <w:rFonts w:ascii="Verdana" w:hAnsi="Verdana"/>
          <w:sz w:val="16"/>
          <w:szCs w:val="16"/>
        </w:rPr>
        <w:t>”, y que si bien pueden participar en el proceso de esclarecimiento de los hechos, no están de acuerdo que Guatemala “refleje vulnerabilidades o acciones sin resultado atribuyéndolas únicamente a [su] representación”.</w:t>
      </w:r>
    </w:p>
  </w:footnote>
  <w:footnote w:id="111">
    <w:p w14:paraId="1AEBBE24" w14:textId="77777777" w:rsidR="0018425E" w:rsidRPr="00556DE0" w:rsidRDefault="0018425E" w:rsidP="00D37766">
      <w:pPr>
        <w:pStyle w:val="FootnoteText"/>
        <w:ind w:right="1444"/>
        <w:jc w:val="both"/>
        <w:rPr>
          <w:rFonts w:ascii="Verdana" w:hAnsi="Verdana"/>
          <w:sz w:val="16"/>
          <w:szCs w:val="16"/>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t xml:space="preserve">Al respecto, el Estado señaló que </w:t>
      </w:r>
      <w:r w:rsidRPr="00556DE0">
        <w:rPr>
          <w:rFonts w:ascii="Verdana" w:hAnsi="Verdana"/>
          <w:sz w:val="16"/>
          <w:szCs w:val="16"/>
          <w:lang w:val="es-CR"/>
        </w:rPr>
        <w:t>habría</w:t>
      </w:r>
      <w:r w:rsidRPr="00556DE0">
        <w:rPr>
          <w:rFonts w:ascii="Verdana" w:hAnsi="Verdana"/>
          <w:sz w:val="16"/>
          <w:szCs w:val="16"/>
        </w:rPr>
        <w:t xml:space="preserve"> exhumado osamentas “en distintos puntos del país”. </w:t>
      </w:r>
    </w:p>
  </w:footnote>
  <w:footnote w:id="112">
    <w:p w14:paraId="246F4C86" w14:textId="7CD496DF" w:rsidR="0018425E" w:rsidRPr="00556DE0" w:rsidRDefault="0018425E" w:rsidP="00734BCA">
      <w:pPr>
        <w:pStyle w:val="FootnoteText"/>
        <w:ind w:right="1444"/>
        <w:jc w:val="both"/>
        <w:rPr>
          <w:rFonts w:ascii="Verdana" w:hAnsi="Verdana"/>
          <w:sz w:val="16"/>
          <w:szCs w:val="16"/>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r>
      <w:r w:rsidRPr="00556DE0">
        <w:rPr>
          <w:rFonts w:ascii="Verdana" w:hAnsi="Verdana"/>
          <w:i/>
          <w:sz w:val="16"/>
          <w:szCs w:val="16"/>
        </w:rPr>
        <w:t xml:space="preserve">Cfr. </w:t>
      </w:r>
      <w:r w:rsidRPr="00556DE0">
        <w:rPr>
          <w:rStyle w:val="Strong"/>
          <w:rFonts w:ascii="Verdana" w:hAnsi="Verdana"/>
          <w:b w:val="0"/>
          <w:i/>
          <w:color w:val="000000"/>
          <w:sz w:val="16"/>
          <w:szCs w:val="16"/>
          <w:shd w:val="clear" w:color="auto" w:fill="FFFFFF"/>
        </w:rPr>
        <w:t>Caso De la Masacre de las Dos Erres Vs. Guatemala. Supervisión de Cumplimiento de Sentencia.</w:t>
      </w:r>
      <w:r w:rsidRPr="00556DE0">
        <w:rPr>
          <w:rStyle w:val="Strong"/>
          <w:rFonts w:ascii="Verdana" w:hAnsi="Verdana"/>
          <w:b w:val="0"/>
          <w:color w:val="000000"/>
          <w:sz w:val="16"/>
          <w:szCs w:val="16"/>
          <w:shd w:val="clear" w:color="auto" w:fill="FFFFFF"/>
        </w:rPr>
        <w:t xml:space="preserve"> Resolución de la Corte Interamericana de Derechos Humanos de 4 de septiembre de 2012, Considerando 7.</w:t>
      </w:r>
    </w:p>
  </w:footnote>
  <w:footnote w:id="113">
    <w:p w14:paraId="1502CC63" w14:textId="5247B6E4" w:rsidR="0018425E" w:rsidRPr="00556DE0" w:rsidRDefault="0018425E" w:rsidP="000B5905">
      <w:pPr>
        <w:pStyle w:val="FootnoteText"/>
        <w:ind w:right="1444"/>
        <w:jc w:val="both"/>
        <w:rPr>
          <w:rFonts w:ascii="Verdana" w:hAnsi="Verdana"/>
          <w:sz w:val="16"/>
          <w:szCs w:val="16"/>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r>
      <w:r w:rsidRPr="00556DE0">
        <w:rPr>
          <w:rFonts w:ascii="Verdana" w:hAnsi="Verdana"/>
          <w:i/>
          <w:sz w:val="16"/>
          <w:szCs w:val="16"/>
        </w:rPr>
        <w:t xml:space="preserve">Cfr. </w:t>
      </w:r>
      <w:r w:rsidRPr="00556DE0">
        <w:rPr>
          <w:rStyle w:val="Strong"/>
          <w:rFonts w:ascii="Verdana" w:hAnsi="Verdana"/>
          <w:b w:val="0"/>
          <w:i/>
          <w:color w:val="000000"/>
          <w:sz w:val="16"/>
          <w:szCs w:val="16"/>
          <w:shd w:val="clear" w:color="auto" w:fill="FFFFFF"/>
        </w:rPr>
        <w:t>Caso De la Masacre de las Dos Erres Vs. Guatemala. Supervisión de Cumplimiento de Sentencia.</w:t>
      </w:r>
      <w:r w:rsidRPr="00556DE0">
        <w:rPr>
          <w:rStyle w:val="Strong"/>
          <w:rFonts w:ascii="Verdana" w:hAnsi="Verdana"/>
          <w:b w:val="0"/>
          <w:color w:val="000000"/>
          <w:sz w:val="16"/>
          <w:szCs w:val="16"/>
          <w:shd w:val="clear" w:color="auto" w:fill="FFFFFF"/>
        </w:rPr>
        <w:t xml:space="preserve"> Resolución de la Corte Interamericana de Derechos Humanos de 4 de septiembre de 2012, Considerando 8.</w:t>
      </w:r>
    </w:p>
  </w:footnote>
  <w:footnote w:id="114">
    <w:p w14:paraId="003B79D9" w14:textId="0F333D7F" w:rsidR="0018425E" w:rsidRPr="00556DE0" w:rsidRDefault="0018425E" w:rsidP="000B5905">
      <w:pPr>
        <w:pStyle w:val="FootnoteText"/>
        <w:ind w:right="1444"/>
        <w:jc w:val="both"/>
        <w:rPr>
          <w:rFonts w:ascii="Verdana" w:hAnsi="Verdana"/>
          <w:sz w:val="16"/>
          <w:szCs w:val="16"/>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r>
      <w:r w:rsidRPr="00556DE0">
        <w:rPr>
          <w:rFonts w:ascii="Verdana" w:hAnsi="Verdana"/>
          <w:i/>
          <w:sz w:val="16"/>
          <w:szCs w:val="16"/>
        </w:rPr>
        <w:t xml:space="preserve">Cfr. </w:t>
      </w:r>
      <w:r w:rsidRPr="00556DE0">
        <w:rPr>
          <w:rStyle w:val="Strong"/>
          <w:rFonts w:ascii="Verdana" w:hAnsi="Verdana"/>
          <w:b w:val="0"/>
          <w:i/>
          <w:color w:val="000000"/>
          <w:sz w:val="16"/>
          <w:szCs w:val="16"/>
          <w:shd w:val="clear" w:color="auto" w:fill="FFFFFF"/>
        </w:rPr>
        <w:t>Caso De la Masacre de las Dos Erres Vs. Guatemala. Supervisión de Cumplimiento de Sentencia.</w:t>
      </w:r>
      <w:r w:rsidRPr="00556DE0">
        <w:rPr>
          <w:rStyle w:val="Strong"/>
          <w:rFonts w:ascii="Verdana" w:hAnsi="Verdana"/>
          <w:b w:val="0"/>
          <w:color w:val="000000"/>
          <w:sz w:val="16"/>
          <w:szCs w:val="16"/>
          <w:shd w:val="clear" w:color="auto" w:fill="FFFFFF"/>
        </w:rPr>
        <w:t xml:space="preserve"> Resolución de la Corte Interamericana de Derechos Humanos de 4 de septiembre de 2012, Considerandos 7 y 8.</w:t>
      </w:r>
    </w:p>
  </w:footnote>
  <w:footnote w:id="115">
    <w:p w14:paraId="4BC25123" w14:textId="1855B73B" w:rsidR="0018425E" w:rsidRPr="00556DE0" w:rsidRDefault="0018425E" w:rsidP="00E3322A">
      <w:pPr>
        <w:pStyle w:val="FootnoteText"/>
        <w:ind w:right="1444"/>
        <w:jc w:val="both"/>
        <w:rPr>
          <w:rFonts w:ascii="Verdana" w:hAnsi="Verdana"/>
          <w:sz w:val="16"/>
          <w:szCs w:val="16"/>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r>
      <w:r w:rsidRPr="00556DE0">
        <w:rPr>
          <w:rFonts w:ascii="Verdana" w:hAnsi="Verdana"/>
          <w:i/>
          <w:sz w:val="16"/>
          <w:szCs w:val="16"/>
        </w:rPr>
        <w:t xml:space="preserve">Cfr. </w:t>
      </w:r>
      <w:r w:rsidRPr="00556DE0">
        <w:rPr>
          <w:rStyle w:val="Strong"/>
          <w:rFonts w:ascii="Verdana" w:hAnsi="Verdana"/>
          <w:b w:val="0"/>
          <w:i/>
          <w:color w:val="000000"/>
          <w:sz w:val="16"/>
          <w:szCs w:val="16"/>
          <w:shd w:val="clear" w:color="auto" w:fill="FFFFFF"/>
        </w:rPr>
        <w:t>Caso De la Masacre de las Dos Erres Vs. Guatemala. Supervisión de Cumplimiento de Sentencia.</w:t>
      </w:r>
      <w:r w:rsidRPr="00556DE0">
        <w:rPr>
          <w:rStyle w:val="Strong"/>
          <w:rFonts w:ascii="Verdana" w:hAnsi="Verdana"/>
          <w:b w:val="0"/>
          <w:color w:val="000000"/>
          <w:sz w:val="16"/>
          <w:szCs w:val="16"/>
          <w:shd w:val="clear" w:color="auto" w:fill="FFFFFF"/>
        </w:rPr>
        <w:t xml:space="preserve"> Resolución de la Corte Interamericana de Derechos Humanos de 4 de septiembre de 2012, Considerando 11.</w:t>
      </w:r>
    </w:p>
  </w:footnote>
  <w:footnote w:id="116">
    <w:p w14:paraId="3C79FBA9" w14:textId="6668987B" w:rsidR="0018425E" w:rsidRPr="00556DE0" w:rsidRDefault="0018425E" w:rsidP="00D11684">
      <w:pPr>
        <w:pStyle w:val="FootnoteText"/>
        <w:ind w:right="1444"/>
        <w:jc w:val="both"/>
        <w:rPr>
          <w:rFonts w:ascii="Verdana" w:hAnsi="Verdana"/>
          <w:sz w:val="16"/>
          <w:szCs w:val="16"/>
          <w:lang w:val="es-CR"/>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t xml:space="preserve">En el informe del Ministerio Público se indican los nombres de estos diecisiete sindicados. </w:t>
      </w:r>
    </w:p>
  </w:footnote>
  <w:footnote w:id="117">
    <w:p w14:paraId="6EF581FF" w14:textId="77777777" w:rsidR="0018425E" w:rsidRPr="00556DE0" w:rsidRDefault="0018425E" w:rsidP="00A42E11">
      <w:pPr>
        <w:pStyle w:val="FootnoteText"/>
        <w:ind w:right="1444"/>
        <w:jc w:val="both"/>
        <w:rPr>
          <w:rFonts w:ascii="Verdana" w:hAnsi="Verdana"/>
          <w:sz w:val="16"/>
          <w:szCs w:val="16"/>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t xml:space="preserve">Destacaron la calendarización de “mesas de trabajo e intercambios de información con Interpol Guatemala, los cuales a la fecha, no han aportado </w:t>
      </w:r>
      <w:r w:rsidRPr="00556DE0">
        <w:rPr>
          <w:rFonts w:ascii="Verdana" w:hAnsi="Verdana"/>
          <w:sz w:val="16"/>
          <w:szCs w:val="16"/>
          <w:lang w:val="es-CR"/>
        </w:rPr>
        <w:t>resultados</w:t>
      </w:r>
      <w:r w:rsidRPr="00556DE0">
        <w:rPr>
          <w:rFonts w:ascii="Verdana" w:hAnsi="Verdana"/>
          <w:sz w:val="16"/>
          <w:szCs w:val="16"/>
        </w:rPr>
        <w:t xml:space="preserve"> positivos a pesar de existir notificaciones rojas en la base de datos de Interpol”, y el “intercambio de información con el Departamento de Justicia de los Estados Unidos de América […] en mayo de 2.015 relacionada al seguimiento de las personas pendientes de aprehensión y que según fuentes extraoficiales, se encontrarían residiendo en territorio norteamericano”.</w:t>
      </w:r>
    </w:p>
  </w:footnote>
  <w:footnote w:id="118">
    <w:p w14:paraId="554C2B6A" w14:textId="08507908" w:rsidR="0018425E" w:rsidRPr="00556DE0" w:rsidRDefault="0018425E" w:rsidP="004931DE">
      <w:pPr>
        <w:pStyle w:val="FootnoteText"/>
        <w:ind w:right="1444"/>
        <w:jc w:val="both"/>
        <w:rPr>
          <w:rFonts w:ascii="Verdana" w:hAnsi="Verdana"/>
          <w:sz w:val="16"/>
          <w:szCs w:val="16"/>
          <w:lang w:val="es-CR"/>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r>
      <w:r w:rsidRPr="00556DE0">
        <w:rPr>
          <w:rFonts w:ascii="Verdana" w:hAnsi="Verdana"/>
          <w:sz w:val="16"/>
          <w:szCs w:val="16"/>
          <w:lang w:val="es-CR"/>
        </w:rPr>
        <w:t>En cuando a los sindicados que se encontrarían en territorio guatemalteco, hicieron notar que el Estado no proporcionó “información acerca de la fecha de constitución de[l] grupo de trabajo [conformado en la División Especializada de Investigación Criminal de la Policía], de su plan de actuación ni de posibles avances o diligencias llevadas a cabo”. En cuanto a los sindicados que se encontrarían en el extranjero hicieron notar que de la información aportada por el Estado no es posible determinar si los trámites realizados habrían tenido algún resultado.</w:t>
      </w:r>
    </w:p>
  </w:footnote>
  <w:footnote w:id="119">
    <w:p w14:paraId="6E27D621" w14:textId="77777777" w:rsidR="0018425E" w:rsidRPr="00556DE0" w:rsidRDefault="0018425E" w:rsidP="00151D99">
      <w:pPr>
        <w:spacing w:after="0" w:line="240" w:lineRule="auto"/>
        <w:ind w:right="1444"/>
        <w:jc w:val="both"/>
        <w:rPr>
          <w:rFonts w:ascii="Verdana" w:hAnsi="Verdana" w:cs="Verdana"/>
          <w:sz w:val="16"/>
          <w:szCs w:val="16"/>
          <w:lang w:val="es-UY"/>
        </w:rPr>
      </w:pPr>
      <w:r w:rsidRPr="00556DE0">
        <w:rPr>
          <w:rStyle w:val="FootnoteReference"/>
          <w:rFonts w:ascii="Verdana" w:hAnsi="Verdana"/>
          <w:sz w:val="16"/>
          <w:szCs w:val="16"/>
        </w:rPr>
        <w:footnoteRef/>
      </w:r>
      <w:r w:rsidRPr="00556DE0">
        <w:rPr>
          <w:rFonts w:ascii="Verdana" w:hAnsi="Verdana"/>
          <w:sz w:val="16"/>
          <w:szCs w:val="16"/>
          <w:lang w:val="es-CR"/>
        </w:rPr>
        <w:t xml:space="preserve"> </w:t>
      </w:r>
      <w:r w:rsidRPr="00556DE0">
        <w:rPr>
          <w:rFonts w:ascii="Verdana" w:hAnsi="Verdana"/>
          <w:sz w:val="16"/>
          <w:szCs w:val="16"/>
          <w:lang w:val="es-CR"/>
        </w:rPr>
        <w:tab/>
      </w:r>
      <w:r w:rsidRPr="00556DE0">
        <w:rPr>
          <w:rFonts w:ascii="Verdana" w:hAnsi="Verdana" w:cs="Verdana"/>
          <w:sz w:val="16"/>
          <w:szCs w:val="16"/>
          <w:lang w:val="es-ES"/>
        </w:rPr>
        <w:t xml:space="preserve">Conforme al Informe del Ministerio Público </w:t>
      </w:r>
      <w:r w:rsidRPr="00556DE0">
        <w:rPr>
          <w:rFonts w:ascii="Verdana" w:hAnsi="Verdana"/>
          <w:sz w:val="16"/>
          <w:szCs w:val="16"/>
          <w:lang w:val="es-CR"/>
        </w:rPr>
        <w:t>de mayo de 2014</w:t>
      </w:r>
      <w:r w:rsidRPr="00556DE0">
        <w:rPr>
          <w:rFonts w:ascii="Verdana" w:hAnsi="Verdana" w:cs="Verdana"/>
          <w:sz w:val="16"/>
          <w:szCs w:val="16"/>
          <w:lang w:val="es-ES"/>
        </w:rPr>
        <w:t>, se interpusieron los siguientes recursos judiciales por el señor José Efraín Ríos Montt: a) amparo N° 339-2012, que dio lugar a la interposición de recursos de apelación verbal,  reposición, apelación y acción de inconstitucionalidad; b) amparo N° 1192-2012, y c) amparo N° 1415-2013, que dio lugar a la interposición de recursos de apelación. También, el señor Carlos Antonio Carias López interpuso un recurso de amparo, identificado con el N° 151-2014.</w:t>
      </w:r>
    </w:p>
  </w:footnote>
  <w:footnote w:id="120">
    <w:p w14:paraId="003CD8D9" w14:textId="45E98F6D" w:rsidR="0018425E" w:rsidRPr="00556DE0" w:rsidRDefault="0018425E" w:rsidP="00151D99">
      <w:pPr>
        <w:pStyle w:val="FootnoteText"/>
        <w:ind w:right="1444"/>
        <w:jc w:val="both"/>
        <w:rPr>
          <w:rFonts w:ascii="Verdana" w:hAnsi="Verdana"/>
          <w:sz w:val="16"/>
          <w:szCs w:val="16"/>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t xml:space="preserve">Se refirió a </w:t>
      </w:r>
      <w:r w:rsidRPr="00556DE0">
        <w:rPr>
          <w:rFonts w:ascii="Verdana" w:hAnsi="Verdana"/>
          <w:sz w:val="16"/>
          <w:szCs w:val="16"/>
          <w:lang w:val="es-CR"/>
        </w:rPr>
        <w:t>la falta de información por los órganos jurisdiccionales de los Estados Unidos de América sobre el juicio que en dicha jurisdicción se lleva en contra de Jorge Vinicio Sosa Orantes, del cual también es testigo el señor Santos López Alonso, y los cuales impiden su extradición a Guatemala</w:t>
      </w:r>
      <w:r w:rsidRPr="00556DE0">
        <w:rPr>
          <w:rFonts w:ascii="Verdana" w:hAnsi="Verdana"/>
          <w:sz w:val="16"/>
          <w:szCs w:val="16"/>
        </w:rPr>
        <w:t xml:space="preserve">. </w:t>
      </w:r>
    </w:p>
  </w:footnote>
  <w:footnote w:id="121">
    <w:p w14:paraId="4F48F5F9" w14:textId="3140759E" w:rsidR="0018425E" w:rsidRPr="00556DE0" w:rsidRDefault="0018425E" w:rsidP="00ED3F07">
      <w:pPr>
        <w:pStyle w:val="FootnoteText"/>
        <w:ind w:right="1444"/>
        <w:jc w:val="both"/>
        <w:rPr>
          <w:rFonts w:ascii="Verdana" w:hAnsi="Verdana"/>
          <w:sz w:val="16"/>
          <w:szCs w:val="16"/>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r>
      <w:r w:rsidRPr="00556DE0">
        <w:rPr>
          <w:rFonts w:ascii="Verdana" w:hAnsi="Verdana"/>
          <w:i/>
          <w:sz w:val="16"/>
          <w:szCs w:val="16"/>
        </w:rPr>
        <w:t xml:space="preserve">Cfr. </w:t>
      </w:r>
      <w:r w:rsidRPr="00556DE0">
        <w:rPr>
          <w:rStyle w:val="Strong"/>
          <w:rFonts w:ascii="Verdana" w:hAnsi="Verdana"/>
          <w:b w:val="0"/>
          <w:i/>
          <w:color w:val="000000"/>
          <w:sz w:val="16"/>
          <w:szCs w:val="16"/>
          <w:shd w:val="clear" w:color="auto" w:fill="FFFFFF"/>
        </w:rPr>
        <w:t>Caso Chitay Nech y otros Vs. Guatemala. Excepciones Preliminares, Fondo, Reparaciones y Costas.</w:t>
      </w:r>
      <w:r w:rsidRPr="00556DE0">
        <w:rPr>
          <w:rStyle w:val="Strong"/>
          <w:rFonts w:ascii="Verdana" w:hAnsi="Verdana"/>
          <w:b w:val="0"/>
          <w:color w:val="000000"/>
          <w:sz w:val="16"/>
          <w:szCs w:val="16"/>
          <w:shd w:val="clear" w:color="auto" w:fill="FFFFFF"/>
        </w:rPr>
        <w:t xml:space="preserve"> Sentencia de 25 de mayo de 2010. Serie C No. 212, párrs. 231 y 233. </w:t>
      </w:r>
    </w:p>
  </w:footnote>
  <w:footnote w:id="122">
    <w:p w14:paraId="6C3D2D8D" w14:textId="658746A1" w:rsidR="0018425E" w:rsidRPr="00556DE0" w:rsidRDefault="0018425E" w:rsidP="00ED3F07">
      <w:pPr>
        <w:pStyle w:val="FootnoteText"/>
        <w:ind w:right="1444"/>
        <w:rPr>
          <w:rFonts w:ascii="Verdana" w:hAnsi="Verdana"/>
          <w:sz w:val="16"/>
          <w:szCs w:val="16"/>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r>
      <w:r w:rsidRPr="00556DE0">
        <w:rPr>
          <w:rFonts w:ascii="Verdana" w:hAnsi="Verdana"/>
          <w:i/>
          <w:sz w:val="16"/>
          <w:szCs w:val="16"/>
        </w:rPr>
        <w:t xml:space="preserve">Cfr. </w:t>
      </w:r>
      <w:r w:rsidRPr="00556DE0">
        <w:rPr>
          <w:rStyle w:val="Strong"/>
          <w:rFonts w:ascii="Verdana" w:hAnsi="Verdana"/>
          <w:b w:val="0"/>
          <w:i/>
          <w:color w:val="000000"/>
          <w:sz w:val="16"/>
          <w:szCs w:val="16"/>
          <w:shd w:val="clear" w:color="auto" w:fill="FFFFFF"/>
        </w:rPr>
        <w:t>Caso Chitay Nech y otros Vs. Guatemala. Supervisión de Cumplimiento de Sentencia.</w:t>
      </w:r>
      <w:r w:rsidRPr="00556DE0">
        <w:rPr>
          <w:rStyle w:val="Strong"/>
          <w:rFonts w:ascii="Verdana" w:hAnsi="Verdana"/>
          <w:b w:val="0"/>
          <w:color w:val="000000"/>
          <w:sz w:val="16"/>
          <w:szCs w:val="16"/>
          <w:shd w:val="clear" w:color="auto" w:fill="FFFFFF"/>
        </w:rPr>
        <w:t xml:space="preserve"> Resolución de la Corte Interamericana de Derechos Humanos de 22 de agosto de 2013, Considerandos 6 a 15.</w:t>
      </w:r>
    </w:p>
  </w:footnote>
  <w:footnote w:id="123">
    <w:p w14:paraId="25A70B05" w14:textId="20627F0C" w:rsidR="0018425E" w:rsidRPr="00556DE0" w:rsidRDefault="0018425E" w:rsidP="00F57746">
      <w:pPr>
        <w:pStyle w:val="FootnoteText"/>
        <w:ind w:right="1444"/>
        <w:jc w:val="both"/>
        <w:rPr>
          <w:rFonts w:ascii="Verdana" w:hAnsi="Verdana"/>
          <w:sz w:val="16"/>
          <w:szCs w:val="16"/>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r>
      <w:r w:rsidRPr="00556DE0">
        <w:rPr>
          <w:rFonts w:ascii="Verdana" w:hAnsi="Verdana" w:cs="Verdana"/>
          <w:sz w:val="16"/>
          <w:szCs w:val="16"/>
          <w:lang w:val="es-ES"/>
        </w:rPr>
        <w:t>La Corte, además, recordó al Estado “que no puede alegar cuestiones de derecho interno para incumplir sus compromisos internacionales, ya que la Sentencia dictada en el presente caso tiene carácter de cosa juzgada internacional y es vinculante en su integridad”.</w:t>
      </w:r>
    </w:p>
  </w:footnote>
  <w:footnote w:id="124">
    <w:p w14:paraId="030F29A4" w14:textId="26333957" w:rsidR="0018425E" w:rsidRPr="00556DE0" w:rsidRDefault="0018425E" w:rsidP="00F57746">
      <w:pPr>
        <w:pStyle w:val="FootnoteText"/>
        <w:ind w:right="1444"/>
        <w:jc w:val="both"/>
        <w:rPr>
          <w:rFonts w:ascii="Verdana" w:hAnsi="Verdana"/>
          <w:sz w:val="16"/>
          <w:szCs w:val="16"/>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t xml:space="preserve">Al respecto, el Estado se refirió a solicitudes de información al Ministerio de Defensa, y la presentación de informes de la Dirección de Investigaciones Criminalísticas del Ministerio Público, del Archivo Histórico de la Policía Nacional, de la Dirección General de Migración, de la </w:t>
      </w:r>
      <w:r w:rsidRPr="00556DE0">
        <w:rPr>
          <w:rFonts w:ascii="Verdana" w:hAnsi="Verdana" w:cs="Verdana"/>
          <w:sz w:val="16"/>
          <w:szCs w:val="16"/>
          <w:lang w:val="es-ES"/>
        </w:rPr>
        <w:t>Superintendencia</w:t>
      </w:r>
      <w:r w:rsidRPr="00556DE0">
        <w:rPr>
          <w:rFonts w:ascii="Verdana" w:hAnsi="Verdana"/>
          <w:sz w:val="16"/>
          <w:szCs w:val="16"/>
        </w:rPr>
        <w:t xml:space="preserve"> de Administración Tributaria, de distintas direcciones dentro de la Policía Nacional Civil, del Registro de Ciudadanos del Tribunal Supremo Electoral, del Centro de Recopilación, Análisis y Difusión de Información Criminal, de la Procuraduría de Derechos Humanos, del Registro Fiscal de Vehículos de la Superintendencia de Administración Tributaria, de la Dirección General del Sistema Penitenciario, y de la Dirección de Catastro y Avalúo de Bienes Inmuebles.</w:t>
      </w:r>
    </w:p>
  </w:footnote>
  <w:footnote w:id="125">
    <w:p w14:paraId="6675A1FA" w14:textId="2A396DA4" w:rsidR="0018425E" w:rsidRPr="00556DE0" w:rsidRDefault="0018425E" w:rsidP="00FF1E92">
      <w:pPr>
        <w:pStyle w:val="FootnoteText"/>
        <w:ind w:right="1444"/>
        <w:jc w:val="both"/>
        <w:rPr>
          <w:rFonts w:ascii="Verdana" w:hAnsi="Verdana"/>
          <w:sz w:val="16"/>
          <w:szCs w:val="16"/>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r>
      <w:r w:rsidRPr="00556DE0">
        <w:rPr>
          <w:rFonts w:ascii="Verdana" w:hAnsi="Verdana"/>
          <w:i/>
          <w:sz w:val="16"/>
          <w:szCs w:val="16"/>
        </w:rPr>
        <w:t xml:space="preserve">Cfr. </w:t>
      </w:r>
      <w:r w:rsidRPr="00556DE0">
        <w:rPr>
          <w:rStyle w:val="Strong"/>
          <w:rFonts w:ascii="Verdana" w:hAnsi="Verdana"/>
          <w:b w:val="0"/>
          <w:i/>
          <w:color w:val="000000"/>
          <w:sz w:val="16"/>
          <w:szCs w:val="16"/>
          <w:shd w:val="clear" w:color="auto" w:fill="FFFFFF"/>
        </w:rPr>
        <w:t>Caso Chitay Nech y otros Vs. Guatemala. Supervisión de Cumplimiento de Sentencia.</w:t>
      </w:r>
      <w:r w:rsidRPr="00556DE0">
        <w:rPr>
          <w:rStyle w:val="Strong"/>
          <w:rFonts w:ascii="Verdana" w:hAnsi="Verdana"/>
          <w:b w:val="0"/>
          <w:color w:val="000000"/>
          <w:sz w:val="16"/>
          <w:szCs w:val="16"/>
          <w:shd w:val="clear" w:color="auto" w:fill="FFFFFF"/>
        </w:rPr>
        <w:t xml:space="preserve"> Resolución de la Corte Interamericana de Derechos Humanos de 22 de agosto de 2013, Considerando 6.</w:t>
      </w:r>
    </w:p>
  </w:footnote>
  <w:footnote w:id="126">
    <w:p w14:paraId="511FB8D0" w14:textId="07167F03" w:rsidR="0018425E" w:rsidRPr="00556DE0" w:rsidRDefault="0018425E" w:rsidP="00FF1E92">
      <w:pPr>
        <w:pStyle w:val="FootnoteText"/>
        <w:ind w:right="1444"/>
        <w:rPr>
          <w:rFonts w:ascii="Verdana" w:hAnsi="Verdana"/>
          <w:sz w:val="16"/>
          <w:szCs w:val="16"/>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r>
      <w:r w:rsidRPr="00556DE0">
        <w:rPr>
          <w:rFonts w:ascii="Verdana" w:hAnsi="Verdana"/>
          <w:i/>
          <w:sz w:val="16"/>
          <w:szCs w:val="16"/>
        </w:rPr>
        <w:t xml:space="preserve">Cfr. </w:t>
      </w:r>
      <w:r w:rsidRPr="00556DE0">
        <w:rPr>
          <w:rStyle w:val="Strong"/>
          <w:rFonts w:ascii="Verdana" w:hAnsi="Verdana"/>
          <w:b w:val="0"/>
          <w:i/>
          <w:color w:val="000000"/>
          <w:sz w:val="16"/>
          <w:szCs w:val="16"/>
          <w:shd w:val="clear" w:color="auto" w:fill="FFFFFF"/>
        </w:rPr>
        <w:t>Caso Chitay Nech y otros Vs. Guatemala. Supervisión de Cumplimiento de Sentencia.</w:t>
      </w:r>
      <w:r w:rsidRPr="00556DE0">
        <w:rPr>
          <w:rStyle w:val="Strong"/>
          <w:rFonts w:ascii="Verdana" w:hAnsi="Verdana"/>
          <w:b w:val="0"/>
          <w:color w:val="000000"/>
          <w:sz w:val="16"/>
          <w:szCs w:val="16"/>
          <w:shd w:val="clear" w:color="auto" w:fill="FFFFFF"/>
        </w:rPr>
        <w:t xml:space="preserve"> Resolución de la Corte Interamericana de Derechos Humanos de 22 de agosto de 2013, Considerando 7.</w:t>
      </w:r>
    </w:p>
  </w:footnote>
  <w:footnote w:id="127">
    <w:p w14:paraId="59F8F840" w14:textId="77777777" w:rsidR="0018425E" w:rsidRPr="00556DE0" w:rsidRDefault="0018425E" w:rsidP="00C471B6">
      <w:pPr>
        <w:pStyle w:val="FootnoteText"/>
        <w:ind w:right="1440"/>
        <w:jc w:val="both"/>
        <w:rPr>
          <w:rFonts w:ascii="Verdana" w:hAnsi="Verdana"/>
          <w:sz w:val="16"/>
          <w:szCs w:val="16"/>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r>
      <w:r w:rsidRPr="00556DE0">
        <w:rPr>
          <w:rFonts w:ascii="Verdana" w:hAnsi="Verdana"/>
          <w:i/>
          <w:sz w:val="16"/>
          <w:szCs w:val="16"/>
        </w:rPr>
        <w:t>Cfr. Caso Velásquez Rodríguez Vs. Honduras. Fondo</w:t>
      </w:r>
      <w:r w:rsidRPr="00556DE0">
        <w:rPr>
          <w:rFonts w:ascii="Verdana" w:hAnsi="Verdana"/>
          <w:sz w:val="16"/>
          <w:szCs w:val="16"/>
        </w:rPr>
        <w:t xml:space="preserve">. Sentencia de 29 de julio de 1988. Serie C No. 4, párr. 177 y </w:t>
      </w:r>
      <w:r w:rsidRPr="00556DE0">
        <w:rPr>
          <w:rFonts w:ascii="Verdana" w:hAnsi="Verdana"/>
          <w:i/>
          <w:sz w:val="16"/>
          <w:szCs w:val="16"/>
        </w:rPr>
        <w:t>Caso Velásquez Paiz y otros Vs. Guatemala. Excepciones Preliminares, Fondo, Reparaciones y Costas</w:t>
      </w:r>
      <w:r w:rsidRPr="00556DE0">
        <w:rPr>
          <w:rFonts w:ascii="Verdana" w:hAnsi="Verdana"/>
          <w:sz w:val="16"/>
          <w:szCs w:val="16"/>
        </w:rPr>
        <w:t>. Sentencia de 19 de noviembre de 2015. Serie C No. 307, párr. 143.</w:t>
      </w:r>
    </w:p>
  </w:footnote>
  <w:footnote w:id="128">
    <w:p w14:paraId="3F58953A" w14:textId="77777777" w:rsidR="0018425E" w:rsidRPr="00556DE0" w:rsidRDefault="0018425E" w:rsidP="00C471B6">
      <w:pPr>
        <w:pStyle w:val="FootnoteText"/>
        <w:ind w:right="1440"/>
        <w:jc w:val="both"/>
        <w:rPr>
          <w:rFonts w:ascii="Verdana" w:hAnsi="Verdana"/>
          <w:sz w:val="16"/>
          <w:szCs w:val="16"/>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r>
      <w:r w:rsidRPr="00556DE0">
        <w:rPr>
          <w:rFonts w:ascii="Verdana" w:hAnsi="Verdana"/>
          <w:i/>
          <w:sz w:val="16"/>
          <w:szCs w:val="16"/>
        </w:rPr>
        <w:t>Cfr. Caso Velásquez Rodríguez Vs. Honduras. Fondo</w:t>
      </w:r>
      <w:r w:rsidRPr="00556DE0">
        <w:rPr>
          <w:rFonts w:ascii="Verdana" w:hAnsi="Verdana"/>
          <w:sz w:val="16"/>
          <w:szCs w:val="16"/>
        </w:rPr>
        <w:t xml:space="preserve">. Sentencia de 29 de julio de 1988. Serie C No. 4, párr. 177 y </w:t>
      </w:r>
      <w:r w:rsidRPr="00556DE0">
        <w:rPr>
          <w:rFonts w:ascii="Verdana" w:hAnsi="Verdana"/>
          <w:i/>
          <w:sz w:val="16"/>
          <w:szCs w:val="16"/>
        </w:rPr>
        <w:t>Caso Velásquez Paiz y otros Vs. Guatemala. Excepciones Preliminares, Fondo, Reparaciones y Costas</w:t>
      </w:r>
      <w:r w:rsidRPr="00556DE0">
        <w:rPr>
          <w:rFonts w:ascii="Verdana" w:hAnsi="Verdana"/>
          <w:sz w:val="16"/>
          <w:szCs w:val="16"/>
        </w:rPr>
        <w:t>. Sentencia de 19 de noviembre de 2015. Serie C No. 307, párr. 143.</w:t>
      </w:r>
    </w:p>
  </w:footnote>
  <w:footnote w:id="129">
    <w:p w14:paraId="4461B414" w14:textId="33A9BFE4" w:rsidR="0018425E" w:rsidRPr="00556DE0" w:rsidRDefault="0018425E" w:rsidP="00C471B6">
      <w:pPr>
        <w:autoSpaceDE w:val="0"/>
        <w:autoSpaceDN w:val="0"/>
        <w:adjustRightInd w:val="0"/>
        <w:spacing w:after="0" w:line="240" w:lineRule="auto"/>
        <w:ind w:right="1444"/>
        <w:jc w:val="both"/>
        <w:rPr>
          <w:rFonts w:ascii="Verdana" w:hAnsi="Verdana"/>
          <w:b/>
          <w:sz w:val="16"/>
          <w:szCs w:val="16"/>
          <w:lang w:val="es-CR"/>
        </w:rPr>
      </w:pPr>
      <w:r w:rsidRPr="00556DE0">
        <w:rPr>
          <w:rStyle w:val="FootnoteReference"/>
          <w:rFonts w:ascii="Verdana" w:hAnsi="Verdana"/>
          <w:sz w:val="16"/>
          <w:szCs w:val="16"/>
        </w:rPr>
        <w:footnoteRef/>
      </w:r>
      <w:r w:rsidRPr="00556DE0">
        <w:rPr>
          <w:rFonts w:ascii="Verdana" w:hAnsi="Verdana"/>
          <w:sz w:val="16"/>
          <w:szCs w:val="16"/>
          <w:lang w:val="es-CR"/>
        </w:rPr>
        <w:t xml:space="preserve"> </w:t>
      </w:r>
      <w:r w:rsidRPr="00556DE0">
        <w:rPr>
          <w:rFonts w:ascii="Verdana" w:hAnsi="Verdana"/>
          <w:b/>
          <w:sz w:val="16"/>
          <w:szCs w:val="16"/>
          <w:lang w:val="es-CR"/>
        </w:rPr>
        <w:tab/>
      </w:r>
      <w:r w:rsidRPr="00556DE0">
        <w:rPr>
          <w:rFonts w:ascii="Verdana" w:hAnsi="Verdana"/>
          <w:i/>
          <w:sz w:val="16"/>
          <w:szCs w:val="16"/>
          <w:lang w:val="es-CR"/>
        </w:rPr>
        <w:t xml:space="preserve">Cfr. Caso Juan Humberto Sánchez Vs. Honduras. Excepción Preliminar, Fondo, Reparaciones y Costas. </w:t>
      </w:r>
      <w:r w:rsidRPr="00556DE0">
        <w:rPr>
          <w:rFonts w:ascii="Verdana" w:hAnsi="Verdana"/>
          <w:sz w:val="16"/>
          <w:szCs w:val="16"/>
          <w:lang w:val="es-CR"/>
        </w:rPr>
        <w:t xml:space="preserve">Sentencia de 7 de junio de 2003. Serie C No. 99, párr. 127 y </w:t>
      </w:r>
      <w:r w:rsidRPr="00556DE0">
        <w:rPr>
          <w:rFonts w:ascii="Verdana" w:hAnsi="Verdana"/>
          <w:i/>
          <w:sz w:val="16"/>
          <w:szCs w:val="16"/>
          <w:lang w:val="es-CR"/>
        </w:rPr>
        <w:t>Caso Velásquez Paiz y otros Vs. Guatemala. Excepciones Preliminares, Fondo, Reparaciones y Costas</w:t>
      </w:r>
      <w:r w:rsidRPr="00556DE0">
        <w:rPr>
          <w:rFonts w:ascii="Verdana" w:hAnsi="Verdana"/>
          <w:sz w:val="16"/>
          <w:szCs w:val="16"/>
          <w:lang w:val="es-CR"/>
        </w:rPr>
        <w:t xml:space="preserve">. Sentencia de 19 de noviembre de 2015. Serie C No. 307, párr. 143. </w:t>
      </w:r>
    </w:p>
  </w:footnote>
  <w:footnote w:id="130">
    <w:p w14:paraId="73462D38" w14:textId="77777777" w:rsidR="0018425E" w:rsidRPr="00556DE0" w:rsidRDefault="0018425E" w:rsidP="00C471B6">
      <w:pPr>
        <w:pStyle w:val="FootnoteText"/>
        <w:ind w:right="1440"/>
        <w:jc w:val="both"/>
        <w:rPr>
          <w:rFonts w:ascii="Verdana" w:hAnsi="Verdana"/>
          <w:sz w:val="16"/>
          <w:szCs w:val="16"/>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r>
      <w:r w:rsidRPr="00556DE0">
        <w:rPr>
          <w:rFonts w:ascii="Verdana" w:hAnsi="Verdana"/>
          <w:i/>
          <w:sz w:val="16"/>
          <w:szCs w:val="16"/>
        </w:rPr>
        <w:t>Cfr. Caso Gómez Palomino Vs. Perú. Fondo, Reparaciones y Costas</w:t>
      </w:r>
      <w:r w:rsidRPr="00556DE0">
        <w:rPr>
          <w:rFonts w:ascii="Verdana" w:hAnsi="Verdana"/>
          <w:sz w:val="16"/>
          <w:szCs w:val="16"/>
        </w:rPr>
        <w:t xml:space="preserve">. Sentencia de 22 de noviembre de 2005. Serie C No. 136, párr. 80 y </w:t>
      </w:r>
      <w:r w:rsidRPr="00556DE0">
        <w:rPr>
          <w:rFonts w:ascii="Verdana" w:hAnsi="Verdana"/>
          <w:i/>
          <w:sz w:val="16"/>
          <w:szCs w:val="16"/>
        </w:rPr>
        <w:t>Caso Cruz Sánchez y otros Vs. Perú. Excepciones Preliminares, Fondo, Reparaciones y Costas</w:t>
      </w:r>
      <w:r w:rsidRPr="00556DE0">
        <w:rPr>
          <w:rFonts w:ascii="Verdana" w:hAnsi="Verdana"/>
          <w:sz w:val="16"/>
          <w:szCs w:val="16"/>
        </w:rPr>
        <w:t>. Sentencia de 17 de abril de 2015. Serie C No. 292, párr. 422.</w:t>
      </w:r>
    </w:p>
  </w:footnote>
  <w:footnote w:id="131">
    <w:p w14:paraId="6641A1E5" w14:textId="77777777" w:rsidR="0018425E" w:rsidRPr="00556DE0" w:rsidRDefault="0018425E" w:rsidP="00C471B6">
      <w:pPr>
        <w:pStyle w:val="FootnoteText"/>
        <w:ind w:right="1440"/>
        <w:jc w:val="both"/>
        <w:rPr>
          <w:rFonts w:ascii="Verdana" w:hAnsi="Verdana"/>
          <w:sz w:val="16"/>
          <w:szCs w:val="16"/>
          <w:lang w:val="es-CR"/>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lang w:val="es-CR"/>
        </w:rPr>
        <w:tab/>
      </w:r>
      <w:r w:rsidRPr="00556DE0">
        <w:rPr>
          <w:rFonts w:ascii="Verdana" w:hAnsi="Verdana"/>
          <w:i/>
          <w:sz w:val="16"/>
          <w:szCs w:val="16"/>
          <w:lang w:val="es-CR"/>
        </w:rPr>
        <w:t>Cfr. Caso Ibsen Cárdenas e Ibsen Peña Vs. Bolivia. Fondo, Reparaciones y Costas</w:t>
      </w:r>
      <w:r w:rsidRPr="00556DE0">
        <w:rPr>
          <w:rFonts w:ascii="Verdana" w:hAnsi="Verdana"/>
          <w:sz w:val="16"/>
          <w:szCs w:val="16"/>
          <w:lang w:val="es-CR"/>
        </w:rPr>
        <w:t xml:space="preserve">. Sentencia de 1 de septiembre de 2010 Serie C No. 217, párr. 172, y </w:t>
      </w:r>
      <w:r w:rsidRPr="00556DE0">
        <w:rPr>
          <w:rFonts w:ascii="Verdana" w:hAnsi="Verdana"/>
          <w:i/>
          <w:sz w:val="16"/>
          <w:szCs w:val="16"/>
          <w:lang w:val="es-CR"/>
        </w:rPr>
        <w:t>Caso Velásquez Paiz y otros Vs. Guatemala. Excepciones Preliminares, Fondo, Reparaciones y Costas</w:t>
      </w:r>
      <w:r w:rsidRPr="00556DE0">
        <w:rPr>
          <w:rFonts w:ascii="Verdana" w:hAnsi="Verdana"/>
          <w:sz w:val="16"/>
          <w:szCs w:val="16"/>
          <w:lang w:val="es-CR"/>
        </w:rPr>
        <w:t xml:space="preserve">. Sentencia de 19 de noviembre de 2015. Serie C No. 307, párr. 169. La impunidad ha sido definida por la Corte como la falta en su conjunto de investigación, persecución, captura, enjuiciamiento y condena de los responsables de las violaciones de los derechos humanos. </w:t>
      </w:r>
      <w:r w:rsidRPr="00556DE0">
        <w:rPr>
          <w:rFonts w:ascii="Verdana" w:hAnsi="Verdana"/>
          <w:i/>
          <w:sz w:val="16"/>
          <w:szCs w:val="16"/>
          <w:lang w:val="es-CR"/>
        </w:rPr>
        <w:t>Cfr. Caso de la “Panel Blanca” (Paniagua Morales y otros) Vs. Guatemala. Excepciones Preliminares</w:t>
      </w:r>
      <w:r w:rsidRPr="00556DE0">
        <w:rPr>
          <w:rFonts w:ascii="Verdana" w:hAnsi="Verdana"/>
          <w:sz w:val="16"/>
          <w:szCs w:val="16"/>
          <w:lang w:val="es-CR"/>
        </w:rPr>
        <w:t xml:space="preserve">. Sentencia del 25 de enero de 1996. Serie C No. 23, párr. 173, y </w:t>
      </w:r>
      <w:r w:rsidRPr="00556DE0">
        <w:rPr>
          <w:rFonts w:ascii="Verdana" w:hAnsi="Verdana"/>
          <w:i/>
          <w:sz w:val="16"/>
          <w:szCs w:val="16"/>
          <w:lang w:val="es-CR"/>
        </w:rPr>
        <w:t>Caso Velásquez Paiz y otros Vs. Guatemala. Excepciones Preliminares, Fondo, Reparaciones y Costas</w:t>
      </w:r>
      <w:r w:rsidRPr="00556DE0">
        <w:rPr>
          <w:rFonts w:ascii="Verdana" w:hAnsi="Verdana"/>
          <w:sz w:val="16"/>
          <w:szCs w:val="16"/>
          <w:lang w:val="es-CR"/>
        </w:rPr>
        <w:t>. Sentencia de 19 de noviembre de 2015. Serie C No. 307, nota 266.</w:t>
      </w:r>
    </w:p>
  </w:footnote>
  <w:footnote w:id="132">
    <w:p w14:paraId="7EECC540" w14:textId="108DD012" w:rsidR="0018425E" w:rsidRPr="00556DE0" w:rsidRDefault="0018425E" w:rsidP="00C471B6">
      <w:pPr>
        <w:pStyle w:val="FootnoteText"/>
        <w:ind w:right="1440"/>
        <w:jc w:val="both"/>
        <w:rPr>
          <w:rFonts w:ascii="Verdana" w:hAnsi="Verdana"/>
          <w:sz w:val="16"/>
          <w:szCs w:val="16"/>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r>
      <w:r w:rsidRPr="00556DE0">
        <w:rPr>
          <w:rFonts w:ascii="Verdana" w:hAnsi="Verdana"/>
          <w:i/>
          <w:sz w:val="16"/>
          <w:szCs w:val="16"/>
        </w:rPr>
        <w:t>Cfr.</w:t>
      </w:r>
      <w:r w:rsidRPr="00556DE0">
        <w:rPr>
          <w:rFonts w:ascii="Verdana" w:hAnsi="Verdana"/>
          <w:sz w:val="16"/>
          <w:szCs w:val="16"/>
        </w:rPr>
        <w:t xml:space="preserve"> </w:t>
      </w:r>
      <w:r w:rsidRPr="00556DE0">
        <w:rPr>
          <w:rFonts w:ascii="Verdana" w:hAnsi="Verdana"/>
          <w:i/>
          <w:sz w:val="16"/>
          <w:szCs w:val="16"/>
          <w:lang w:val="es-CR"/>
        </w:rPr>
        <w:t>Caso Bámaca Velásquez Vs. Guatemala. Supervisión de Cumplimiento de Sentencia</w:t>
      </w:r>
      <w:r w:rsidRPr="00556DE0">
        <w:rPr>
          <w:rFonts w:ascii="Verdana" w:hAnsi="Verdana"/>
          <w:sz w:val="16"/>
          <w:szCs w:val="16"/>
          <w:lang w:val="es-CR"/>
        </w:rPr>
        <w:t xml:space="preserve">. Resolución de la Corte de 27 de enero de 2009, Considerando 25; </w:t>
      </w:r>
      <w:r w:rsidRPr="00556DE0">
        <w:rPr>
          <w:rFonts w:ascii="Verdana" w:hAnsi="Verdana"/>
          <w:i/>
          <w:sz w:val="16"/>
          <w:szCs w:val="16"/>
          <w:lang w:val="es-CR"/>
        </w:rPr>
        <w:t>Caso Molina Theissen Vs. Guatemala. Supervisión de Cumplimiento de Sentencia.</w:t>
      </w:r>
      <w:r w:rsidRPr="00556DE0">
        <w:rPr>
          <w:rFonts w:ascii="Verdana" w:hAnsi="Verdana"/>
          <w:sz w:val="16"/>
          <w:szCs w:val="16"/>
          <w:lang w:val="es-CR"/>
        </w:rPr>
        <w:t xml:space="preserve"> Resolución de la Corte de 16 de noviembre de 2009, Considerando 16 y </w:t>
      </w:r>
      <w:r w:rsidRPr="00556DE0">
        <w:rPr>
          <w:rFonts w:ascii="Verdana" w:hAnsi="Verdana"/>
          <w:i/>
          <w:sz w:val="16"/>
          <w:szCs w:val="16"/>
          <w:lang w:val="es-CR"/>
        </w:rPr>
        <w:t>Caso Gudiel Álvarez y otros ("Diario Militar") Vs. Guatemala. Fondo Reparaciones y Costas</w:t>
      </w:r>
      <w:r w:rsidRPr="00556DE0">
        <w:rPr>
          <w:rFonts w:ascii="Verdana" w:hAnsi="Verdana"/>
          <w:sz w:val="16"/>
          <w:szCs w:val="16"/>
          <w:lang w:val="es-CR"/>
        </w:rPr>
        <w:t xml:space="preserve">. Sentencia de 20 noviembre de 2012 Serie C No. 253, párr. 265. El Tribunal se refirió a la situación de impunidad imperante en los casos Myrna Mack Chang, Tiu Tojín, Carpio Nicolle y otros, Bámaca Velásquez, Molina Theissen, y “Niños de la Calle” (Villagrán Morales y otros), todos contra Guatemala. Véase también: </w:t>
      </w:r>
      <w:r w:rsidRPr="00556DE0">
        <w:rPr>
          <w:rStyle w:val="Strong"/>
          <w:rFonts w:ascii="Verdana" w:hAnsi="Verdana"/>
          <w:b w:val="0"/>
          <w:i/>
          <w:sz w:val="16"/>
          <w:szCs w:val="16"/>
          <w:lang w:val="es-CR"/>
        </w:rPr>
        <w:t>Caso Masacres de Río Negro Vs. Guatemala.</w:t>
      </w:r>
      <w:r w:rsidRPr="00556DE0">
        <w:rPr>
          <w:rFonts w:ascii="Verdana" w:hAnsi="Verdana"/>
          <w:i/>
          <w:sz w:val="16"/>
          <w:szCs w:val="16"/>
          <w:lang w:val="es-CR"/>
        </w:rPr>
        <w:t xml:space="preserve"> </w:t>
      </w:r>
      <w:r w:rsidRPr="00556DE0">
        <w:rPr>
          <w:rFonts w:ascii="Verdana" w:hAnsi="Verdana"/>
          <w:bCs/>
          <w:i/>
          <w:sz w:val="16"/>
          <w:szCs w:val="16"/>
          <w:lang w:val="es-CR"/>
        </w:rPr>
        <w:t>Excepción Preliminar, Fondo, Reparaciones y Costas.</w:t>
      </w:r>
      <w:r w:rsidRPr="00556DE0">
        <w:rPr>
          <w:rFonts w:ascii="Verdana" w:hAnsi="Verdana"/>
          <w:bCs/>
          <w:sz w:val="16"/>
          <w:szCs w:val="16"/>
          <w:lang w:val="es-CR"/>
        </w:rPr>
        <w:t xml:space="preserve"> Sentencia de 4 de septiembre de 2012</w:t>
      </w:r>
      <w:r>
        <w:rPr>
          <w:rFonts w:ascii="Verdana" w:hAnsi="Verdana"/>
          <w:bCs/>
          <w:sz w:val="16"/>
          <w:szCs w:val="16"/>
          <w:lang w:val="es-CR"/>
        </w:rPr>
        <w:t>.</w:t>
      </w:r>
      <w:r w:rsidRPr="00556DE0">
        <w:rPr>
          <w:rFonts w:ascii="Verdana" w:hAnsi="Verdana"/>
          <w:bCs/>
          <w:sz w:val="16"/>
          <w:szCs w:val="16"/>
          <w:lang w:val="es-CR"/>
        </w:rPr>
        <w:t xml:space="preserve"> Serie C No. 250</w:t>
      </w:r>
      <w:r w:rsidRPr="00556DE0">
        <w:rPr>
          <w:rFonts w:ascii="Verdana" w:hAnsi="Verdana"/>
          <w:sz w:val="16"/>
          <w:szCs w:val="16"/>
          <w:lang w:val="es-CR"/>
        </w:rPr>
        <w:t>, párr. 236.</w:t>
      </w:r>
    </w:p>
  </w:footnote>
  <w:footnote w:id="133">
    <w:p w14:paraId="22941936" w14:textId="7DB02926" w:rsidR="0018425E" w:rsidRPr="00250FCD" w:rsidRDefault="0018425E" w:rsidP="00250FCD">
      <w:pPr>
        <w:pStyle w:val="FootnoteText"/>
        <w:ind w:right="1444"/>
        <w:jc w:val="both"/>
        <w:rPr>
          <w:rFonts w:ascii="Verdana" w:hAnsi="Verdana"/>
          <w:sz w:val="16"/>
          <w:szCs w:val="16"/>
        </w:rPr>
      </w:pPr>
      <w:r w:rsidRPr="00250FCD">
        <w:rPr>
          <w:rStyle w:val="FootnoteReference"/>
          <w:rFonts w:ascii="Verdana" w:hAnsi="Verdana"/>
          <w:sz w:val="16"/>
          <w:szCs w:val="16"/>
        </w:rPr>
        <w:footnoteRef/>
      </w:r>
      <w:r w:rsidRPr="00250FCD">
        <w:rPr>
          <w:rFonts w:ascii="Verdana" w:hAnsi="Verdana"/>
          <w:sz w:val="16"/>
          <w:szCs w:val="16"/>
        </w:rPr>
        <w:t xml:space="preserve"> </w:t>
      </w:r>
      <w:r w:rsidRPr="00250FCD">
        <w:rPr>
          <w:rFonts w:ascii="Verdana" w:hAnsi="Verdana"/>
          <w:sz w:val="16"/>
          <w:szCs w:val="16"/>
        </w:rPr>
        <w:tab/>
      </w:r>
      <w:r>
        <w:rPr>
          <w:rFonts w:ascii="Verdana" w:hAnsi="Verdana"/>
          <w:sz w:val="16"/>
          <w:szCs w:val="16"/>
        </w:rPr>
        <w:t xml:space="preserve">Casos </w:t>
      </w:r>
      <w:r>
        <w:rPr>
          <w:rFonts w:ascii="Verdana" w:hAnsi="Verdana"/>
          <w:sz w:val="16"/>
          <w:szCs w:val="16"/>
          <w:lang w:val="es-CR"/>
        </w:rPr>
        <w:t xml:space="preserve">Blake, Mack Chang, Masacre Plan de Sánchez, Masacre de las Dos Erres y </w:t>
      </w:r>
      <w:r w:rsidRPr="00250FCD">
        <w:rPr>
          <w:rFonts w:ascii="Verdana" w:hAnsi="Verdana"/>
          <w:sz w:val="16"/>
          <w:szCs w:val="16"/>
          <w:lang w:val="es-CR"/>
        </w:rPr>
        <w:t>Carpio Nicolle</w:t>
      </w:r>
      <w:r>
        <w:rPr>
          <w:rFonts w:ascii="Verdana" w:hAnsi="Verdana"/>
          <w:sz w:val="16"/>
          <w:szCs w:val="16"/>
          <w:lang w:val="es-CR"/>
        </w:rPr>
        <w:t xml:space="preserve">. </w:t>
      </w:r>
      <w:r w:rsidRPr="00250FCD">
        <w:rPr>
          <w:rFonts w:ascii="Verdana" w:hAnsi="Verdana"/>
          <w:sz w:val="16"/>
          <w:szCs w:val="16"/>
        </w:rPr>
        <w:t>Tal como se indicó (</w:t>
      </w:r>
      <w:r w:rsidRPr="00250FCD">
        <w:rPr>
          <w:rFonts w:ascii="Verdana" w:hAnsi="Verdana"/>
          <w:i/>
          <w:sz w:val="16"/>
          <w:szCs w:val="16"/>
        </w:rPr>
        <w:t>supra</w:t>
      </w:r>
      <w:r w:rsidRPr="00250FCD">
        <w:rPr>
          <w:rFonts w:ascii="Verdana" w:hAnsi="Verdana"/>
          <w:sz w:val="16"/>
          <w:szCs w:val="16"/>
        </w:rPr>
        <w:t xml:space="preserve"> Considerando 100), en este </w:t>
      </w:r>
      <w:r>
        <w:rPr>
          <w:rFonts w:ascii="Verdana" w:hAnsi="Verdana"/>
          <w:sz w:val="16"/>
          <w:szCs w:val="16"/>
        </w:rPr>
        <w:t xml:space="preserve">último </w:t>
      </w:r>
      <w:r w:rsidRPr="00250FCD">
        <w:rPr>
          <w:rFonts w:ascii="Verdana" w:hAnsi="Verdana"/>
          <w:sz w:val="16"/>
          <w:szCs w:val="16"/>
        </w:rPr>
        <w:t xml:space="preserve">caso la única determinación de responsabilidad penal fue respecto del delito de </w:t>
      </w:r>
      <w:r w:rsidRPr="00250FCD">
        <w:rPr>
          <w:rFonts w:ascii="Verdana" w:hAnsi="Verdana" w:cs="Tahoma"/>
          <w:color w:val="000000"/>
          <w:sz w:val="16"/>
          <w:szCs w:val="16"/>
          <w:lang w:val="es-CR"/>
        </w:rPr>
        <w:t>fabricación o tenencia de armas explosivas</w:t>
      </w:r>
      <w:r>
        <w:rPr>
          <w:rFonts w:ascii="Verdana" w:hAnsi="Verdana" w:cs="Tahoma"/>
          <w:color w:val="000000"/>
          <w:sz w:val="16"/>
          <w:szCs w:val="16"/>
          <w:lang w:val="es-CR"/>
        </w:rPr>
        <w:t>, sin que se hayan determinado responsabilidades por las violaciones al derecho a la vida y a la integridad personal de las víctimas.</w:t>
      </w:r>
    </w:p>
  </w:footnote>
  <w:footnote w:id="134">
    <w:p w14:paraId="2557423F" w14:textId="46276FEC" w:rsidR="0018425E" w:rsidRPr="00556DE0" w:rsidRDefault="0018425E" w:rsidP="00C471B6">
      <w:pPr>
        <w:pStyle w:val="FootnoteText"/>
        <w:ind w:right="1440"/>
        <w:jc w:val="both"/>
        <w:rPr>
          <w:rFonts w:ascii="Verdana" w:hAnsi="Verdana"/>
          <w:sz w:val="16"/>
          <w:szCs w:val="16"/>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t xml:space="preserve">Respecto al caso </w:t>
      </w:r>
      <w:r w:rsidRPr="00556DE0">
        <w:rPr>
          <w:rFonts w:ascii="Verdana" w:hAnsi="Verdana"/>
          <w:i/>
          <w:sz w:val="16"/>
          <w:szCs w:val="16"/>
        </w:rPr>
        <w:t>Villagrán Morales</w:t>
      </w:r>
      <w:r w:rsidRPr="00556DE0">
        <w:rPr>
          <w:rFonts w:ascii="Verdana" w:hAnsi="Verdana"/>
          <w:sz w:val="16"/>
          <w:szCs w:val="16"/>
        </w:rPr>
        <w:t>, el Estado señaló en su</w:t>
      </w:r>
      <w:r>
        <w:rPr>
          <w:rFonts w:ascii="Verdana" w:hAnsi="Verdana"/>
          <w:sz w:val="16"/>
          <w:szCs w:val="16"/>
        </w:rPr>
        <w:t xml:space="preserve"> informe de 17 de abril de 2015</w:t>
      </w:r>
      <w:r w:rsidRPr="00556DE0">
        <w:rPr>
          <w:rFonts w:ascii="Verdana" w:hAnsi="Verdana"/>
          <w:sz w:val="16"/>
          <w:szCs w:val="16"/>
        </w:rPr>
        <w:t xml:space="preserve"> que “se presentó denuncia penal porque no se localizó la ojiva que fue encontrada en el cadáver del menor Anstraun Amán Villagrán Morales, la cual estaba bajo la custodia del Laboratorio del Gabinete de Identificación de la Policía Nacional Civil. La persona encargada de la investigación de la denuncia presentada […] manifiesta que ha realizado requerimientos al Jefe del Gabinete Criminalístico de la Policía Nacional Civil, haciendo la salvedad que si no cumple con aportar la información correspondiente, se procederá penalmente”. En relación con el caso </w:t>
      </w:r>
      <w:r w:rsidRPr="00556DE0">
        <w:rPr>
          <w:rFonts w:ascii="Verdana" w:hAnsi="Verdana"/>
          <w:i/>
          <w:sz w:val="16"/>
          <w:szCs w:val="16"/>
        </w:rPr>
        <w:t>Maritza Urrutia</w:t>
      </w:r>
      <w:r w:rsidRPr="00556DE0">
        <w:rPr>
          <w:rFonts w:ascii="Verdana" w:hAnsi="Verdana"/>
          <w:sz w:val="16"/>
          <w:szCs w:val="16"/>
        </w:rPr>
        <w:t xml:space="preserve">, el Estado señaló que el Ministerio de Defensa, si bien brindó información respecto a la ubicación de una unidad militar, “no se encontraron registros físicos ni magnéticos sobre qu[é] dirección o zona militar ten[í]a bajo su jurisdicción las operaciones militares en las instalaciones relacionadas, en virtud que esa información tiene m[á]s de 20 años de antigüedad”. En ese mismo informe, el Estado indicó, respecto al caso </w:t>
      </w:r>
      <w:r w:rsidRPr="00556DE0">
        <w:rPr>
          <w:rFonts w:ascii="Verdana" w:hAnsi="Verdana"/>
          <w:i/>
          <w:sz w:val="16"/>
          <w:szCs w:val="16"/>
        </w:rPr>
        <w:t>Chitay Nech</w:t>
      </w:r>
      <w:r w:rsidRPr="00556DE0">
        <w:rPr>
          <w:rFonts w:ascii="Verdana" w:hAnsi="Verdana"/>
          <w:sz w:val="16"/>
          <w:szCs w:val="16"/>
        </w:rPr>
        <w:t>, que “[e]l Ministerio de la Defensa Nacional en Oficio de 16 de abril de [2013] indica que para solicitar información de personas individuales o jurídicas, el Ministerio Público deberá solicitar autorización de juez competente y, que luego de haber revisado los archivos físicos y magnéticos del Ejército Nacional de Guatemala, se ha determinado la inexistencia de archivos relacionados con la actividad, fecha y personas a que se refiere la solicitud y que ese ministerio no cuenta con la información que permita responder las interrogantes planteadas”.</w:t>
      </w:r>
    </w:p>
  </w:footnote>
  <w:footnote w:id="135">
    <w:p w14:paraId="1F95300C" w14:textId="761DD2EA" w:rsidR="0018425E" w:rsidRPr="00556DE0" w:rsidRDefault="0018425E" w:rsidP="00C471B6">
      <w:pPr>
        <w:pStyle w:val="FootnoteText"/>
        <w:ind w:right="1444"/>
        <w:jc w:val="both"/>
        <w:rPr>
          <w:rFonts w:ascii="Verdana" w:hAnsi="Verdana"/>
          <w:sz w:val="16"/>
          <w:szCs w:val="16"/>
        </w:rPr>
      </w:pPr>
      <w:r w:rsidRPr="00556DE0">
        <w:rPr>
          <w:rStyle w:val="FootnoteReference"/>
          <w:rFonts w:ascii="Verdana" w:hAnsi="Verdana"/>
          <w:sz w:val="16"/>
          <w:szCs w:val="16"/>
        </w:rPr>
        <w:footnoteRef/>
      </w:r>
      <w:r w:rsidRPr="00556DE0">
        <w:rPr>
          <w:rFonts w:ascii="Verdana" w:hAnsi="Verdana"/>
          <w:sz w:val="16"/>
          <w:szCs w:val="16"/>
          <w:lang w:val="es-CR"/>
        </w:rPr>
        <w:t xml:space="preserve"> </w:t>
      </w:r>
      <w:r w:rsidRPr="00556DE0">
        <w:rPr>
          <w:rFonts w:ascii="Verdana" w:hAnsi="Verdana"/>
          <w:sz w:val="16"/>
          <w:szCs w:val="16"/>
          <w:lang w:val="es-CR"/>
        </w:rPr>
        <w:tab/>
      </w:r>
      <w:r w:rsidRPr="00556DE0">
        <w:rPr>
          <w:rFonts w:ascii="Verdana" w:hAnsi="Verdana"/>
          <w:i/>
          <w:sz w:val="16"/>
          <w:szCs w:val="16"/>
          <w:lang w:val="es-CR"/>
        </w:rPr>
        <w:t>Cfr.</w:t>
      </w:r>
      <w:r w:rsidRPr="00556DE0">
        <w:rPr>
          <w:rFonts w:ascii="Verdana" w:hAnsi="Verdana"/>
          <w:sz w:val="16"/>
          <w:szCs w:val="16"/>
          <w:lang w:val="es-CR"/>
        </w:rPr>
        <w:t xml:space="preserve"> </w:t>
      </w:r>
      <w:r w:rsidRPr="00556DE0">
        <w:rPr>
          <w:rFonts w:ascii="Verdana" w:hAnsi="Verdana"/>
          <w:i/>
          <w:sz w:val="16"/>
          <w:szCs w:val="16"/>
          <w:lang w:val="es-CR"/>
        </w:rPr>
        <w:t xml:space="preserve">Caso Myrna Mack Chang Vs. Guatemala. </w:t>
      </w:r>
      <w:r w:rsidRPr="00556DE0">
        <w:rPr>
          <w:rFonts w:ascii="Verdana" w:hAnsi="Verdana"/>
          <w:i/>
          <w:sz w:val="16"/>
          <w:szCs w:val="16"/>
        </w:rPr>
        <w:t>Fondo Reparaciones y Costas</w:t>
      </w:r>
      <w:r w:rsidRPr="00556DE0">
        <w:rPr>
          <w:rFonts w:ascii="Verdana" w:hAnsi="Verdana"/>
          <w:sz w:val="16"/>
          <w:szCs w:val="16"/>
        </w:rPr>
        <w:t xml:space="preserve">. Sentencia de 25 de noviembre de 2003. Serie C No 101, párrs. 173 y 174; </w:t>
      </w:r>
      <w:r w:rsidRPr="00556DE0">
        <w:rPr>
          <w:rFonts w:ascii="Verdana" w:hAnsi="Verdana"/>
          <w:i/>
          <w:sz w:val="16"/>
          <w:szCs w:val="16"/>
        </w:rPr>
        <w:t>Caso de la Masacre de las Dos Erres Vs. Guatemala. Excepción Preliminar, Fondo, Reparaciones y Costas</w:t>
      </w:r>
      <w:r w:rsidRPr="00556DE0">
        <w:rPr>
          <w:rFonts w:ascii="Verdana" w:hAnsi="Verdana"/>
          <w:sz w:val="16"/>
          <w:szCs w:val="16"/>
        </w:rPr>
        <w:t xml:space="preserve">. Sentencia de 24 de noviembre de 2009. Serie C No. 211, párr. 144; </w:t>
      </w:r>
      <w:r w:rsidRPr="00556DE0">
        <w:rPr>
          <w:rFonts w:ascii="Verdana" w:hAnsi="Verdana"/>
          <w:i/>
          <w:sz w:val="16"/>
          <w:szCs w:val="16"/>
        </w:rPr>
        <w:t>Caso Masacres de Río Negro Vs. Guatemala</w:t>
      </w:r>
      <w:r>
        <w:rPr>
          <w:rFonts w:ascii="Verdana" w:hAnsi="Verdana"/>
          <w:i/>
          <w:sz w:val="16"/>
          <w:szCs w:val="16"/>
        </w:rPr>
        <w:t>, supra</w:t>
      </w:r>
      <w:r w:rsidRPr="00556DE0">
        <w:rPr>
          <w:rFonts w:ascii="Verdana" w:hAnsi="Verdana"/>
          <w:sz w:val="16"/>
          <w:szCs w:val="16"/>
        </w:rPr>
        <w:t xml:space="preserve">, párr. 208 a 210, y </w:t>
      </w:r>
      <w:r w:rsidRPr="00556DE0">
        <w:rPr>
          <w:rStyle w:val="Strong"/>
          <w:rFonts w:ascii="Verdana" w:hAnsi="Verdana"/>
          <w:b w:val="0"/>
          <w:i/>
          <w:sz w:val="16"/>
          <w:szCs w:val="16"/>
        </w:rPr>
        <w:t>Caso Gudiel Álvarez y otros ("Diario Militar") Vs. Guatemala. Fondo Reparaciones y Costas.</w:t>
      </w:r>
      <w:r w:rsidRPr="00556DE0">
        <w:rPr>
          <w:rStyle w:val="Strong"/>
          <w:rFonts w:ascii="Verdana" w:hAnsi="Verdana"/>
          <w:b w:val="0"/>
          <w:sz w:val="16"/>
          <w:szCs w:val="16"/>
        </w:rPr>
        <w:t xml:space="preserve"> Sentencia de 20 noviembre de 2012. Serie C No. 253, párrs. 248-252; </w:t>
      </w:r>
    </w:p>
  </w:footnote>
  <w:footnote w:id="136">
    <w:p w14:paraId="396108F0" w14:textId="77777777" w:rsidR="0018425E" w:rsidRPr="00DA4889" w:rsidRDefault="0018425E" w:rsidP="00C471B6">
      <w:pPr>
        <w:pStyle w:val="FootnoteText"/>
        <w:ind w:right="1440"/>
        <w:jc w:val="both"/>
        <w:rPr>
          <w:rFonts w:ascii="Verdana" w:hAnsi="Verdana"/>
          <w:sz w:val="16"/>
          <w:szCs w:val="16"/>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r>
      <w:r w:rsidRPr="00556DE0">
        <w:rPr>
          <w:rFonts w:ascii="Verdana" w:hAnsi="Verdana"/>
          <w:i/>
          <w:sz w:val="16"/>
          <w:szCs w:val="16"/>
        </w:rPr>
        <w:t>Cfr. Caso Myrna Mack Chang Vs. Guatemala. Fondo, Reparaciones y Costas</w:t>
      </w:r>
      <w:r w:rsidRPr="00556DE0">
        <w:rPr>
          <w:rFonts w:ascii="Verdana" w:hAnsi="Verdana"/>
          <w:sz w:val="16"/>
          <w:szCs w:val="16"/>
        </w:rPr>
        <w:t xml:space="preserve">. Sentencia de 25 de noviembre de 2003. Serie C No. 101, párr. 180 y </w:t>
      </w:r>
      <w:r w:rsidRPr="00556DE0">
        <w:rPr>
          <w:rFonts w:ascii="Verdana" w:hAnsi="Verdana"/>
          <w:i/>
          <w:sz w:val="16"/>
          <w:szCs w:val="16"/>
        </w:rPr>
        <w:t>Caso Tiu Tojín Vs. Guatemala. Fondo, Reparaciones y Costas</w:t>
      </w:r>
      <w:r w:rsidRPr="00556DE0">
        <w:rPr>
          <w:rFonts w:ascii="Verdana" w:hAnsi="Verdana"/>
          <w:sz w:val="16"/>
          <w:szCs w:val="16"/>
        </w:rPr>
        <w:t xml:space="preserve">. </w:t>
      </w:r>
      <w:r w:rsidRPr="00DA4889">
        <w:rPr>
          <w:rFonts w:ascii="Verdana" w:hAnsi="Verdana"/>
          <w:sz w:val="16"/>
          <w:szCs w:val="16"/>
        </w:rPr>
        <w:t>Sentencia de 26 de noviembre de 2008. Serie C No. 190, párr. 77</w:t>
      </w:r>
    </w:p>
  </w:footnote>
  <w:footnote w:id="137">
    <w:p w14:paraId="5AA0AB17" w14:textId="456127CC" w:rsidR="0018425E" w:rsidRPr="00D33DAD" w:rsidRDefault="0018425E" w:rsidP="00C471B6">
      <w:pPr>
        <w:pStyle w:val="FootnoteText"/>
        <w:ind w:right="1440"/>
        <w:jc w:val="both"/>
        <w:rPr>
          <w:rFonts w:ascii="Verdana" w:hAnsi="Verdana"/>
          <w:sz w:val="16"/>
          <w:szCs w:val="16"/>
          <w:highlight w:val="yellow"/>
        </w:rPr>
      </w:pPr>
      <w:r w:rsidRPr="00DA4889">
        <w:rPr>
          <w:rStyle w:val="FootnoteReference"/>
          <w:rFonts w:ascii="Verdana" w:hAnsi="Verdana"/>
          <w:sz w:val="16"/>
          <w:szCs w:val="16"/>
        </w:rPr>
        <w:footnoteRef/>
      </w:r>
      <w:r w:rsidRPr="00DA4889">
        <w:rPr>
          <w:rFonts w:ascii="Verdana" w:hAnsi="Verdana"/>
          <w:sz w:val="16"/>
          <w:szCs w:val="16"/>
        </w:rPr>
        <w:t xml:space="preserve"> </w:t>
      </w:r>
      <w:r w:rsidRPr="00DA4889">
        <w:rPr>
          <w:rFonts w:ascii="Verdana" w:hAnsi="Verdana"/>
          <w:sz w:val="16"/>
          <w:szCs w:val="16"/>
        </w:rPr>
        <w:tab/>
      </w:r>
      <w:r w:rsidRPr="00DA4889">
        <w:rPr>
          <w:rFonts w:ascii="Verdana" w:hAnsi="Verdana"/>
          <w:i/>
          <w:sz w:val="16"/>
          <w:szCs w:val="16"/>
        </w:rPr>
        <w:t>Cfr.</w:t>
      </w:r>
      <w:r w:rsidRPr="00DA4889">
        <w:rPr>
          <w:rFonts w:ascii="Verdana" w:hAnsi="Verdana"/>
          <w:sz w:val="16"/>
          <w:szCs w:val="16"/>
        </w:rPr>
        <w:t xml:space="preserve"> </w:t>
      </w:r>
      <w:r w:rsidRPr="00DA4889">
        <w:rPr>
          <w:rFonts w:ascii="Verdana" w:hAnsi="Verdana"/>
          <w:i/>
          <w:sz w:val="16"/>
          <w:szCs w:val="16"/>
        </w:rPr>
        <w:t>Caso Masacres de Río Negro Vs. Guatemala, supra,</w:t>
      </w:r>
      <w:r w:rsidRPr="00DA4889">
        <w:rPr>
          <w:rFonts w:ascii="Verdana" w:hAnsi="Verdana"/>
          <w:sz w:val="16"/>
          <w:szCs w:val="16"/>
        </w:rPr>
        <w:t xml:space="preserve"> párr. 210.</w:t>
      </w:r>
    </w:p>
  </w:footnote>
  <w:footnote w:id="138">
    <w:p w14:paraId="60D06B45" w14:textId="55E738B5" w:rsidR="0018425E" w:rsidRPr="00DA4889" w:rsidRDefault="0018425E" w:rsidP="00C471B6">
      <w:pPr>
        <w:pStyle w:val="FootnoteText"/>
        <w:ind w:right="1444"/>
        <w:jc w:val="both"/>
        <w:rPr>
          <w:rFonts w:ascii="Verdana" w:hAnsi="Verdana"/>
          <w:sz w:val="16"/>
          <w:szCs w:val="16"/>
        </w:rPr>
      </w:pPr>
      <w:r w:rsidRPr="00DA4889">
        <w:rPr>
          <w:rStyle w:val="FootnoteReference"/>
          <w:rFonts w:ascii="Verdana" w:hAnsi="Verdana"/>
          <w:sz w:val="16"/>
          <w:szCs w:val="16"/>
        </w:rPr>
        <w:footnoteRef/>
      </w:r>
      <w:r w:rsidRPr="00DA4889">
        <w:rPr>
          <w:rFonts w:ascii="Verdana" w:hAnsi="Verdana"/>
          <w:sz w:val="16"/>
          <w:szCs w:val="16"/>
        </w:rPr>
        <w:t xml:space="preserve"> </w:t>
      </w:r>
      <w:r w:rsidRPr="00DA4889">
        <w:rPr>
          <w:rFonts w:ascii="Verdana" w:hAnsi="Verdana"/>
          <w:sz w:val="16"/>
          <w:szCs w:val="16"/>
        </w:rPr>
        <w:tab/>
      </w:r>
      <w:r w:rsidRPr="00DA4889">
        <w:rPr>
          <w:rFonts w:ascii="Verdana" w:hAnsi="Verdana"/>
          <w:i/>
          <w:sz w:val="16"/>
          <w:szCs w:val="16"/>
        </w:rPr>
        <w:t>Cfr.</w:t>
      </w:r>
      <w:r w:rsidRPr="00DA4889">
        <w:rPr>
          <w:rFonts w:ascii="Verdana" w:hAnsi="Verdana"/>
          <w:sz w:val="16"/>
          <w:szCs w:val="16"/>
        </w:rPr>
        <w:t xml:space="preserve"> </w:t>
      </w:r>
      <w:r w:rsidRPr="00DA4889">
        <w:rPr>
          <w:rFonts w:ascii="Verdana" w:hAnsi="Verdana"/>
          <w:i/>
          <w:sz w:val="16"/>
          <w:szCs w:val="16"/>
        </w:rPr>
        <w:t>Caso Masacres de Río Negro Vs. Guatemala, supra</w:t>
      </w:r>
      <w:r w:rsidRPr="00DA4889">
        <w:rPr>
          <w:rFonts w:ascii="Verdana" w:hAnsi="Verdana"/>
          <w:sz w:val="16"/>
          <w:szCs w:val="16"/>
        </w:rPr>
        <w:t>, párr. 210.</w:t>
      </w:r>
    </w:p>
  </w:footnote>
  <w:footnote w:id="139">
    <w:p w14:paraId="36B00EB5" w14:textId="49430868" w:rsidR="0018425E" w:rsidRPr="00DA4889" w:rsidRDefault="0018425E" w:rsidP="00C471B6">
      <w:pPr>
        <w:pStyle w:val="FootnoteText"/>
        <w:ind w:right="1444"/>
        <w:jc w:val="both"/>
        <w:rPr>
          <w:rFonts w:ascii="Verdana" w:hAnsi="Verdana"/>
          <w:sz w:val="16"/>
          <w:szCs w:val="16"/>
          <w:lang w:val="es-CR"/>
        </w:rPr>
      </w:pPr>
      <w:r w:rsidRPr="00DA4889">
        <w:rPr>
          <w:rStyle w:val="FootnoteReference"/>
          <w:rFonts w:ascii="Verdana" w:hAnsi="Verdana"/>
          <w:sz w:val="16"/>
          <w:szCs w:val="16"/>
        </w:rPr>
        <w:footnoteRef/>
      </w:r>
      <w:r w:rsidRPr="00DA4889">
        <w:rPr>
          <w:rFonts w:ascii="Verdana" w:hAnsi="Verdana"/>
          <w:sz w:val="16"/>
          <w:szCs w:val="16"/>
        </w:rPr>
        <w:t xml:space="preserve"> </w:t>
      </w:r>
      <w:r w:rsidRPr="00DA4889">
        <w:rPr>
          <w:rFonts w:ascii="Verdana" w:hAnsi="Verdana"/>
          <w:sz w:val="16"/>
          <w:szCs w:val="16"/>
        </w:rPr>
        <w:tab/>
      </w:r>
      <w:r w:rsidRPr="00DA4889">
        <w:rPr>
          <w:rFonts w:ascii="Verdana" w:hAnsi="Verdana"/>
          <w:i/>
          <w:sz w:val="16"/>
          <w:szCs w:val="16"/>
        </w:rPr>
        <w:t>Cfr. Caso Masacres de Río Negro Vs. Guatemala</w:t>
      </w:r>
      <w:r w:rsidRPr="00DA4889">
        <w:rPr>
          <w:rFonts w:ascii="Verdana" w:hAnsi="Verdana"/>
          <w:sz w:val="16"/>
          <w:szCs w:val="16"/>
        </w:rPr>
        <w:t xml:space="preserve">, </w:t>
      </w:r>
      <w:r w:rsidRPr="00DA4889">
        <w:rPr>
          <w:rFonts w:ascii="Verdana" w:hAnsi="Verdana"/>
          <w:i/>
          <w:sz w:val="16"/>
          <w:szCs w:val="16"/>
        </w:rPr>
        <w:t>supra</w:t>
      </w:r>
      <w:r w:rsidRPr="00DA4889">
        <w:rPr>
          <w:rFonts w:ascii="Verdana" w:hAnsi="Verdana"/>
          <w:sz w:val="16"/>
          <w:szCs w:val="16"/>
        </w:rPr>
        <w:t>, párr. 194.</w:t>
      </w:r>
    </w:p>
  </w:footnote>
  <w:footnote w:id="140">
    <w:p w14:paraId="1B310B06" w14:textId="64A19E9B" w:rsidR="0018425E" w:rsidRPr="00556DE0" w:rsidRDefault="0018425E" w:rsidP="00C471B6">
      <w:pPr>
        <w:pStyle w:val="FootnoteText"/>
        <w:ind w:right="1444"/>
        <w:jc w:val="both"/>
        <w:rPr>
          <w:rFonts w:ascii="Verdana" w:hAnsi="Verdana"/>
          <w:sz w:val="16"/>
          <w:szCs w:val="16"/>
        </w:rPr>
      </w:pPr>
      <w:r w:rsidRPr="00DA4889">
        <w:rPr>
          <w:rStyle w:val="FootnoteReference"/>
          <w:rFonts w:ascii="Verdana" w:hAnsi="Verdana"/>
          <w:sz w:val="16"/>
          <w:szCs w:val="16"/>
        </w:rPr>
        <w:footnoteRef/>
      </w:r>
      <w:r w:rsidRPr="00DA4889">
        <w:rPr>
          <w:rFonts w:ascii="Verdana" w:hAnsi="Verdana"/>
          <w:sz w:val="16"/>
          <w:szCs w:val="16"/>
        </w:rPr>
        <w:t xml:space="preserve"> </w:t>
      </w:r>
      <w:r w:rsidRPr="00DA4889">
        <w:rPr>
          <w:rFonts w:ascii="Verdana" w:hAnsi="Verdana"/>
          <w:sz w:val="16"/>
          <w:szCs w:val="16"/>
        </w:rPr>
        <w:tab/>
      </w:r>
      <w:r w:rsidRPr="00DA4889">
        <w:rPr>
          <w:rFonts w:ascii="Verdana" w:hAnsi="Verdana"/>
          <w:i/>
          <w:sz w:val="16"/>
          <w:szCs w:val="16"/>
        </w:rPr>
        <w:t>Cfr. Caso Masacres de Río Negro Vs. Guatemala, supra</w:t>
      </w:r>
      <w:r w:rsidRPr="00DA4889">
        <w:rPr>
          <w:rFonts w:ascii="Verdana" w:hAnsi="Verdana"/>
          <w:sz w:val="16"/>
          <w:szCs w:val="16"/>
        </w:rPr>
        <w:t>, párr. 210.</w:t>
      </w:r>
    </w:p>
  </w:footnote>
  <w:footnote w:id="141">
    <w:p w14:paraId="3C291513" w14:textId="548970D8" w:rsidR="0018425E" w:rsidRPr="00556DE0" w:rsidRDefault="0018425E" w:rsidP="00867EFD">
      <w:pPr>
        <w:pStyle w:val="FootnoteText"/>
        <w:ind w:right="1444"/>
        <w:rPr>
          <w:rFonts w:ascii="Verdana" w:hAnsi="Verdana"/>
          <w:sz w:val="16"/>
          <w:szCs w:val="16"/>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t xml:space="preserve">Casos </w:t>
      </w:r>
      <w:r w:rsidRPr="00556DE0">
        <w:rPr>
          <w:rFonts w:ascii="Verdana" w:hAnsi="Verdana"/>
          <w:sz w:val="16"/>
          <w:szCs w:val="16"/>
          <w:lang w:val="es-CR"/>
        </w:rPr>
        <w:t>Maritza Urrutia, Molina Theissen, Tiu Tojín, Villagrán Morales y otros, Bámaca Velásquez, Masacre Plan de Sánchez, Carpio Nicolle y Chita Nech y otros.</w:t>
      </w:r>
    </w:p>
  </w:footnote>
  <w:footnote w:id="142">
    <w:p w14:paraId="4380B3C8" w14:textId="77777777" w:rsidR="0018425E" w:rsidRPr="00556DE0" w:rsidRDefault="0018425E" w:rsidP="00C471B6">
      <w:pPr>
        <w:pStyle w:val="FootnoteText"/>
        <w:ind w:right="1444"/>
        <w:jc w:val="both"/>
        <w:rPr>
          <w:rFonts w:ascii="Verdana" w:hAnsi="Verdana"/>
          <w:sz w:val="16"/>
          <w:szCs w:val="16"/>
          <w:lang w:val="es-CR"/>
        </w:rPr>
      </w:pPr>
      <w:r w:rsidRPr="00556DE0">
        <w:rPr>
          <w:rStyle w:val="FootnoteReference"/>
          <w:rFonts w:ascii="Verdana" w:hAnsi="Verdana"/>
          <w:sz w:val="16"/>
          <w:szCs w:val="16"/>
        </w:rPr>
        <w:footnoteRef/>
      </w:r>
      <w:r w:rsidRPr="00556DE0">
        <w:rPr>
          <w:rFonts w:ascii="Verdana" w:hAnsi="Verdana"/>
          <w:sz w:val="16"/>
          <w:szCs w:val="16"/>
          <w:lang w:val="es-CR"/>
        </w:rPr>
        <w:t xml:space="preserve"> </w:t>
      </w:r>
      <w:r w:rsidRPr="00556DE0">
        <w:rPr>
          <w:rFonts w:ascii="Verdana" w:hAnsi="Verdana"/>
          <w:sz w:val="16"/>
          <w:szCs w:val="16"/>
          <w:lang w:val="es-CR"/>
        </w:rPr>
        <w:tab/>
      </w:r>
      <w:r w:rsidRPr="00556DE0">
        <w:rPr>
          <w:rFonts w:ascii="Verdana" w:hAnsi="Verdana"/>
          <w:i/>
          <w:sz w:val="16"/>
          <w:szCs w:val="16"/>
          <w:lang w:val="es-CR"/>
        </w:rPr>
        <w:t xml:space="preserve">Cfr. </w:t>
      </w:r>
      <w:r w:rsidRPr="00556DE0">
        <w:rPr>
          <w:rFonts w:ascii="Verdana" w:hAnsi="Verdana"/>
          <w:sz w:val="16"/>
          <w:szCs w:val="16"/>
        </w:rPr>
        <w:t>C</w:t>
      </w:r>
      <w:r w:rsidRPr="00556DE0">
        <w:rPr>
          <w:rFonts w:ascii="Verdana" w:hAnsi="Verdana"/>
          <w:i/>
          <w:sz w:val="16"/>
          <w:szCs w:val="16"/>
        </w:rPr>
        <w:t>aso de la Masacre de las Dos Erres Vs. Guatemala. Excepción Preliminar, Fondo, Reparaciones y Costas</w:t>
      </w:r>
      <w:r w:rsidRPr="00556DE0">
        <w:rPr>
          <w:rFonts w:ascii="Verdana" w:hAnsi="Verdana"/>
          <w:sz w:val="16"/>
          <w:szCs w:val="16"/>
        </w:rPr>
        <w:t xml:space="preserve">. Sentencia de 24 de noviembre de 2009. Serie C No. 211, párr. 144 y </w:t>
      </w:r>
      <w:r w:rsidRPr="00556DE0">
        <w:rPr>
          <w:rStyle w:val="Strong"/>
          <w:rFonts w:ascii="Verdana" w:hAnsi="Verdana"/>
          <w:b w:val="0"/>
          <w:i/>
          <w:sz w:val="16"/>
          <w:szCs w:val="16"/>
        </w:rPr>
        <w:t>Caso Gudiel Álvarez y otros ("Diario Militar") Vs. Guatemala. Fondo Reparaciones y Costas.</w:t>
      </w:r>
      <w:r w:rsidRPr="00556DE0">
        <w:rPr>
          <w:rStyle w:val="Strong"/>
          <w:rFonts w:ascii="Verdana" w:hAnsi="Verdana"/>
          <w:b w:val="0"/>
          <w:sz w:val="16"/>
          <w:szCs w:val="16"/>
        </w:rPr>
        <w:t xml:space="preserve"> Sentencia de 20 noviembre de 2012. Serie C No. 253, párr. 251.</w:t>
      </w:r>
    </w:p>
  </w:footnote>
  <w:footnote w:id="143">
    <w:p w14:paraId="3B7DC7E3" w14:textId="77777777" w:rsidR="0018425E" w:rsidRPr="00556DE0" w:rsidRDefault="0018425E" w:rsidP="00C471B6">
      <w:pPr>
        <w:pStyle w:val="FootnoteText"/>
        <w:ind w:right="1444"/>
        <w:jc w:val="both"/>
        <w:rPr>
          <w:rFonts w:ascii="Verdana" w:hAnsi="Verdana"/>
          <w:sz w:val="16"/>
          <w:szCs w:val="16"/>
          <w:lang w:val="es-CR"/>
        </w:rPr>
      </w:pPr>
      <w:r w:rsidRPr="00556DE0">
        <w:rPr>
          <w:rStyle w:val="FootnoteReference"/>
          <w:rFonts w:ascii="Verdana" w:hAnsi="Verdana"/>
          <w:sz w:val="16"/>
          <w:szCs w:val="16"/>
        </w:rPr>
        <w:footnoteRef/>
      </w:r>
      <w:r w:rsidRPr="00556DE0">
        <w:rPr>
          <w:rFonts w:ascii="Verdana" w:hAnsi="Verdana"/>
          <w:sz w:val="16"/>
          <w:szCs w:val="16"/>
          <w:lang w:val="es-ES"/>
        </w:rPr>
        <w:t xml:space="preserve"> </w:t>
      </w:r>
      <w:r w:rsidRPr="00556DE0">
        <w:rPr>
          <w:rFonts w:ascii="Verdana" w:hAnsi="Verdana"/>
          <w:sz w:val="16"/>
          <w:szCs w:val="16"/>
          <w:lang w:val="es-CR"/>
        </w:rPr>
        <w:tab/>
      </w:r>
      <w:r w:rsidRPr="00556DE0">
        <w:rPr>
          <w:rFonts w:ascii="Verdana" w:hAnsi="Verdana"/>
          <w:i/>
          <w:sz w:val="16"/>
          <w:szCs w:val="16"/>
        </w:rPr>
        <w:t>Cfr. Caso Tiu Tojin Vs. Guatemala. Fondo, Reparaciones y Costas</w:t>
      </w:r>
      <w:r w:rsidRPr="00556DE0">
        <w:rPr>
          <w:rFonts w:ascii="Verdana" w:hAnsi="Verdana"/>
          <w:sz w:val="16"/>
          <w:szCs w:val="16"/>
        </w:rPr>
        <w:t xml:space="preserve">. Sentencia de 26 de noviembre de 2008. Serie C No 190, párr. 77 y </w:t>
      </w:r>
      <w:r w:rsidRPr="00556DE0">
        <w:rPr>
          <w:rStyle w:val="Strong"/>
          <w:rFonts w:ascii="Verdana" w:hAnsi="Verdana"/>
          <w:b w:val="0"/>
          <w:i/>
          <w:sz w:val="16"/>
          <w:szCs w:val="16"/>
        </w:rPr>
        <w:t>Caso Gudiel Álvarez y otros ("Diario Militar") Vs. Guatemala. Fondo Reparaciones y Costas.</w:t>
      </w:r>
      <w:r w:rsidRPr="00556DE0">
        <w:rPr>
          <w:rStyle w:val="Strong"/>
          <w:rFonts w:ascii="Verdana" w:hAnsi="Verdana"/>
          <w:b w:val="0"/>
          <w:sz w:val="16"/>
          <w:szCs w:val="16"/>
        </w:rPr>
        <w:t xml:space="preserve"> Sentencia de 20 noviembre de 2012. Serie C No. 253, párr. 251. </w:t>
      </w:r>
    </w:p>
  </w:footnote>
  <w:footnote w:id="144">
    <w:p w14:paraId="04DA751A" w14:textId="77777777" w:rsidR="0018425E" w:rsidRPr="00556DE0" w:rsidRDefault="0018425E" w:rsidP="00C471B6">
      <w:pPr>
        <w:pStyle w:val="FootnoteText"/>
        <w:ind w:right="1440"/>
        <w:jc w:val="both"/>
        <w:rPr>
          <w:rFonts w:ascii="Verdana" w:hAnsi="Verdana"/>
          <w:sz w:val="16"/>
          <w:szCs w:val="16"/>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t xml:space="preserve">En el informe estatal de abril de 2015, el Estado indicó que estaban pendientes de resolución un recurso de amparo de uno de los sindicados del caso </w:t>
      </w:r>
      <w:r w:rsidRPr="00556DE0">
        <w:rPr>
          <w:rFonts w:ascii="Verdana" w:hAnsi="Verdana"/>
          <w:i/>
          <w:sz w:val="16"/>
          <w:szCs w:val="16"/>
        </w:rPr>
        <w:t>Bámaca</w:t>
      </w:r>
      <w:r w:rsidRPr="00556DE0">
        <w:rPr>
          <w:rFonts w:ascii="Verdana" w:hAnsi="Verdana"/>
          <w:sz w:val="16"/>
          <w:szCs w:val="16"/>
        </w:rPr>
        <w:t xml:space="preserve"> y dos recursos de amparo en el caso </w:t>
      </w:r>
      <w:r w:rsidRPr="00556DE0">
        <w:rPr>
          <w:rFonts w:ascii="Verdana" w:hAnsi="Verdana"/>
          <w:i/>
          <w:sz w:val="16"/>
          <w:szCs w:val="16"/>
        </w:rPr>
        <w:t>Masacre de las Dos Erres</w:t>
      </w:r>
      <w:r w:rsidRPr="00556DE0">
        <w:rPr>
          <w:rFonts w:ascii="Verdana" w:hAnsi="Verdana"/>
          <w:sz w:val="16"/>
          <w:szCs w:val="16"/>
        </w:rPr>
        <w:t xml:space="preserve">. Asimismo, realizó en dicho informe un recuento de 17 acciones judiciales planteadas y resueltas a esa fecha dentro del caso </w:t>
      </w:r>
      <w:r w:rsidRPr="00556DE0">
        <w:rPr>
          <w:rFonts w:ascii="Verdana" w:hAnsi="Verdana"/>
          <w:i/>
          <w:sz w:val="16"/>
          <w:szCs w:val="16"/>
        </w:rPr>
        <w:t>Bámaca</w:t>
      </w:r>
      <w:r w:rsidRPr="00556DE0">
        <w:rPr>
          <w:rFonts w:ascii="Verdana" w:hAnsi="Verdana"/>
          <w:sz w:val="16"/>
          <w:szCs w:val="16"/>
        </w:rPr>
        <w:t xml:space="preserve">. Por su parte, en el informe de octubre de 2015, el Estado también señaló que estaban pendientes de resolución un incidente de recusación y una apelación a una sentencia de amparo en los casos </w:t>
      </w:r>
      <w:r w:rsidRPr="00556DE0">
        <w:rPr>
          <w:rFonts w:ascii="Verdana" w:hAnsi="Verdana"/>
          <w:i/>
          <w:sz w:val="16"/>
          <w:szCs w:val="16"/>
        </w:rPr>
        <w:t>Villagrán Morales (Niños de la calle)</w:t>
      </w:r>
      <w:r w:rsidRPr="00556DE0">
        <w:rPr>
          <w:rFonts w:ascii="Verdana" w:hAnsi="Verdana"/>
          <w:sz w:val="16"/>
          <w:szCs w:val="16"/>
        </w:rPr>
        <w:t xml:space="preserve"> y </w:t>
      </w:r>
      <w:r w:rsidRPr="00556DE0">
        <w:rPr>
          <w:rFonts w:ascii="Verdana" w:hAnsi="Verdana"/>
          <w:i/>
          <w:sz w:val="16"/>
          <w:szCs w:val="16"/>
        </w:rPr>
        <w:t>Masacre de las Dos Erres</w:t>
      </w:r>
      <w:r w:rsidRPr="00556DE0">
        <w:rPr>
          <w:rFonts w:ascii="Verdana" w:hAnsi="Verdana"/>
          <w:sz w:val="16"/>
          <w:szCs w:val="16"/>
        </w:rPr>
        <w:t>, respectivamente.</w:t>
      </w:r>
    </w:p>
  </w:footnote>
  <w:footnote w:id="145">
    <w:p w14:paraId="4BCB0949" w14:textId="77777777" w:rsidR="0018425E" w:rsidRPr="00556DE0" w:rsidRDefault="0018425E" w:rsidP="00C471B6">
      <w:pPr>
        <w:pStyle w:val="FootnoteText"/>
        <w:ind w:right="1444"/>
        <w:jc w:val="both"/>
        <w:rPr>
          <w:rFonts w:ascii="Verdana" w:hAnsi="Verdana"/>
          <w:sz w:val="16"/>
          <w:szCs w:val="16"/>
          <w:lang w:val="es-CR"/>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r>
      <w:r w:rsidRPr="00556DE0">
        <w:rPr>
          <w:rFonts w:ascii="Verdana" w:hAnsi="Verdana"/>
          <w:i/>
          <w:sz w:val="16"/>
          <w:szCs w:val="16"/>
        </w:rPr>
        <w:t>Cfr. Caso De la Masacre de las Dos Erres Vs. Guatemala.</w:t>
      </w:r>
      <w:r w:rsidRPr="00556DE0">
        <w:rPr>
          <w:rFonts w:ascii="Verdana" w:hAnsi="Verdana"/>
          <w:sz w:val="16"/>
          <w:szCs w:val="16"/>
        </w:rPr>
        <w:t xml:space="preserve"> Excepción Preliminar, Fondo, Reparaciones y Costas. Sentencia de 24 de noviembre de 2009. Serie C No. 211, párr. 235.</w:t>
      </w:r>
    </w:p>
  </w:footnote>
  <w:footnote w:id="146">
    <w:p w14:paraId="1C734F72" w14:textId="77777777" w:rsidR="0018425E" w:rsidRPr="00556DE0" w:rsidRDefault="0018425E" w:rsidP="00C471B6">
      <w:pPr>
        <w:pStyle w:val="FootnoteText"/>
        <w:ind w:right="1444"/>
        <w:jc w:val="both"/>
        <w:rPr>
          <w:rFonts w:ascii="Verdana" w:hAnsi="Verdana"/>
          <w:sz w:val="16"/>
          <w:szCs w:val="16"/>
          <w:lang w:val="es-CR"/>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r>
      <w:r w:rsidRPr="00556DE0">
        <w:rPr>
          <w:rFonts w:ascii="Verdana" w:hAnsi="Verdana"/>
          <w:i/>
          <w:sz w:val="16"/>
          <w:szCs w:val="16"/>
        </w:rPr>
        <w:t>Cfr. Caso De la Masacre de las Dos Erres Vs. Guatemala.</w:t>
      </w:r>
      <w:r w:rsidRPr="00556DE0">
        <w:rPr>
          <w:rFonts w:ascii="Verdana" w:hAnsi="Verdana"/>
          <w:sz w:val="16"/>
          <w:szCs w:val="16"/>
        </w:rPr>
        <w:t xml:space="preserve"> Excepción Preliminar, Fondo, Reparaciones y Costas. Sentencia de 24 de noviembre de 2009. Serie C No. 211, párr. 153.</w:t>
      </w:r>
    </w:p>
  </w:footnote>
  <w:footnote w:id="147">
    <w:p w14:paraId="0EBB9033" w14:textId="77777777" w:rsidR="0018425E" w:rsidRPr="00556DE0" w:rsidRDefault="0018425E" w:rsidP="00C471B6">
      <w:pPr>
        <w:pStyle w:val="FootnoteText"/>
        <w:ind w:right="1444"/>
        <w:jc w:val="both"/>
        <w:rPr>
          <w:rFonts w:ascii="Verdana" w:hAnsi="Verdana"/>
          <w:sz w:val="16"/>
          <w:szCs w:val="16"/>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r>
      <w:r w:rsidRPr="00556DE0">
        <w:rPr>
          <w:rFonts w:ascii="Verdana" w:hAnsi="Verdana"/>
          <w:sz w:val="16"/>
          <w:szCs w:val="16"/>
          <w:lang w:val="es-CR"/>
        </w:rPr>
        <w:t xml:space="preserve">Por ello ordenó al Estado a “regular la Ley de Amparo, a fin de adecuar este recurso a su </w:t>
      </w:r>
      <w:r w:rsidRPr="00556DE0">
        <w:rPr>
          <w:rFonts w:ascii="Verdana" w:hAnsi="Verdana"/>
          <w:sz w:val="16"/>
          <w:szCs w:val="16"/>
        </w:rPr>
        <w:t>verdadero</w:t>
      </w:r>
      <w:r w:rsidRPr="00556DE0">
        <w:rPr>
          <w:rFonts w:ascii="Verdana" w:hAnsi="Verdana"/>
          <w:sz w:val="16"/>
          <w:szCs w:val="16"/>
          <w:lang w:val="es-CR"/>
        </w:rPr>
        <w:t xml:space="preserve"> objeto y fin, de conformidad con los estándares interamericanos de protección de los derechos humanos”. No obstante, el grado de cumplimiento de esta reparación será valorada posteriormente. </w:t>
      </w:r>
      <w:r w:rsidRPr="00556DE0">
        <w:rPr>
          <w:rFonts w:ascii="Verdana" w:hAnsi="Verdana"/>
          <w:i/>
          <w:sz w:val="16"/>
          <w:szCs w:val="16"/>
          <w:lang w:val="es-CR"/>
        </w:rPr>
        <w:t xml:space="preserve">Cfr. </w:t>
      </w:r>
      <w:r w:rsidRPr="00556DE0">
        <w:rPr>
          <w:rFonts w:ascii="Verdana" w:hAnsi="Verdana"/>
          <w:i/>
          <w:sz w:val="16"/>
          <w:szCs w:val="16"/>
        </w:rPr>
        <w:t>Caso De la Masacre de las Dos Erres Vs. Guatemala.</w:t>
      </w:r>
      <w:r w:rsidRPr="00556DE0">
        <w:rPr>
          <w:rFonts w:ascii="Verdana" w:hAnsi="Verdana"/>
          <w:sz w:val="16"/>
          <w:szCs w:val="16"/>
        </w:rPr>
        <w:t xml:space="preserve"> Excepción Preliminar, Fondo, Reparaciones y Costas. Sentencia de 24 de noviembre de 2009. Serie C No. 211, párr. 238.</w:t>
      </w:r>
    </w:p>
  </w:footnote>
  <w:footnote w:id="148">
    <w:p w14:paraId="4C97A874" w14:textId="77777777" w:rsidR="0018425E" w:rsidRPr="00556DE0" w:rsidRDefault="0018425E" w:rsidP="00C471B6">
      <w:pPr>
        <w:pStyle w:val="FootnoteText"/>
        <w:ind w:right="1440"/>
        <w:jc w:val="both"/>
        <w:rPr>
          <w:rFonts w:ascii="Verdana" w:hAnsi="Verdana"/>
          <w:sz w:val="16"/>
          <w:szCs w:val="16"/>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r>
      <w:r w:rsidRPr="00556DE0">
        <w:rPr>
          <w:rFonts w:ascii="Verdana" w:hAnsi="Verdana"/>
          <w:i/>
          <w:sz w:val="16"/>
          <w:szCs w:val="16"/>
        </w:rPr>
        <w:t>Cfr. Caso De la Masacre de las Dos Erres Vs. Guatemala.</w:t>
      </w:r>
      <w:r w:rsidRPr="00556DE0">
        <w:rPr>
          <w:rFonts w:ascii="Verdana" w:hAnsi="Verdana"/>
          <w:sz w:val="16"/>
          <w:szCs w:val="16"/>
        </w:rPr>
        <w:t xml:space="preserve"> Excepción Preliminar, Fondo, Reparaciones y Costas. Sentencia de 24 de noviembre de 2009. Serie C No. 211, párr. 233.</w:t>
      </w:r>
    </w:p>
  </w:footnote>
  <w:footnote w:id="149">
    <w:p w14:paraId="5B8838CB" w14:textId="77777777" w:rsidR="0018425E" w:rsidRPr="00556DE0" w:rsidRDefault="0018425E" w:rsidP="007061BA">
      <w:pPr>
        <w:pStyle w:val="FootnoteText"/>
        <w:ind w:right="1444"/>
        <w:jc w:val="both"/>
        <w:rPr>
          <w:rFonts w:ascii="Verdana" w:hAnsi="Verdana"/>
          <w:sz w:val="16"/>
          <w:szCs w:val="16"/>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r>
      <w:r w:rsidRPr="00556DE0">
        <w:rPr>
          <w:rFonts w:ascii="Verdana" w:hAnsi="Verdana"/>
          <w:i/>
          <w:sz w:val="16"/>
          <w:szCs w:val="16"/>
        </w:rPr>
        <w:t xml:space="preserve">Cfr. </w:t>
      </w:r>
      <w:r w:rsidRPr="00556DE0">
        <w:rPr>
          <w:rStyle w:val="Strong"/>
          <w:rFonts w:ascii="Verdana" w:hAnsi="Verdana"/>
          <w:b w:val="0"/>
          <w:i/>
          <w:color w:val="000000"/>
          <w:sz w:val="16"/>
          <w:szCs w:val="16"/>
          <w:shd w:val="clear" w:color="auto" w:fill="FFFFFF"/>
        </w:rPr>
        <w:t xml:space="preserve">Caso Supervisión conjunta de 11 casos Vs. Guatemala. Supervisión de Cumplimiento de Sentencia. </w:t>
      </w:r>
      <w:r w:rsidRPr="00556DE0">
        <w:rPr>
          <w:rStyle w:val="Strong"/>
          <w:rFonts w:ascii="Verdana" w:hAnsi="Verdana"/>
          <w:b w:val="0"/>
          <w:color w:val="000000"/>
          <w:sz w:val="16"/>
          <w:szCs w:val="16"/>
          <w:shd w:val="clear" w:color="auto" w:fill="FFFFFF"/>
        </w:rPr>
        <w:t>Resolución de la Corte Interamericana de Derechos Humanos de 21 de agosto de 2014, Considerando 2.</w:t>
      </w:r>
    </w:p>
  </w:footnote>
  <w:footnote w:id="150">
    <w:p w14:paraId="13F7A36F" w14:textId="77777777" w:rsidR="0018425E" w:rsidRPr="00556DE0" w:rsidRDefault="0018425E" w:rsidP="007061BA">
      <w:pPr>
        <w:pStyle w:val="ListParagraph"/>
        <w:tabs>
          <w:tab w:val="left" w:pos="284"/>
        </w:tabs>
        <w:spacing w:after="0" w:line="240" w:lineRule="auto"/>
        <w:ind w:left="0" w:right="1444"/>
        <w:jc w:val="both"/>
        <w:rPr>
          <w:rFonts w:ascii="Verdana" w:hAnsi="Verdana"/>
          <w:sz w:val="16"/>
          <w:szCs w:val="16"/>
          <w:lang w:val="es-CR"/>
        </w:rPr>
      </w:pPr>
      <w:r w:rsidRPr="00556DE0">
        <w:rPr>
          <w:rStyle w:val="FootnoteReference"/>
          <w:rFonts w:ascii="Verdana" w:hAnsi="Verdana"/>
          <w:sz w:val="16"/>
          <w:szCs w:val="16"/>
        </w:rPr>
        <w:footnoteRef/>
      </w:r>
      <w:r w:rsidRPr="00556DE0">
        <w:rPr>
          <w:rFonts w:ascii="Verdana" w:hAnsi="Verdana"/>
          <w:sz w:val="16"/>
          <w:szCs w:val="16"/>
          <w:lang w:val="es-CR"/>
        </w:rPr>
        <w:t xml:space="preserve"> </w:t>
      </w:r>
      <w:r w:rsidRPr="00556DE0">
        <w:rPr>
          <w:rFonts w:ascii="Verdana" w:hAnsi="Verdana"/>
          <w:sz w:val="16"/>
          <w:szCs w:val="16"/>
          <w:lang w:val="es-CR"/>
        </w:rPr>
        <w:tab/>
      </w:r>
      <w:r w:rsidRPr="00556DE0">
        <w:rPr>
          <w:rFonts w:ascii="Verdana" w:hAnsi="Verdana" w:cs="Verdana"/>
          <w:sz w:val="16"/>
          <w:szCs w:val="16"/>
          <w:lang w:val="es-ES"/>
        </w:rPr>
        <w:t xml:space="preserve">En particular, el Ministerio Publico hizo referencia a las solicitudes de amnistía que han planteado “posibles implicados” en los hechos de los casos </w:t>
      </w:r>
      <w:r w:rsidRPr="00556DE0">
        <w:rPr>
          <w:rFonts w:ascii="Verdana" w:hAnsi="Verdana" w:cs="Verdana"/>
          <w:i/>
          <w:sz w:val="16"/>
          <w:szCs w:val="16"/>
          <w:lang w:val="es-ES"/>
        </w:rPr>
        <w:t>Masacre de Plan de Sanchez</w:t>
      </w:r>
      <w:r w:rsidRPr="00556DE0">
        <w:rPr>
          <w:rFonts w:ascii="Verdana" w:hAnsi="Verdana" w:cs="Verdana"/>
          <w:sz w:val="16"/>
          <w:szCs w:val="16"/>
          <w:lang w:val="es-ES"/>
        </w:rPr>
        <w:t xml:space="preserve"> y </w:t>
      </w:r>
      <w:r w:rsidRPr="00556DE0">
        <w:rPr>
          <w:rFonts w:ascii="Verdana" w:hAnsi="Verdana" w:cs="Verdana"/>
          <w:i/>
          <w:sz w:val="16"/>
          <w:szCs w:val="16"/>
          <w:lang w:val="es-ES"/>
        </w:rPr>
        <w:t>Masacre de las Dos Erres</w:t>
      </w:r>
      <w:r w:rsidRPr="00556DE0">
        <w:rPr>
          <w:rFonts w:ascii="Verdana" w:hAnsi="Verdana" w:cs="Verdana"/>
          <w:sz w:val="16"/>
          <w:szCs w:val="16"/>
          <w:lang w:val="es-ES"/>
        </w:rPr>
        <w:t>, amparándose en la Ley de Reconciliación Nacional, las cuales</w:t>
      </w:r>
      <w:r w:rsidRPr="00556DE0">
        <w:rPr>
          <w:rFonts w:ascii="Verdana" w:hAnsi="Verdana" w:cs="Verdana"/>
          <w:i/>
          <w:sz w:val="16"/>
          <w:szCs w:val="16"/>
          <w:lang w:val="es-ES"/>
        </w:rPr>
        <w:t xml:space="preserve"> </w:t>
      </w:r>
      <w:r w:rsidRPr="00556DE0">
        <w:rPr>
          <w:rFonts w:ascii="Verdana" w:hAnsi="Verdana" w:cs="Verdana"/>
          <w:sz w:val="16"/>
          <w:szCs w:val="16"/>
          <w:lang w:val="es-ES"/>
        </w:rPr>
        <w:t>estarían pendientes de resolver por la Corte de Constitucionalidad.</w:t>
      </w:r>
    </w:p>
  </w:footnote>
  <w:footnote w:id="151">
    <w:p w14:paraId="1E458B14" w14:textId="77777777" w:rsidR="0018425E" w:rsidRPr="00556DE0" w:rsidRDefault="0018425E" w:rsidP="007061BA">
      <w:pPr>
        <w:pStyle w:val="FootnoteText"/>
        <w:ind w:right="1444"/>
        <w:jc w:val="both"/>
        <w:rPr>
          <w:rFonts w:ascii="Verdana" w:hAnsi="Verdana"/>
          <w:b/>
          <w:sz w:val="16"/>
          <w:szCs w:val="16"/>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r>
      <w:r w:rsidRPr="00556DE0">
        <w:rPr>
          <w:rFonts w:ascii="Verdana" w:hAnsi="Verdana"/>
          <w:i/>
          <w:sz w:val="16"/>
          <w:szCs w:val="16"/>
        </w:rPr>
        <w:t>Cfr</w:t>
      </w:r>
      <w:r w:rsidRPr="00556DE0">
        <w:rPr>
          <w:rFonts w:ascii="Verdana" w:hAnsi="Verdana"/>
          <w:sz w:val="16"/>
          <w:szCs w:val="16"/>
        </w:rPr>
        <w:t xml:space="preserve">. </w:t>
      </w:r>
      <w:r w:rsidRPr="00556DE0">
        <w:rPr>
          <w:rFonts w:ascii="Verdana" w:hAnsi="Verdana"/>
          <w:i/>
          <w:sz w:val="16"/>
          <w:szCs w:val="16"/>
        </w:rPr>
        <w:t>Caso Barrios Altos Vs. Perú.</w:t>
      </w:r>
      <w:r w:rsidRPr="00556DE0">
        <w:rPr>
          <w:rFonts w:ascii="Verdana" w:hAnsi="Verdana"/>
          <w:sz w:val="16"/>
          <w:szCs w:val="16"/>
        </w:rPr>
        <w:t xml:space="preserve"> </w:t>
      </w:r>
      <w:r w:rsidRPr="00556DE0">
        <w:rPr>
          <w:rFonts w:ascii="Verdana" w:hAnsi="Verdana"/>
          <w:i/>
          <w:sz w:val="16"/>
          <w:szCs w:val="16"/>
        </w:rPr>
        <w:t>Fondo</w:t>
      </w:r>
      <w:r w:rsidRPr="00556DE0">
        <w:rPr>
          <w:rFonts w:ascii="Verdana" w:hAnsi="Verdana"/>
          <w:sz w:val="16"/>
          <w:szCs w:val="16"/>
        </w:rPr>
        <w:t xml:space="preserve">. Sentencia de 14 de marzo de 2001. Serie C No. 75, párr. 41; </w:t>
      </w:r>
      <w:r w:rsidRPr="00556DE0">
        <w:rPr>
          <w:rStyle w:val="Strong"/>
          <w:rFonts w:ascii="Verdana" w:hAnsi="Verdana"/>
          <w:b w:val="0"/>
          <w:i/>
          <w:color w:val="000000"/>
          <w:sz w:val="16"/>
          <w:szCs w:val="16"/>
          <w:shd w:val="clear" w:color="auto" w:fill="FFFFFF"/>
        </w:rPr>
        <w:t xml:space="preserve">Caso Myrna Mack Chang Vs. Guatemala. Fondo, Reparaciones y Costas. </w:t>
      </w:r>
      <w:r w:rsidRPr="00556DE0">
        <w:rPr>
          <w:rStyle w:val="Strong"/>
          <w:rFonts w:ascii="Verdana" w:hAnsi="Verdana"/>
          <w:b w:val="0"/>
          <w:color w:val="000000"/>
          <w:sz w:val="16"/>
          <w:szCs w:val="16"/>
          <w:shd w:val="clear" w:color="auto" w:fill="FFFFFF"/>
        </w:rPr>
        <w:t xml:space="preserve">Sentencia de 25 de noviembre de 2003. Serie C No. 101, párr. 276; </w:t>
      </w:r>
      <w:r w:rsidRPr="00556DE0">
        <w:rPr>
          <w:rStyle w:val="Strong"/>
          <w:rFonts w:ascii="Verdana" w:hAnsi="Verdana"/>
          <w:b w:val="0"/>
          <w:i/>
          <w:color w:val="000000"/>
          <w:sz w:val="16"/>
          <w:szCs w:val="16"/>
          <w:shd w:val="clear" w:color="auto" w:fill="FFFFFF"/>
        </w:rPr>
        <w:t>Caso Molina Theissen Vs. Guatemala. Reparaciones y Costas</w:t>
      </w:r>
      <w:r w:rsidRPr="00556DE0">
        <w:rPr>
          <w:rStyle w:val="Strong"/>
          <w:rFonts w:ascii="Verdana" w:hAnsi="Verdana"/>
          <w:b w:val="0"/>
          <w:color w:val="000000"/>
          <w:sz w:val="16"/>
          <w:szCs w:val="16"/>
          <w:shd w:val="clear" w:color="auto" w:fill="FFFFFF"/>
        </w:rPr>
        <w:t xml:space="preserve">. Sentencia de 3 de julio de 2004. Serie C No. 108, párr. 84; </w:t>
      </w:r>
      <w:r w:rsidRPr="00556DE0">
        <w:rPr>
          <w:rStyle w:val="Strong"/>
          <w:rFonts w:ascii="Verdana" w:hAnsi="Verdana"/>
          <w:b w:val="0"/>
          <w:i/>
          <w:color w:val="000000"/>
          <w:sz w:val="16"/>
          <w:szCs w:val="16"/>
          <w:shd w:val="clear" w:color="auto" w:fill="FFFFFF"/>
        </w:rPr>
        <w:t xml:space="preserve">Caso Carpio Nicolle y otros Vs. Guatemala. Fondo, Reparaciones y Costas. </w:t>
      </w:r>
      <w:r w:rsidRPr="00556DE0">
        <w:rPr>
          <w:rStyle w:val="Strong"/>
          <w:rFonts w:ascii="Verdana" w:hAnsi="Verdana"/>
          <w:b w:val="0"/>
          <w:color w:val="000000"/>
          <w:sz w:val="16"/>
          <w:szCs w:val="16"/>
          <w:shd w:val="clear" w:color="auto" w:fill="FFFFFF"/>
        </w:rPr>
        <w:t xml:space="preserve">Sentencia de 22 de noviembre 2004. Serie C No. 117, párr. 130; </w:t>
      </w:r>
      <w:r w:rsidRPr="00556DE0">
        <w:rPr>
          <w:rStyle w:val="Strong"/>
          <w:rFonts w:ascii="Verdana" w:hAnsi="Verdana"/>
          <w:b w:val="0"/>
          <w:i/>
          <w:color w:val="000000"/>
          <w:sz w:val="16"/>
          <w:szCs w:val="16"/>
          <w:shd w:val="clear" w:color="auto" w:fill="FFFFFF"/>
        </w:rPr>
        <w:t xml:space="preserve">Caso Tiu Tojín Vs. Guatemala. Fondo, Reparaciones y Costas. </w:t>
      </w:r>
      <w:r w:rsidRPr="00556DE0">
        <w:rPr>
          <w:rStyle w:val="Strong"/>
          <w:rFonts w:ascii="Verdana" w:hAnsi="Verdana"/>
          <w:b w:val="0"/>
          <w:color w:val="000000"/>
          <w:sz w:val="16"/>
          <w:szCs w:val="16"/>
          <w:shd w:val="clear" w:color="auto" w:fill="FFFFFF"/>
        </w:rPr>
        <w:t xml:space="preserve">Sentencia de 26 de noviembre de 2008. Serie C No. 190, párr. 90; </w:t>
      </w:r>
      <w:r w:rsidRPr="00556DE0">
        <w:rPr>
          <w:rStyle w:val="Strong"/>
          <w:rFonts w:ascii="Verdana" w:hAnsi="Verdana"/>
          <w:b w:val="0"/>
          <w:i/>
          <w:color w:val="000000"/>
          <w:sz w:val="16"/>
          <w:szCs w:val="16"/>
          <w:shd w:val="clear" w:color="auto" w:fill="FFFFFF"/>
        </w:rPr>
        <w:t>Caso De la Masacre de las Dos Erres Vs. Guatemala. Excepción Preliminar, Fondo, Reparaciones y Costas.</w:t>
      </w:r>
      <w:r w:rsidRPr="00556DE0">
        <w:rPr>
          <w:rStyle w:val="Strong"/>
          <w:rFonts w:ascii="Verdana" w:hAnsi="Verdana"/>
          <w:b w:val="0"/>
          <w:color w:val="000000"/>
          <w:sz w:val="16"/>
          <w:szCs w:val="16"/>
          <w:shd w:val="clear" w:color="auto" w:fill="FFFFFF"/>
        </w:rPr>
        <w:t xml:space="preserve"> Sentencia de 24 de noviembre de 2009. Serie C No. 211, párr. 129, y </w:t>
      </w:r>
      <w:r w:rsidRPr="00556DE0">
        <w:rPr>
          <w:rStyle w:val="Strong"/>
          <w:rFonts w:ascii="Verdana" w:hAnsi="Verdana"/>
          <w:b w:val="0"/>
          <w:i/>
          <w:color w:val="000000"/>
          <w:sz w:val="16"/>
          <w:szCs w:val="16"/>
          <w:shd w:val="clear" w:color="auto" w:fill="FFFFFF"/>
        </w:rPr>
        <w:t>Caso Chitay Nech y otros Vs. Guatemala.</w:t>
      </w:r>
      <w:r w:rsidRPr="00556DE0">
        <w:rPr>
          <w:rStyle w:val="Strong"/>
          <w:rFonts w:ascii="Verdana" w:hAnsi="Verdana"/>
          <w:b w:val="0"/>
          <w:color w:val="000000"/>
          <w:sz w:val="16"/>
          <w:szCs w:val="16"/>
          <w:shd w:val="clear" w:color="auto" w:fill="FFFFFF"/>
        </w:rPr>
        <w:t xml:space="preserve"> Excepciones Preliminares, Fondo, Reparaciones y Costas. Sentencia de 25 de mayo de 2010. Serie C No. 212, párr. 235 b).</w:t>
      </w:r>
    </w:p>
  </w:footnote>
  <w:footnote w:id="152">
    <w:p w14:paraId="6CF5491E" w14:textId="77777777" w:rsidR="0018425E" w:rsidRPr="00556DE0" w:rsidRDefault="0018425E" w:rsidP="007061BA">
      <w:pPr>
        <w:pStyle w:val="FootnoteText"/>
        <w:ind w:right="1444"/>
        <w:jc w:val="both"/>
        <w:rPr>
          <w:rFonts w:ascii="Verdana" w:hAnsi="Verdana"/>
          <w:sz w:val="16"/>
          <w:szCs w:val="16"/>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t xml:space="preserve">Debe destacarse que el Estado, con posterioridad a dicha audiencia, no ha hecho referencia a dicho punto resolutivo. Igualmente, desde el escrito de observaciones de junio de 2014, los representantes tampoco han hecho referencia a dicho punto resolutivo. </w:t>
      </w:r>
    </w:p>
  </w:footnote>
  <w:footnote w:id="153">
    <w:p w14:paraId="1902EF59" w14:textId="77777777" w:rsidR="0018425E" w:rsidRPr="00556DE0" w:rsidRDefault="0018425E" w:rsidP="00B92BAE">
      <w:pPr>
        <w:pStyle w:val="FootnoteText"/>
        <w:ind w:right="1444"/>
        <w:jc w:val="both"/>
        <w:rPr>
          <w:rFonts w:ascii="Verdana" w:hAnsi="Verdana"/>
          <w:sz w:val="16"/>
          <w:szCs w:val="16"/>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t xml:space="preserve">Además señala dicho punto resolutivo que, “como consecuencia del encausamiento penal ya conocido como el ‘juicio del siglo’, no obstante que la legislación imperante da cuenta que los elementos que conforman los tipos penales señalados resulta jurídicamente inviable que se dieran en Guatemala, principalmente en cuanto a la existencia en nuestro suelo patrio de un genocidio durante el enfrentamiento armado interno; discusión que trasciende a los tribunales de justicia, y se da en los medios de comunicación social, sectores de opinión, pueblos, plazas, calles, comunidades y en los hogares guatemaltecos, abriendo así nuevamente la polarización entre hermanos, propiciando condiciones contrarias a la paz y que impiden una definitiva reconciliación nacional”. </w:t>
      </w:r>
    </w:p>
  </w:footnote>
  <w:footnote w:id="154">
    <w:p w14:paraId="20A4EEF1" w14:textId="77777777" w:rsidR="0018425E" w:rsidRPr="00556DE0" w:rsidRDefault="0018425E" w:rsidP="00B92BAE">
      <w:pPr>
        <w:pStyle w:val="FootnoteText"/>
        <w:ind w:right="1444"/>
        <w:rPr>
          <w:rFonts w:ascii="Verdana" w:hAnsi="Verdana"/>
          <w:sz w:val="16"/>
          <w:szCs w:val="16"/>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r>
      <w:r w:rsidRPr="00556DE0">
        <w:rPr>
          <w:rFonts w:ascii="Verdana" w:hAnsi="Verdana"/>
          <w:i/>
          <w:sz w:val="16"/>
          <w:szCs w:val="16"/>
        </w:rPr>
        <w:t>Cfr.</w:t>
      </w:r>
      <w:r w:rsidRPr="00556DE0">
        <w:rPr>
          <w:rFonts w:ascii="Verdana" w:hAnsi="Verdana"/>
          <w:sz w:val="16"/>
          <w:szCs w:val="16"/>
        </w:rPr>
        <w:t xml:space="preserve"> </w:t>
      </w:r>
      <w:r w:rsidRPr="00556DE0">
        <w:rPr>
          <w:rStyle w:val="Strong"/>
          <w:rFonts w:ascii="Verdana" w:hAnsi="Verdana"/>
          <w:b w:val="0"/>
          <w:i/>
          <w:color w:val="000000"/>
          <w:sz w:val="16"/>
          <w:szCs w:val="16"/>
          <w:shd w:val="clear" w:color="auto" w:fill="FFFFFF"/>
        </w:rPr>
        <w:t>Caso Bámaca Velásquez Vs. Guatemala. Supervisión de Cumplimiento de Sentencia.</w:t>
      </w:r>
      <w:r w:rsidRPr="00556DE0">
        <w:rPr>
          <w:rStyle w:val="Strong"/>
          <w:rFonts w:ascii="Verdana" w:hAnsi="Verdana"/>
          <w:b w:val="0"/>
          <w:color w:val="000000"/>
          <w:sz w:val="16"/>
          <w:szCs w:val="16"/>
          <w:shd w:val="clear" w:color="auto" w:fill="FFFFFF"/>
        </w:rPr>
        <w:t xml:space="preserve"> Resolución de la Corte Interamericana de Derechos Humanos 18 de noviembre de 2010, Considerandos 18.</w:t>
      </w:r>
    </w:p>
  </w:footnote>
  <w:footnote w:id="155">
    <w:p w14:paraId="726F6392" w14:textId="77777777" w:rsidR="0018425E" w:rsidRPr="00556DE0" w:rsidRDefault="0018425E" w:rsidP="00B92BAE">
      <w:pPr>
        <w:pStyle w:val="FootnoteText"/>
        <w:ind w:right="1444"/>
        <w:rPr>
          <w:rFonts w:ascii="Verdana" w:hAnsi="Verdana"/>
          <w:sz w:val="16"/>
          <w:szCs w:val="16"/>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r>
      <w:r w:rsidRPr="00556DE0">
        <w:rPr>
          <w:rFonts w:ascii="Verdana" w:hAnsi="Verdana"/>
          <w:i/>
          <w:sz w:val="16"/>
          <w:szCs w:val="16"/>
        </w:rPr>
        <w:t>Cfr.</w:t>
      </w:r>
      <w:r w:rsidRPr="00556DE0">
        <w:rPr>
          <w:rFonts w:ascii="Verdana" w:hAnsi="Verdana"/>
          <w:sz w:val="16"/>
          <w:szCs w:val="16"/>
        </w:rPr>
        <w:t xml:space="preserve"> </w:t>
      </w:r>
      <w:r w:rsidRPr="00556DE0">
        <w:rPr>
          <w:rStyle w:val="Strong"/>
          <w:rFonts w:ascii="Verdana" w:hAnsi="Verdana"/>
          <w:b w:val="0"/>
          <w:i/>
          <w:color w:val="000000"/>
          <w:sz w:val="16"/>
          <w:szCs w:val="16"/>
          <w:shd w:val="clear" w:color="auto" w:fill="FFFFFF"/>
        </w:rPr>
        <w:t>Caso Bámaca Velásquez Vs. Guatemala. Supervisión de Cumplimiento de Sentencia.</w:t>
      </w:r>
      <w:r w:rsidRPr="00556DE0">
        <w:rPr>
          <w:rStyle w:val="Strong"/>
          <w:rFonts w:ascii="Verdana" w:hAnsi="Verdana"/>
          <w:b w:val="0"/>
          <w:color w:val="000000"/>
          <w:sz w:val="16"/>
          <w:szCs w:val="16"/>
          <w:shd w:val="clear" w:color="auto" w:fill="FFFFFF"/>
        </w:rPr>
        <w:t xml:space="preserve"> Resolución de la Corte Interamericana de Derechos Humanos 18 de noviembre de 2010, Considerandos 18, 36, 52.</w:t>
      </w:r>
    </w:p>
    <w:p w14:paraId="364BD7F1" w14:textId="77777777" w:rsidR="0018425E" w:rsidRPr="00556DE0" w:rsidRDefault="0018425E" w:rsidP="00B92BAE">
      <w:pPr>
        <w:pStyle w:val="FootnoteText"/>
        <w:ind w:right="1444"/>
        <w:rPr>
          <w:rFonts w:ascii="Verdana" w:hAnsi="Verdana"/>
          <w:sz w:val="16"/>
          <w:szCs w:val="16"/>
        </w:rPr>
      </w:pPr>
    </w:p>
  </w:footnote>
  <w:footnote w:id="156">
    <w:p w14:paraId="16A814CA" w14:textId="77777777" w:rsidR="0018425E" w:rsidRPr="00556DE0" w:rsidRDefault="0018425E" w:rsidP="00B92BAE">
      <w:pPr>
        <w:pStyle w:val="FootnoteText"/>
        <w:tabs>
          <w:tab w:val="left" w:pos="567"/>
        </w:tabs>
        <w:ind w:right="1444"/>
        <w:jc w:val="both"/>
        <w:rPr>
          <w:rFonts w:ascii="Verdana" w:hAnsi="Verdana"/>
          <w:sz w:val="16"/>
          <w:szCs w:val="16"/>
          <w:lang w:val="es-CR"/>
        </w:rPr>
      </w:pPr>
      <w:r w:rsidRPr="00556DE0">
        <w:rPr>
          <w:rStyle w:val="FootnoteReference"/>
          <w:rFonts w:ascii="Verdana" w:hAnsi="Verdana"/>
          <w:sz w:val="16"/>
          <w:szCs w:val="16"/>
        </w:rPr>
        <w:footnoteRef/>
      </w:r>
      <w:r w:rsidRPr="00556DE0">
        <w:rPr>
          <w:rFonts w:ascii="Verdana" w:hAnsi="Verdana"/>
          <w:sz w:val="16"/>
          <w:szCs w:val="16"/>
          <w:lang w:val="es-CR"/>
        </w:rPr>
        <w:t xml:space="preserve"> </w:t>
      </w:r>
      <w:r w:rsidRPr="00556DE0">
        <w:rPr>
          <w:rFonts w:ascii="Verdana" w:hAnsi="Verdana"/>
          <w:sz w:val="16"/>
          <w:szCs w:val="16"/>
          <w:lang w:val="es-CR"/>
        </w:rPr>
        <w:tab/>
      </w:r>
      <w:r w:rsidRPr="00556DE0">
        <w:rPr>
          <w:rFonts w:ascii="Verdana" w:hAnsi="Verdana"/>
          <w:i/>
          <w:sz w:val="16"/>
          <w:szCs w:val="16"/>
          <w:lang w:val="es-CR"/>
        </w:rPr>
        <w:t xml:space="preserve">Cfr. </w:t>
      </w:r>
      <w:hyperlink r:id="rId1" w:history="1">
        <w:r w:rsidRPr="00556DE0">
          <w:rPr>
            <w:rStyle w:val="Hyperlink"/>
            <w:rFonts w:ascii="Verdana" w:hAnsi="Verdana" w:cs="Arial"/>
            <w:color w:val="auto"/>
            <w:sz w:val="16"/>
            <w:szCs w:val="16"/>
            <w:u w:val="none"/>
            <w:lang w:val="es-CR"/>
          </w:rPr>
          <w:t>C</w:t>
        </w:r>
        <w:r w:rsidRPr="00556DE0">
          <w:rPr>
            <w:rStyle w:val="Hyperlink"/>
            <w:rFonts w:ascii="Verdana" w:hAnsi="Verdana" w:cs="Arial"/>
            <w:i/>
            <w:color w:val="auto"/>
            <w:sz w:val="16"/>
            <w:szCs w:val="16"/>
            <w:u w:val="none"/>
            <w:lang w:val="es-CR"/>
          </w:rPr>
          <w:t>aso Apitz Barbera y Otros ("Corte Primera de lo Contencioso Administrativo") Vs. Venezuela</w:t>
        </w:r>
        <w:r w:rsidRPr="00556DE0">
          <w:rPr>
            <w:rStyle w:val="Hyperlink"/>
            <w:rFonts w:ascii="Verdana" w:hAnsi="Verdana" w:cs="Arial"/>
            <w:color w:val="auto"/>
            <w:sz w:val="16"/>
            <w:szCs w:val="16"/>
            <w:u w:val="none"/>
            <w:lang w:val="es-CR"/>
          </w:rPr>
          <w:t>. Supervisión de Cumplimiento de Sentencia. Resolución de la Corte Interamericana de Derechos Humanos de 23 de noviembre de 2012</w:t>
        </w:r>
      </w:hyperlink>
      <w:r w:rsidRPr="00556DE0">
        <w:rPr>
          <w:rFonts w:ascii="Verdana" w:hAnsi="Verdana" w:cs="Arial"/>
          <w:sz w:val="16"/>
          <w:szCs w:val="16"/>
          <w:lang w:val="es-CR"/>
        </w:rPr>
        <w:t xml:space="preserve">, Considerando 39; </w:t>
      </w:r>
      <w:r w:rsidRPr="00556DE0">
        <w:rPr>
          <w:rStyle w:val="Strong"/>
          <w:rFonts w:ascii="Verdana" w:hAnsi="Verdana"/>
          <w:b w:val="0"/>
          <w:i/>
          <w:color w:val="000000"/>
          <w:sz w:val="16"/>
          <w:szCs w:val="16"/>
          <w:shd w:val="clear" w:color="auto" w:fill="FFFFFF"/>
        </w:rPr>
        <w:t>Caso Supervisión conjunta de 11 casos Vs. Guatemala. Supervisión de Cumplimiento de Sentencia.</w:t>
      </w:r>
      <w:r w:rsidRPr="00556DE0">
        <w:rPr>
          <w:rStyle w:val="Strong"/>
          <w:rFonts w:ascii="Verdana" w:hAnsi="Verdana"/>
          <w:b w:val="0"/>
          <w:color w:val="000000"/>
          <w:sz w:val="16"/>
          <w:szCs w:val="16"/>
          <w:shd w:val="clear" w:color="auto" w:fill="FFFFFF"/>
        </w:rPr>
        <w:t xml:space="preserve"> Resolución de la Corte Interamericana de Derechos Humanos de 21 de agosto de 2014, Considerando 15, y </w:t>
      </w:r>
      <w:r w:rsidRPr="00556DE0">
        <w:rPr>
          <w:rStyle w:val="Strong"/>
          <w:rFonts w:ascii="Verdana" w:hAnsi="Verdana"/>
          <w:b w:val="0"/>
          <w:i/>
          <w:color w:val="000000"/>
          <w:sz w:val="16"/>
          <w:szCs w:val="16"/>
          <w:shd w:val="clear" w:color="auto" w:fill="FFFFFF"/>
        </w:rPr>
        <w:t>Casos Masacres de Río Negro y Gudiel Álvarez y otros Vs. Guatemala. Supervisión de Cumplimiento de Sentencia.</w:t>
      </w:r>
      <w:r w:rsidRPr="00556DE0">
        <w:rPr>
          <w:rStyle w:val="Strong"/>
          <w:rFonts w:ascii="Verdana" w:hAnsi="Verdana"/>
          <w:b w:val="0"/>
          <w:color w:val="000000"/>
          <w:sz w:val="16"/>
          <w:szCs w:val="16"/>
          <w:shd w:val="clear" w:color="auto" w:fill="FFFFFF"/>
        </w:rPr>
        <w:t xml:space="preserve"> Resolución de la Corte Interamericana de Derechos Humanos de 21 de agosto de 2014, Considerando 15.</w:t>
      </w:r>
    </w:p>
  </w:footnote>
  <w:footnote w:id="157">
    <w:p w14:paraId="493253DC" w14:textId="77777777" w:rsidR="0018425E" w:rsidRPr="00556DE0" w:rsidRDefault="0018425E" w:rsidP="00B92BAE">
      <w:pPr>
        <w:pStyle w:val="FootnoteText"/>
        <w:tabs>
          <w:tab w:val="left" w:pos="567"/>
        </w:tabs>
        <w:ind w:right="1444"/>
        <w:jc w:val="both"/>
        <w:rPr>
          <w:rFonts w:ascii="Verdana" w:hAnsi="Verdana"/>
          <w:sz w:val="16"/>
          <w:szCs w:val="16"/>
          <w:lang w:val="es-ES"/>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r>
      <w:r w:rsidRPr="00556DE0">
        <w:rPr>
          <w:rFonts w:ascii="Verdana" w:hAnsi="Verdana"/>
          <w:i/>
          <w:sz w:val="16"/>
          <w:szCs w:val="16"/>
        </w:rPr>
        <w:t xml:space="preserve">Cfr. </w:t>
      </w:r>
      <w:r w:rsidRPr="00556DE0">
        <w:rPr>
          <w:rFonts w:ascii="Verdana" w:hAnsi="Verdana"/>
          <w:i/>
          <w:sz w:val="16"/>
          <w:szCs w:val="16"/>
          <w:lang w:val="es-ES"/>
        </w:rPr>
        <w:t>Caso De la Masacre de las Dos Erres Vs. Guatemala. Excepción Preliminar, Fondo, Reparaciones y Costas</w:t>
      </w:r>
      <w:r w:rsidRPr="00556DE0">
        <w:rPr>
          <w:rFonts w:ascii="Verdana" w:hAnsi="Verdana"/>
          <w:sz w:val="16"/>
          <w:szCs w:val="16"/>
          <w:lang w:val="es-ES"/>
        </w:rPr>
        <w:t>. Sentencia de 24 de noviembre de 2009. Serie C No. 211, párr. 131.</w:t>
      </w:r>
    </w:p>
  </w:footnote>
  <w:footnote w:id="158">
    <w:p w14:paraId="2AC80DE4" w14:textId="77777777" w:rsidR="0018425E" w:rsidRPr="00556DE0" w:rsidRDefault="0018425E" w:rsidP="00B92BAE">
      <w:pPr>
        <w:pStyle w:val="FootnoteText"/>
        <w:tabs>
          <w:tab w:val="left" w:pos="567"/>
        </w:tabs>
        <w:ind w:right="1444"/>
        <w:jc w:val="both"/>
        <w:rPr>
          <w:rFonts w:ascii="Verdana" w:hAnsi="Verdana"/>
          <w:sz w:val="16"/>
          <w:szCs w:val="16"/>
          <w:lang w:val="es-ES"/>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r>
      <w:r w:rsidRPr="00556DE0">
        <w:rPr>
          <w:rFonts w:ascii="Verdana" w:hAnsi="Verdana"/>
          <w:i/>
          <w:sz w:val="16"/>
          <w:szCs w:val="16"/>
        </w:rPr>
        <w:t xml:space="preserve">Cfr. </w:t>
      </w:r>
      <w:r w:rsidRPr="00556DE0">
        <w:rPr>
          <w:rFonts w:ascii="Verdana" w:hAnsi="Verdana"/>
          <w:i/>
          <w:sz w:val="16"/>
          <w:szCs w:val="16"/>
          <w:lang w:val="es-ES"/>
        </w:rPr>
        <w:t>Caso Chitay Nech y otros Vs. Guatemala. Supervisión de Cumplimiento de Sentencia</w:t>
      </w:r>
      <w:r w:rsidRPr="00556DE0">
        <w:rPr>
          <w:rFonts w:ascii="Verdana" w:hAnsi="Verdana"/>
          <w:sz w:val="16"/>
          <w:szCs w:val="16"/>
          <w:lang w:val="es-ES"/>
        </w:rPr>
        <w:t xml:space="preserve">. Resolución de la Corte Interamericana de Derechos Humanos de 22 de agosto de 2013, Considerandos 12, 13 y 14. </w:t>
      </w:r>
    </w:p>
  </w:footnote>
  <w:footnote w:id="159">
    <w:p w14:paraId="57C9BE0A" w14:textId="77777777" w:rsidR="0018425E" w:rsidRPr="00556DE0" w:rsidRDefault="0018425E" w:rsidP="00B92BAE">
      <w:pPr>
        <w:pStyle w:val="FootnoteText"/>
        <w:tabs>
          <w:tab w:val="left" w:pos="567"/>
        </w:tabs>
        <w:ind w:right="1444"/>
        <w:jc w:val="both"/>
        <w:rPr>
          <w:rFonts w:ascii="Verdana" w:hAnsi="Verdana"/>
          <w:sz w:val="16"/>
          <w:szCs w:val="16"/>
          <w:lang w:val="es-ES"/>
        </w:rPr>
      </w:pPr>
      <w:r w:rsidRPr="00556DE0">
        <w:rPr>
          <w:rStyle w:val="FootnoteReference"/>
          <w:rFonts w:ascii="Verdana" w:hAnsi="Verdana"/>
          <w:sz w:val="16"/>
          <w:szCs w:val="16"/>
        </w:rPr>
        <w:footnoteRef/>
      </w:r>
      <w:r w:rsidRPr="00556DE0">
        <w:rPr>
          <w:rFonts w:ascii="Verdana" w:hAnsi="Verdana"/>
          <w:sz w:val="16"/>
          <w:szCs w:val="16"/>
          <w:lang w:val="es-ES"/>
        </w:rPr>
        <w:t xml:space="preserve"> </w:t>
      </w:r>
      <w:r w:rsidRPr="00556DE0">
        <w:rPr>
          <w:rFonts w:ascii="Verdana" w:hAnsi="Verdana"/>
          <w:sz w:val="16"/>
          <w:szCs w:val="16"/>
          <w:lang w:val="es-ES"/>
        </w:rPr>
        <w:tab/>
      </w:r>
      <w:r w:rsidRPr="00556DE0">
        <w:rPr>
          <w:rFonts w:ascii="Verdana" w:hAnsi="Verdana"/>
          <w:i/>
          <w:sz w:val="16"/>
          <w:szCs w:val="16"/>
          <w:lang w:val="es-ES"/>
        </w:rPr>
        <w:t>Cfr. Caso Chitay Nech y otros Vs. Guatemala. Supervisión de Cumplimiento de Sentencia</w:t>
      </w:r>
      <w:r w:rsidRPr="00556DE0">
        <w:rPr>
          <w:rFonts w:ascii="Verdana" w:hAnsi="Verdana"/>
          <w:sz w:val="16"/>
          <w:szCs w:val="16"/>
          <w:lang w:val="es-ES"/>
        </w:rPr>
        <w:t xml:space="preserve">. Resolución de la Corte Interamericana de Derechos Humanos de 22 de agosto de 2013, Considerando 13, y </w:t>
      </w:r>
      <w:r w:rsidRPr="00556DE0">
        <w:rPr>
          <w:rFonts w:ascii="Verdana" w:hAnsi="Verdana"/>
          <w:i/>
          <w:sz w:val="16"/>
          <w:szCs w:val="16"/>
          <w:lang w:val="es-ES"/>
        </w:rPr>
        <w:t>caso De la Masacre de las Dos Erres Vs. Guatemala. Excepción Preliminar, Fondo, Reparaciones y Costas</w:t>
      </w:r>
      <w:r w:rsidRPr="00556DE0">
        <w:rPr>
          <w:rFonts w:ascii="Verdana" w:hAnsi="Verdana"/>
          <w:sz w:val="16"/>
          <w:szCs w:val="16"/>
          <w:lang w:val="es-ES"/>
        </w:rPr>
        <w:t>. Sentencia de 24 de noviembre de 2009. Serie C No. 211, párr. 131.</w:t>
      </w:r>
    </w:p>
  </w:footnote>
  <w:footnote w:id="160">
    <w:p w14:paraId="718C7A25" w14:textId="77777777" w:rsidR="0018425E" w:rsidRPr="00556DE0" w:rsidRDefault="0018425E" w:rsidP="00B92BAE">
      <w:pPr>
        <w:pStyle w:val="FootnoteText"/>
        <w:tabs>
          <w:tab w:val="left" w:pos="567"/>
        </w:tabs>
        <w:ind w:right="1444"/>
        <w:jc w:val="both"/>
        <w:rPr>
          <w:rFonts w:ascii="Verdana" w:hAnsi="Verdana"/>
          <w:sz w:val="16"/>
          <w:szCs w:val="16"/>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r>
      <w:r w:rsidRPr="00556DE0">
        <w:rPr>
          <w:rFonts w:ascii="Verdana" w:hAnsi="Verdana"/>
          <w:i/>
          <w:sz w:val="16"/>
          <w:szCs w:val="16"/>
        </w:rPr>
        <w:t xml:space="preserve">Cfr. </w:t>
      </w:r>
      <w:r w:rsidRPr="00556DE0">
        <w:rPr>
          <w:rFonts w:ascii="Verdana" w:hAnsi="Verdana"/>
          <w:i/>
          <w:sz w:val="16"/>
          <w:szCs w:val="16"/>
          <w:lang w:val="es-ES"/>
        </w:rPr>
        <w:t>Caso Chitay Nech y otros Vs. Guatemala. Supervisión de Cumplimiento de Sentencia</w:t>
      </w:r>
      <w:r w:rsidRPr="00556DE0">
        <w:rPr>
          <w:rFonts w:ascii="Verdana" w:hAnsi="Verdana"/>
          <w:sz w:val="16"/>
          <w:szCs w:val="16"/>
          <w:lang w:val="es-ES"/>
        </w:rPr>
        <w:t>. Resolución de la Corte Interamericana de Derechos Humanos de 22 de agosto de 2013, Considerando 14.</w:t>
      </w:r>
    </w:p>
  </w:footnote>
  <w:footnote w:id="161">
    <w:p w14:paraId="2A99AD81" w14:textId="53D4A48E" w:rsidR="0018425E" w:rsidRPr="00BD30F5" w:rsidRDefault="0018425E" w:rsidP="00BD30F5">
      <w:pPr>
        <w:pStyle w:val="FootnoteText"/>
        <w:ind w:right="1444"/>
        <w:jc w:val="both"/>
        <w:rPr>
          <w:rFonts w:ascii="Verdana" w:hAnsi="Verdana"/>
          <w:sz w:val="16"/>
          <w:szCs w:val="16"/>
        </w:rPr>
      </w:pPr>
      <w:r w:rsidRPr="00BD30F5">
        <w:rPr>
          <w:rStyle w:val="FootnoteReference"/>
          <w:rFonts w:ascii="Verdana" w:hAnsi="Verdana"/>
          <w:sz w:val="16"/>
          <w:szCs w:val="16"/>
        </w:rPr>
        <w:footnoteRef/>
      </w:r>
      <w:r w:rsidRPr="00BD30F5">
        <w:rPr>
          <w:rFonts w:ascii="Verdana" w:hAnsi="Verdana"/>
          <w:sz w:val="16"/>
          <w:szCs w:val="16"/>
        </w:rPr>
        <w:t xml:space="preserve"> </w:t>
      </w:r>
      <w:r w:rsidRPr="00BD30F5">
        <w:rPr>
          <w:rFonts w:ascii="Verdana" w:hAnsi="Verdana"/>
          <w:sz w:val="16"/>
          <w:szCs w:val="16"/>
        </w:rPr>
        <w:tab/>
      </w:r>
      <w:r>
        <w:rPr>
          <w:rFonts w:ascii="Verdana" w:hAnsi="Verdana"/>
          <w:sz w:val="16"/>
          <w:szCs w:val="16"/>
        </w:rPr>
        <w:t>Además, el Tribunal nota que en su informe de mayo de 2014, el Ministerio Público destacó como positivo que en casos que “se han tramitado o que se adelantan en la Fiscalía de Derechos Humanos [Unidad de Casos Especiales del Conflicto Armado Interno</w:t>
      </w:r>
      <w:proofErr w:type="gramStart"/>
      <w:r>
        <w:rPr>
          <w:rFonts w:ascii="Verdana" w:hAnsi="Verdana"/>
          <w:sz w:val="16"/>
          <w:szCs w:val="16"/>
        </w:rPr>
        <w:t>, …</w:t>
      </w:r>
      <w:proofErr w:type="gramEnd"/>
      <w:r>
        <w:rPr>
          <w:rFonts w:ascii="Verdana" w:hAnsi="Verdana"/>
          <w:sz w:val="16"/>
          <w:szCs w:val="16"/>
        </w:rPr>
        <w:t xml:space="preserve"> se] ha obtenido sentencias condenatorias” en los años 2012 y 2013 “por el delito de desaparición forzada”.</w:t>
      </w:r>
    </w:p>
  </w:footnote>
  <w:footnote w:id="162">
    <w:p w14:paraId="3536C897" w14:textId="77777777" w:rsidR="0018425E" w:rsidRPr="00556DE0" w:rsidRDefault="0018425E" w:rsidP="00B92BAE">
      <w:pPr>
        <w:spacing w:after="0" w:line="240" w:lineRule="auto"/>
        <w:ind w:right="1444"/>
        <w:jc w:val="both"/>
        <w:rPr>
          <w:rFonts w:ascii="Verdana" w:hAnsi="Verdana"/>
          <w:noProof/>
          <w:sz w:val="16"/>
          <w:szCs w:val="16"/>
          <w:lang w:val="es-CR"/>
        </w:rPr>
      </w:pPr>
      <w:r w:rsidRPr="00556DE0">
        <w:rPr>
          <w:rStyle w:val="FootnoteReference"/>
          <w:rFonts w:ascii="Verdana" w:eastAsia="Times" w:hAnsi="Verdana"/>
          <w:sz w:val="16"/>
          <w:szCs w:val="16"/>
        </w:rPr>
        <w:footnoteRef/>
      </w:r>
      <w:r w:rsidRPr="00556DE0">
        <w:rPr>
          <w:rFonts w:ascii="Verdana" w:hAnsi="Verdana"/>
          <w:sz w:val="16"/>
          <w:szCs w:val="16"/>
          <w:lang w:val="es-CR"/>
        </w:rPr>
        <w:t xml:space="preserve"> </w:t>
      </w:r>
      <w:r w:rsidRPr="00556DE0">
        <w:rPr>
          <w:rFonts w:ascii="Verdana" w:hAnsi="Verdana"/>
          <w:sz w:val="16"/>
          <w:szCs w:val="16"/>
          <w:lang w:val="es-CR"/>
        </w:rPr>
        <w:tab/>
      </w:r>
      <w:r w:rsidRPr="00556DE0">
        <w:rPr>
          <w:rFonts w:ascii="Verdana" w:hAnsi="Verdana"/>
          <w:i/>
          <w:noProof/>
          <w:sz w:val="16"/>
          <w:szCs w:val="16"/>
          <w:lang w:val="es-CR"/>
        </w:rPr>
        <w:t xml:space="preserve">Cfr. </w:t>
      </w:r>
      <w:r w:rsidRPr="00556DE0">
        <w:rPr>
          <w:rFonts w:ascii="Verdana" w:hAnsi="Verdana"/>
          <w:i/>
          <w:sz w:val="16"/>
          <w:szCs w:val="16"/>
          <w:lang w:val="es-CR"/>
        </w:rPr>
        <w:t xml:space="preserve">Caso Velásquez Rodríguez Vs. Honduras. Fondo. </w:t>
      </w:r>
      <w:r w:rsidRPr="00556DE0">
        <w:rPr>
          <w:rStyle w:val="Strong"/>
          <w:rFonts w:ascii="Verdana" w:hAnsi="Verdana"/>
          <w:b w:val="0"/>
          <w:color w:val="000000"/>
          <w:sz w:val="16"/>
          <w:szCs w:val="16"/>
          <w:shd w:val="clear" w:color="auto" w:fill="FFFFFF"/>
          <w:lang w:val="es-CR"/>
        </w:rPr>
        <w:t>Sentencia de 29 de julio de 1988. Serie C No. 4</w:t>
      </w:r>
      <w:r w:rsidRPr="00556DE0">
        <w:rPr>
          <w:rFonts w:ascii="Verdana" w:hAnsi="Verdana"/>
          <w:i/>
          <w:sz w:val="16"/>
          <w:szCs w:val="16"/>
          <w:lang w:val="es-CR"/>
        </w:rPr>
        <w:t>,</w:t>
      </w:r>
      <w:r w:rsidRPr="00556DE0">
        <w:rPr>
          <w:rFonts w:ascii="Verdana" w:hAnsi="Verdana"/>
          <w:sz w:val="16"/>
          <w:szCs w:val="16"/>
          <w:lang w:val="es-CR"/>
        </w:rPr>
        <w:t xml:space="preserve"> párr. </w:t>
      </w:r>
      <w:r w:rsidRPr="00556DE0">
        <w:rPr>
          <w:rFonts w:ascii="Verdana" w:hAnsi="Verdana"/>
          <w:noProof/>
          <w:sz w:val="16"/>
          <w:szCs w:val="16"/>
          <w:lang w:val="es-CR"/>
        </w:rPr>
        <w:t>155,</w:t>
      </w:r>
      <w:r w:rsidRPr="00556DE0">
        <w:rPr>
          <w:rFonts w:ascii="Verdana" w:hAnsi="Verdana"/>
          <w:b/>
          <w:noProof/>
          <w:sz w:val="16"/>
          <w:szCs w:val="16"/>
          <w:lang w:val="es-CR"/>
        </w:rPr>
        <w:t xml:space="preserve"> </w:t>
      </w:r>
      <w:r w:rsidRPr="00556DE0">
        <w:rPr>
          <w:rFonts w:ascii="Verdana" w:hAnsi="Verdana"/>
          <w:noProof/>
          <w:sz w:val="16"/>
          <w:szCs w:val="16"/>
          <w:lang w:val="es-CR"/>
        </w:rPr>
        <w:t>y</w:t>
      </w:r>
      <w:r w:rsidRPr="00556DE0">
        <w:rPr>
          <w:rStyle w:val="Heading3Char"/>
          <w:color w:val="000000"/>
          <w:sz w:val="16"/>
          <w:szCs w:val="16"/>
          <w:u w:val="none"/>
          <w:shd w:val="clear" w:color="auto" w:fill="FFFFFF"/>
        </w:rPr>
        <w:t xml:space="preserve"> </w:t>
      </w:r>
      <w:r w:rsidRPr="00556DE0">
        <w:rPr>
          <w:rStyle w:val="Strong"/>
          <w:rFonts w:ascii="Verdana" w:hAnsi="Verdana"/>
          <w:b w:val="0"/>
          <w:i/>
          <w:color w:val="000000"/>
          <w:sz w:val="16"/>
          <w:szCs w:val="16"/>
          <w:shd w:val="clear" w:color="auto" w:fill="FFFFFF"/>
          <w:lang w:val="es-CR"/>
        </w:rPr>
        <w:t>Caso Gudiel Álvarez y otros ("Diario Militar") Vs. Guatemala. Fondo Reparaciones y Costas.</w:t>
      </w:r>
      <w:r w:rsidRPr="00556DE0">
        <w:rPr>
          <w:rStyle w:val="Strong"/>
          <w:rFonts w:ascii="Verdana" w:hAnsi="Verdana"/>
          <w:b w:val="0"/>
          <w:color w:val="000000"/>
          <w:sz w:val="16"/>
          <w:szCs w:val="16"/>
          <w:shd w:val="clear" w:color="auto" w:fill="FFFFFF"/>
          <w:lang w:val="es-CR"/>
        </w:rPr>
        <w:t xml:space="preserve"> Sentencia de 20 noviembre de 2012 Serie C No. 253, párr. 191.</w:t>
      </w:r>
    </w:p>
  </w:footnote>
  <w:footnote w:id="163">
    <w:p w14:paraId="11BA18F5" w14:textId="77777777" w:rsidR="0018425E" w:rsidRPr="00556DE0" w:rsidRDefault="0018425E" w:rsidP="00B92BAE">
      <w:pPr>
        <w:pStyle w:val="FootnoteText"/>
        <w:ind w:right="1444"/>
        <w:jc w:val="both"/>
        <w:rPr>
          <w:rFonts w:ascii="Verdana" w:hAnsi="Verdana"/>
          <w:sz w:val="16"/>
          <w:szCs w:val="16"/>
          <w:lang w:val="es-CL"/>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r>
      <w:r w:rsidRPr="00556DE0">
        <w:rPr>
          <w:rFonts w:ascii="Verdana" w:hAnsi="Verdana"/>
          <w:bCs/>
          <w:i/>
          <w:sz w:val="16"/>
          <w:szCs w:val="16"/>
        </w:rPr>
        <w:t>Cfr.</w:t>
      </w:r>
      <w:r w:rsidRPr="00556DE0">
        <w:rPr>
          <w:rFonts w:ascii="Verdana" w:hAnsi="Verdana"/>
          <w:bCs/>
          <w:sz w:val="16"/>
          <w:szCs w:val="16"/>
        </w:rPr>
        <w:t xml:space="preserve"> </w:t>
      </w:r>
      <w:r w:rsidRPr="00556DE0">
        <w:rPr>
          <w:rFonts w:ascii="Verdana" w:hAnsi="Verdana"/>
          <w:i/>
          <w:sz w:val="16"/>
          <w:szCs w:val="16"/>
        </w:rPr>
        <w:t xml:space="preserve">Caso Velásquez Rodríguez Vs. Honduras. </w:t>
      </w:r>
      <w:r w:rsidRPr="00556DE0">
        <w:rPr>
          <w:rFonts w:ascii="Verdana" w:hAnsi="Verdana"/>
          <w:i/>
          <w:sz w:val="16"/>
          <w:szCs w:val="16"/>
          <w:lang w:val="es-ES"/>
        </w:rPr>
        <w:t>Fondo, supra</w:t>
      </w:r>
      <w:r w:rsidRPr="00556DE0">
        <w:rPr>
          <w:rFonts w:ascii="Verdana" w:hAnsi="Verdana"/>
          <w:sz w:val="16"/>
          <w:szCs w:val="16"/>
          <w:lang w:val="es-ES"/>
        </w:rPr>
        <w:t>,</w:t>
      </w:r>
      <w:r w:rsidRPr="00556DE0">
        <w:rPr>
          <w:rFonts w:ascii="Verdana" w:hAnsi="Verdana"/>
          <w:i/>
          <w:sz w:val="16"/>
          <w:szCs w:val="16"/>
        </w:rPr>
        <w:t xml:space="preserve"> </w:t>
      </w:r>
      <w:r w:rsidRPr="00556DE0">
        <w:rPr>
          <w:rFonts w:ascii="Verdana" w:hAnsi="Verdana"/>
          <w:noProof/>
          <w:sz w:val="16"/>
          <w:szCs w:val="16"/>
          <w:lang w:val="es-CR"/>
        </w:rPr>
        <w:t xml:space="preserve">párrs. 155 a 157, </w:t>
      </w:r>
      <w:r w:rsidRPr="00556DE0">
        <w:rPr>
          <w:rFonts w:ascii="Verdana" w:hAnsi="Verdana"/>
          <w:sz w:val="16"/>
          <w:szCs w:val="16"/>
        </w:rPr>
        <w:t xml:space="preserve">y </w:t>
      </w:r>
      <w:r w:rsidRPr="00556DE0">
        <w:rPr>
          <w:rStyle w:val="Strong"/>
          <w:rFonts w:ascii="Verdana" w:hAnsi="Verdana"/>
          <w:b w:val="0"/>
          <w:i/>
          <w:color w:val="000000"/>
          <w:sz w:val="16"/>
          <w:szCs w:val="16"/>
          <w:shd w:val="clear" w:color="auto" w:fill="FFFFFF"/>
          <w:lang w:val="es-CR"/>
        </w:rPr>
        <w:t>Caso Gudiel Álvarez y otros ("Diario Militar") Vs. Guatemala. Fondo Reparaciones y Costas.</w:t>
      </w:r>
      <w:r w:rsidRPr="00556DE0">
        <w:rPr>
          <w:rStyle w:val="Strong"/>
          <w:rFonts w:ascii="Verdana" w:hAnsi="Verdana"/>
          <w:b w:val="0"/>
          <w:color w:val="000000"/>
          <w:sz w:val="16"/>
          <w:szCs w:val="16"/>
          <w:shd w:val="clear" w:color="auto" w:fill="FFFFFF"/>
          <w:lang w:val="es-CR"/>
        </w:rPr>
        <w:t xml:space="preserve"> Sentencia de 20 noviembre de 2012 Serie C No. 253, párr. 191.</w:t>
      </w:r>
    </w:p>
  </w:footnote>
  <w:footnote w:id="164">
    <w:p w14:paraId="2B5C2926" w14:textId="77777777" w:rsidR="0018425E" w:rsidRPr="00556DE0" w:rsidRDefault="0018425E" w:rsidP="00B92BAE">
      <w:pPr>
        <w:pStyle w:val="FootnoteText"/>
        <w:ind w:right="1444"/>
        <w:rPr>
          <w:rFonts w:ascii="Verdana" w:hAnsi="Verdana"/>
          <w:sz w:val="16"/>
          <w:szCs w:val="16"/>
        </w:rPr>
      </w:pPr>
      <w:r w:rsidRPr="00556DE0">
        <w:rPr>
          <w:rStyle w:val="FootnoteReference"/>
          <w:rFonts w:ascii="Verdana" w:eastAsia="Calibri" w:hAnsi="Verdana"/>
          <w:sz w:val="16"/>
          <w:szCs w:val="16"/>
        </w:rPr>
        <w:footnoteRef/>
      </w:r>
      <w:r w:rsidRPr="00556DE0">
        <w:rPr>
          <w:rFonts w:ascii="Verdana" w:hAnsi="Verdana"/>
          <w:sz w:val="16"/>
          <w:szCs w:val="16"/>
        </w:rPr>
        <w:t xml:space="preserve"> </w:t>
      </w:r>
      <w:r w:rsidRPr="00556DE0">
        <w:rPr>
          <w:rFonts w:ascii="Verdana" w:hAnsi="Verdana"/>
          <w:sz w:val="16"/>
          <w:szCs w:val="16"/>
        </w:rPr>
        <w:tab/>
      </w:r>
      <w:r w:rsidRPr="00556DE0">
        <w:rPr>
          <w:rFonts w:ascii="Verdana" w:hAnsi="Verdana" w:cs="Arial"/>
          <w:i/>
          <w:sz w:val="16"/>
          <w:szCs w:val="16"/>
        </w:rPr>
        <w:t>Cfr.</w:t>
      </w:r>
      <w:r w:rsidRPr="00556DE0">
        <w:rPr>
          <w:rFonts w:ascii="Verdana" w:hAnsi="Verdana" w:cs="Arial"/>
          <w:sz w:val="16"/>
          <w:szCs w:val="16"/>
        </w:rPr>
        <w:t xml:space="preserve"> </w:t>
      </w:r>
      <w:r w:rsidRPr="00556DE0">
        <w:rPr>
          <w:rFonts w:ascii="Verdana" w:hAnsi="Verdana" w:cs="Arial"/>
          <w:i/>
          <w:sz w:val="16"/>
          <w:szCs w:val="16"/>
        </w:rPr>
        <w:t>inter alia</w:t>
      </w:r>
      <w:r w:rsidRPr="00556DE0">
        <w:rPr>
          <w:rFonts w:ascii="Verdana" w:hAnsi="Verdana" w:cs="Arial"/>
          <w:sz w:val="16"/>
          <w:szCs w:val="16"/>
        </w:rPr>
        <w:t xml:space="preserve">, </w:t>
      </w:r>
      <w:r w:rsidRPr="00556DE0">
        <w:rPr>
          <w:rFonts w:ascii="Verdana" w:hAnsi="Verdana"/>
          <w:i/>
          <w:sz w:val="16"/>
          <w:szCs w:val="16"/>
        </w:rPr>
        <w:t xml:space="preserve">Caso Velásquez Rodríguez Vs. Honduras. </w:t>
      </w:r>
      <w:r w:rsidRPr="00556DE0">
        <w:rPr>
          <w:rFonts w:ascii="Verdana" w:hAnsi="Verdana"/>
          <w:i/>
          <w:sz w:val="16"/>
          <w:szCs w:val="16"/>
          <w:lang w:val="es-ES"/>
        </w:rPr>
        <w:t>Fondo, supra</w:t>
      </w:r>
      <w:r w:rsidRPr="00556DE0">
        <w:rPr>
          <w:rFonts w:ascii="Verdana" w:hAnsi="Verdana"/>
          <w:sz w:val="16"/>
          <w:szCs w:val="16"/>
          <w:lang w:val="es-ES"/>
        </w:rPr>
        <w:t xml:space="preserve">, </w:t>
      </w:r>
      <w:r w:rsidRPr="00556DE0">
        <w:rPr>
          <w:rFonts w:ascii="Verdana" w:hAnsi="Verdana"/>
          <w:noProof/>
          <w:sz w:val="16"/>
          <w:szCs w:val="16"/>
          <w:lang w:val="es-CR"/>
        </w:rPr>
        <w:t xml:space="preserve">párrs. 155 a 157, y </w:t>
      </w:r>
      <w:r w:rsidRPr="00556DE0">
        <w:rPr>
          <w:rStyle w:val="Strong"/>
          <w:rFonts w:ascii="Verdana" w:hAnsi="Verdana"/>
          <w:b w:val="0"/>
          <w:i/>
          <w:color w:val="000000"/>
          <w:sz w:val="16"/>
          <w:szCs w:val="16"/>
          <w:shd w:val="clear" w:color="auto" w:fill="FFFFFF"/>
          <w:lang w:val="es-CR"/>
        </w:rPr>
        <w:t>Caso Gudiel Álvarez y otros ("Diario Militar") Vs. Guatemala. Fondo Reparaciones y Costas.</w:t>
      </w:r>
      <w:r w:rsidRPr="00556DE0">
        <w:rPr>
          <w:rStyle w:val="Strong"/>
          <w:rFonts w:ascii="Verdana" w:hAnsi="Verdana"/>
          <w:b w:val="0"/>
          <w:color w:val="000000"/>
          <w:sz w:val="16"/>
          <w:szCs w:val="16"/>
          <w:shd w:val="clear" w:color="auto" w:fill="FFFFFF"/>
          <w:lang w:val="es-CR"/>
        </w:rPr>
        <w:t xml:space="preserve"> Sentencia de 20 noviembre de 2012 Serie C No. 253, párr. 191.</w:t>
      </w:r>
    </w:p>
  </w:footnote>
  <w:footnote w:id="165">
    <w:p w14:paraId="09A36ED9" w14:textId="77777777" w:rsidR="0018425E" w:rsidRPr="00556DE0" w:rsidRDefault="0018425E" w:rsidP="00B92BAE">
      <w:pPr>
        <w:spacing w:after="0" w:line="240" w:lineRule="auto"/>
        <w:ind w:right="1444"/>
        <w:jc w:val="both"/>
        <w:rPr>
          <w:rFonts w:ascii="Verdana" w:hAnsi="Verdana"/>
          <w:sz w:val="16"/>
          <w:szCs w:val="16"/>
          <w:lang w:val="es-CR"/>
        </w:rPr>
      </w:pPr>
      <w:r w:rsidRPr="00556DE0">
        <w:rPr>
          <w:rStyle w:val="FootnoteReference"/>
          <w:rFonts w:ascii="Verdana" w:hAnsi="Verdana"/>
          <w:sz w:val="16"/>
          <w:szCs w:val="16"/>
        </w:rPr>
        <w:footnoteRef/>
      </w:r>
      <w:r w:rsidRPr="00556DE0">
        <w:rPr>
          <w:rFonts w:ascii="Verdana" w:hAnsi="Verdana"/>
          <w:sz w:val="16"/>
          <w:szCs w:val="16"/>
          <w:lang w:val="es-CR"/>
        </w:rPr>
        <w:t xml:space="preserve"> </w:t>
      </w:r>
      <w:r w:rsidRPr="00556DE0">
        <w:rPr>
          <w:rFonts w:ascii="Verdana" w:hAnsi="Verdana"/>
          <w:sz w:val="16"/>
          <w:szCs w:val="16"/>
          <w:lang w:val="es-CR"/>
        </w:rPr>
        <w:tab/>
      </w:r>
      <w:r w:rsidRPr="00556DE0">
        <w:rPr>
          <w:rFonts w:ascii="Verdana" w:hAnsi="Verdana"/>
          <w:i/>
          <w:sz w:val="16"/>
          <w:szCs w:val="16"/>
          <w:lang w:val="es-CR"/>
        </w:rPr>
        <w:t>Cfr.</w:t>
      </w:r>
      <w:r w:rsidRPr="00556DE0">
        <w:rPr>
          <w:rFonts w:ascii="Verdana" w:hAnsi="Verdana"/>
          <w:sz w:val="16"/>
          <w:szCs w:val="16"/>
          <w:lang w:val="es-CR"/>
        </w:rPr>
        <w:t xml:space="preserve"> </w:t>
      </w:r>
      <w:r w:rsidRPr="00556DE0">
        <w:rPr>
          <w:rFonts w:ascii="Verdana" w:hAnsi="Verdana"/>
          <w:i/>
          <w:sz w:val="16"/>
          <w:szCs w:val="16"/>
          <w:lang w:val="es-CR"/>
        </w:rPr>
        <w:t xml:space="preserve">Caso Chitay Nech y otros Vs. Guatemala. Excepciones Preliminares, Fondo, Reparaciones y Costas. </w:t>
      </w:r>
      <w:r w:rsidRPr="00556DE0">
        <w:rPr>
          <w:rFonts w:ascii="Verdana" w:hAnsi="Verdana"/>
          <w:sz w:val="16"/>
          <w:szCs w:val="16"/>
          <w:lang w:val="es-CR"/>
        </w:rPr>
        <w:t xml:space="preserve">Sentencia de 25 de mayo de 2010. Serie C No. 212, párrs. 214 y 233, </w:t>
      </w:r>
      <w:r w:rsidRPr="00556DE0">
        <w:rPr>
          <w:rFonts w:ascii="Verdana" w:hAnsi="Verdana"/>
          <w:i/>
          <w:sz w:val="16"/>
          <w:szCs w:val="16"/>
          <w:lang w:val="es-CR"/>
        </w:rPr>
        <w:t xml:space="preserve">Caso Tiu Tojín Vs. Guatemala. Fondo, Reparaciones y Costas. </w:t>
      </w:r>
      <w:r w:rsidRPr="00556DE0">
        <w:rPr>
          <w:rFonts w:ascii="Verdana" w:hAnsi="Verdana"/>
          <w:sz w:val="16"/>
          <w:szCs w:val="16"/>
          <w:lang w:val="es-CR"/>
        </w:rPr>
        <w:t>Sentencia de 26 de noviembre de 2008. Serie C No. 190</w:t>
      </w:r>
      <w:r w:rsidRPr="00556DE0">
        <w:rPr>
          <w:rFonts w:ascii="Verdana" w:hAnsi="Verdana"/>
          <w:sz w:val="16"/>
          <w:szCs w:val="16"/>
          <w:lang w:val="es-PE"/>
        </w:rPr>
        <w:t xml:space="preserve">, párr. 87, y </w:t>
      </w:r>
      <w:r w:rsidRPr="00556DE0">
        <w:rPr>
          <w:rFonts w:ascii="Verdana" w:hAnsi="Verdana"/>
          <w:i/>
          <w:sz w:val="16"/>
          <w:szCs w:val="16"/>
          <w:lang w:val="es-CR"/>
        </w:rPr>
        <w:t xml:space="preserve">Cfr. </w:t>
      </w:r>
      <w:r w:rsidRPr="00556DE0">
        <w:rPr>
          <w:rFonts w:ascii="Verdana" w:hAnsi="Verdana"/>
          <w:i/>
          <w:sz w:val="16"/>
          <w:szCs w:val="16"/>
          <w:lang w:val="es-ES"/>
        </w:rPr>
        <w:t>Caso Chitay Nech y otros Vs. Guatemala. Supervisión de Cumplimiento de Sentencia</w:t>
      </w:r>
      <w:r w:rsidRPr="00556DE0">
        <w:rPr>
          <w:rFonts w:ascii="Verdana" w:hAnsi="Verdana"/>
          <w:sz w:val="16"/>
          <w:szCs w:val="16"/>
          <w:lang w:val="es-ES"/>
        </w:rPr>
        <w:t>. Resolución de la Corte Interamericana de Derechos Humanos de 22 de agosto de 2013, Considerando 11.</w:t>
      </w:r>
    </w:p>
  </w:footnote>
  <w:footnote w:id="166">
    <w:p w14:paraId="5DE03EB7" w14:textId="77777777" w:rsidR="0018425E" w:rsidRPr="00556DE0" w:rsidRDefault="0018425E" w:rsidP="00C87765">
      <w:pPr>
        <w:pStyle w:val="FootnoteText"/>
        <w:ind w:right="1444"/>
        <w:jc w:val="both"/>
        <w:rPr>
          <w:rFonts w:ascii="Verdana" w:hAnsi="Verdana"/>
          <w:sz w:val="16"/>
          <w:szCs w:val="16"/>
          <w:lang w:val="es-CR"/>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r>
      <w:r w:rsidRPr="00556DE0">
        <w:rPr>
          <w:rFonts w:ascii="Verdana" w:hAnsi="Verdana"/>
          <w:i/>
          <w:sz w:val="16"/>
          <w:szCs w:val="16"/>
        </w:rPr>
        <w:t xml:space="preserve">Cfr. </w:t>
      </w:r>
      <w:r w:rsidRPr="00556DE0">
        <w:rPr>
          <w:rFonts w:ascii="Verdana" w:hAnsi="Verdana"/>
          <w:i/>
          <w:sz w:val="16"/>
          <w:szCs w:val="16"/>
          <w:lang w:val="es-ES"/>
        </w:rPr>
        <w:t>Caso Chitay Nech y otros Vs. Guatemala. Supervisión de Cumplimiento de Sentencia</w:t>
      </w:r>
      <w:r w:rsidRPr="00556DE0">
        <w:rPr>
          <w:rFonts w:ascii="Verdana" w:hAnsi="Verdana"/>
          <w:sz w:val="16"/>
          <w:szCs w:val="16"/>
          <w:lang w:val="es-ES"/>
        </w:rPr>
        <w:t>. Resolución de la Corte Interamericana de Derechos Humanos de 22 de agosto de 2013, Considerando 11.</w:t>
      </w:r>
    </w:p>
  </w:footnote>
  <w:footnote w:id="167">
    <w:p w14:paraId="3CBD2676" w14:textId="77777777" w:rsidR="0018425E" w:rsidRPr="00556DE0" w:rsidRDefault="0018425E" w:rsidP="006A03DA">
      <w:pPr>
        <w:pStyle w:val="FootnoteText"/>
        <w:ind w:right="1444"/>
        <w:jc w:val="both"/>
        <w:rPr>
          <w:rFonts w:ascii="Verdana" w:hAnsi="Verdana"/>
          <w:sz w:val="16"/>
          <w:szCs w:val="16"/>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t xml:space="preserve">Aunado a ello, en el capítulo correspondiente al caso </w:t>
      </w:r>
      <w:r w:rsidRPr="00556DE0">
        <w:rPr>
          <w:rFonts w:ascii="Verdana" w:hAnsi="Verdana"/>
          <w:i/>
          <w:sz w:val="16"/>
          <w:szCs w:val="16"/>
        </w:rPr>
        <w:t xml:space="preserve">Molina Theissen </w:t>
      </w:r>
      <w:r w:rsidRPr="00556DE0">
        <w:rPr>
          <w:rFonts w:ascii="Verdana" w:hAnsi="Verdana"/>
          <w:sz w:val="16"/>
          <w:szCs w:val="16"/>
        </w:rPr>
        <w:t xml:space="preserve">del Informe de Ministerio Público de 2014, se indica que existe una “[f]alta efectividad de parte de la Policía Nacional Civil, en virtud de la poca eficacia de hacer efectivas las órdenes de </w:t>
      </w:r>
      <w:r w:rsidRPr="00556DE0">
        <w:rPr>
          <w:rFonts w:ascii="Verdana" w:hAnsi="Verdana"/>
          <w:i/>
          <w:sz w:val="16"/>
          <w:szCs w:val="16"/>
        </w:rPr>
        <w:t>aprehensión</w:t>
      </w:r>
      <w:r w:rsidRPr="00556DE0">
        <w:rPr>
          <w:rFonts w:ascii="Verdana" w:hAnsi="Verdana"/>
          <w:sz w:val="16"/>
          <w:szCs w:val="16"/>
        </w:rPr>
        <w:t xml:space="preserve"> giradas en otros casos que ésta unidad se encuentra investigando por las graves violaciones a derechos humanos cometidas dirante el conflicto armado interno”</w:t>
      </w:r>
      <w:r w:rsidRPr="00556DE0">
        <w:rPr>
          <w:rFonts w:ascii="Verdana" w:hAnsi="Verdana"/>
          <w:b/>
          <w:sz w:val="16"/>
          <w:szCs w:val="16"/>
        </w:rPr>
        <w:t>.</w:t>
      </w:r>
    </w:p>
  </w:footnote>
  <w:footnote w:id="168">
    <w:p w14:paraId="2BACFEB0" w14:textId="3DBCD41F" w:rsidR="0018425E" w:rsidRPr="00556DE0" w:rsidRDefault="0018425E" w:rsidP="006A03DA">
      <w:pPr>
        <w:pStyle w:val="FootnoteText"/>
        <w:ind w:right="1444"/>
        <w:jc w:val="both"/>
        <w:rPr>
          <w:rFonts w:ascii="Verdana" w:hAnsi="Verdana"/>
          <w:sz w:val="16"/>
          <w:szCs w:val="16"/>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r>
      <w:r w:rsidRPr="00556DE0">
        <w:rPr>
          <w:rFonts w:ascii="Verdana" w:hAnsi="Verdana"/>
          <w:i/>
          <w:sz w:val="16"/>
          <w:szCs w:val="16"/>
        </w:rPr>
        <w:t xml:space="preserve">Cfr. </w:t>
      </w:r>
      <w:r w:rsidRPr="00556DE0">
        <w:rPr>
          <w:rFonts w:ascii="Verdana" w:hAnsi="Verdana"/>
          <w:bCs/>
          <w:i/>
          <w:sz w:val="16"/>
          <w:szCs w:val="16"/>
          <w:lang w:val="es-ES"/>
        </w:rPr>
        <w:t>Caso Masacres de Río Negro Vs. Guatemala</w:t>
      </w:r>
      <w:r>
        <w:rPr>
          <w:rFonts w:ascii="Verdana" w:hAnsi="Verdana"/>
          <w:bCs/>
          <w:i/>
          <w:sz w:val="16"/>
          <w:szCs w:val="16"/>
          <w:lang w:val="es-ES"/>
        </w:rPr>
        <w:t>, supra</w:t>
      </w:r>
      <w:r w:rsidRPr="00556DE0">
        <w:rPr>
          <w:rFonts w:ascii="Verdana" w:hAnsi="Verdana"/>
          <w:sz w:val="16"/>
          <w:szCs w:val="16"/>
        </w:rPr>
        <w:t xml:space="preserve">, párr. 223. Ver también </w:t>
      </w:r>
      <w:r w:rsidRPr="00556DE0">
        <w:rPr>
          <w:rFonts w:ascii="Verdana" w:hAnsi="Verdana"/>
          <w:i/>
          <w:sz w:val="16"/>
          <w:szCs w:val="16"/>
          <w:lang w:val="es-CR"/>
        </w:rPr>
        <w:t>Caso Velásquez Rodríguez Vs. Honduras</w:t>
      </w:r>
      <w:r w:rsidRPr="00556DE0">
        <w:rPr>
          <w:rFonts w:ascii="Verdana" w:hAnsi="Verdana"/>
          <w:sz w:val="16"/>
          <w:szCs w:val="16"/>
          <w:lang w:val="es-CR"/>
        </w:rPr>
        <w:t xml:space="preserve">. </w:t>
      </w:r>
      <w:r w:rsidRPr="00556DE0">
        <w:rPr>
          <w:rFonts w:ascii="Verdana" w:hAnsi="Verdana"/>
          <w:i/>
          <w:sz w:val="16"/>
          <w:szCs w:val="16"/>
          <w:lang w:val="es-CR"/>
        </w:rPr>
        <w:t xml:space="preserve">Fondo, </w:t>
      </w:r>
      <w:r w:rsidRPr="00556DE0">
        <w:rPr>
          <w:rFonts w:ascii="Verdana" w:hAnsi="Verdana"/>
          <w:sz w:val="16"/>
          <w:szCs w:val="16"/>
          <w:lang w:val="es-CR"/>
        </w:rPr>
        <w:t xml:space="preserve">Sentencia de 29 de julio de 1988. Serie C No. 4, </w:t>
      </w:r>
      <w:r w:rsidRPr="00556DE0">
        <w:rPr>
          <w:rFonts w:ascii="Verdana" w:hAnsi="Verdana"/>
          <w:noProof/>
          <w:sz w:val="16"/>
          <w:szCs w:val="16"/>
          <w:lang w:val="es-CR"/>
        </w:rPr>
        <w:t>párr. 177.</w:t>
      </w:r>
    </w:p>
  </w:footnote>
  <w:footnote w:id="169">
    <w:p w14:paraId="26B372E4" w14:textId="77777777" w:rsidR="0018425E" w:rsidRPr="00556DE0" w:rsidRDefault="0018425E" w:rsidP="006A03DA">
      <w:pPr>
        <w:pStyle w:val="FootnoteText"/>
        <w:ind w:right="1440"/>
        <w:jc w:val="both"/>
        <w:rPr>
          <w:rFonts w:ascii="Verdana" w:hAnsi="Verdana"/>
          <w:sz w:val="16"/>
          <w:szCs w:val="16"/>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r>
      <w:r w:rsidRPr="00556DE0">
        <w:rPr>
          <w:rFonts w:ascii="Verdana" w:hAnsi="Verdana"/>
          <w:i/>
          <w:sz w:val="16"/>
          <w:szCs w:val="16"/>
        </w:rPr>
        <w:t xml:space="preserve">Cfr. Caso Carpio Nicolle y otros Vs. Guatemala. Fondo, Reparaciones y Costas. </w:t>
      </w:r>
      <w:r w:rsidRPr="00556DE0">
        <w:rPr>
          <w:rFonts w:ascii="Verdana" w:hAnsi="Verdana"/>
          <w:sz w:val="16"/>
          <w:szCs w:val="16"/>
        </w:rPr>
        <w:t>Sentencia de 22 de noviembre 2004. Serie C No. 117, párr. 135.</w:t>
      </w:r>
    </w:p>
  </w:footnote>
  <w:footnote w:id="170">
    <w:p w14:paraId="4D4B5D35" w14:textId="77777777" w:rsidR="0018425E" w:rsidRPr="00556DE0" w:rsidRDefault="0018425E" w:rsidP="006A03DA">
      <w:pPr>
        <w:pStyle w:val="FootnoteText"/>
        <w:ind w:right="1440"/>
        <w:jc w:val="both"/>
        <w:rPr>
          <w:rFonts w:ascii="Verdana" w:hAnsi="Verdana"/>
          <w:sz w:val="16"/>
          <w:szCs w:val="16"/>
          <w:lang w:val="es-CR"/>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lang w:val="es-CR"/>
        </w:rPr>
        <w:tab/>
      </w:r>
      <w:r w:rsidRPr="00556DE0">
        <w:rPr>
          <w:rFonts w:ascii="Verdana" w:hAnsi="Verdana"/>
          <w:i/>
          <w:sz w:val="16"/>
          <w:szCs w:val="16"/>
          <w:lang w:val="es-CR"/>
        </w:rPr>
        <w:t>Cfr. Caso De la Masacre de las Dos Erres Vs. Guatemala. Excepción Preliminar, Fondo, Reparaciones y Costas</w:t>
      </w:r>
      <w:r w:rsidRPr="00556DE0">
        <w:rPr>
          <w:rFonts w:ascii="Verdana" w:hAnsi="Verdana"/>
          <w:sz w:val="16"/>
          <w:szCs w:val="16"/>
          <w:lang w:val="es-CR"/>
        </w:rPr>
        <w:t>. Sentencia de 24 de noviembre de 2009. Serie C No. 211, párr. 233.</w:t>
      </w:r>
    </w:p>
  </w:footnote>
  <w:footnote w:id="171">
    <w:p w14:paraId="7B96A21B" w14:textId="22736048" w:rsidR="0018425E" w:rsidRPr="004F3B0B" w:rsidRDefault="0018425E" w:rsidP="004F3B0B">
      <w:pPr>
        <w:pStyle w:val="FootnoteText"/>
        <w:ind w:right="1444"/>
        <w:jc w:val="both"/>
        <w:rPr>
          <w:rFonts w:ascii="Verdana" w:hAnsi="Verdana"/>
          <w:sz w:val="16"/>
          <w:szCs w:val="16"/>
        </w:rPr>
      </w:pPr>
      <w:r w:rsidRPr="004F3B0B">
        <w:rPr>
          <w:rStyle w:val="FootnoteReference"/>
          <w:rFonts w:ascii="Verdana" w:hAnsi="Verdana"/>
          <w:sz w:val="16"/>
          <w:szCs w:val="16"/>
        </w:rPr>
        <w:footnoteRef/>
      </w:r>
      <w:r w:rsidRPr="004F3B0B">
        <w:rPr>
          <w:rFonts w:ascii="Verdana" w:hAnsi="Verdana"/>
          <w:sz w:val="16"/>
          <w:szCs w:val="16"/>
        </w:rPr>
        <w:t xml:space="preserve"> </w:t>
      </w:r>
      <w:r w:rsidRPr="004F3B0B">
        <w:rPr>
          <w:rFonts w:ascii="Verdana" w:hAnsi="Verdana"/>
          <w:sz w:val="16"/>
          <w:szCs w:val="16"/>
        </w:rPr>
        <w:tab/>
      </w:r>
      <w:r w:rsidRPr="004F3B0B">
        <w:rPr>
          <w:rFonts w:ascii="Verdana" w:hAnsi="Verdana"/>
          <w:i/>
          <w:sz w:val="16"/>
          <w:szCs w:val="16"/>
        </w:rPr>
        <w:t xml:space="preserve">Cfr. </w:t>
      </w:r>
      <w:r>
        <w:rPr>
          <w:rFonts w:ascii="Verdana" w:hAnsi="Verdana"/>
          <w:i/>
          <w:sz w:val="16"/>
          <w:szCs w:val="16"/>
        </w:rPr>
        <w:t>i</w:t>
      </w:r>
      <w:r w:rsidRPr="004F3B0B">
        <w:rPr>
          <w:rFonts w:ascii="Verdana" w:hAnsi="Verdana"/>
          <w:i/>
          <w:sz w:val="16"/>
          <w:szCs w:val="16"/>
        </w:rPr>
        <w:t>nter alia</w:t>
      </w:r>
      <w:r w:rsidRPr="004F3B0B">
        <w:rPr>
          <w:rFonts w:ascii="Verdana" w:hAnsi="Verdana"/>
          <w:sz w:val="16"/>
          <w:szCs w:val="16"/>
        </w:rPr>
        <w:t xml:space="preserve">, </w:t>
      </w:r>
      <w:r w:rsidRPr="004F3B0B">
        <w:rPr>
          <w:rStyle w:val="Strong"/>
          <w:rFonts w:ascii="Verdana" w:hAnsi="Verdana"/>
          <w:b w:val="0"/>
          <w:i/>
          <w:color w:val="000000"/>
          <w:sz w:val="16"/>
          <w:szCs w:val="16"/>
          <w:shd w:val="clear" w:color="auto" w:fill="FFFFFF"/>
          <w:lang w:val="es-CR"/>
        </w:rPr>
        <w:t>Caso Masacres de Río Negro Vs. Guatemala</w:t>
      </w:r>
      <w:r>
        <w:rPr>
          <w:rStyle w:val="Strong"/>
          <w:rFonts w:ascii="Verdana" w:hAnsi="Verdana"/>
          <w:b w:val="0"/>
          <w:i/>
          <w:color w:val="000000"/>
          <w:sz w:val="16"/>
          <w:szCs w:val="16"/>
          <w:shd w:val="clear" w:color="auto" w:fill="FFFFFF"/>
          <w:lang w:val="es-CR"/>
        </w:rPr>
        <w:t>, supra</w:t>
      </w:r>
      <w:r>
        <w:rPr>
          <w:rStyle w:val="Strong"/>
          <w:rFonts w:ascii="Verdana" w:hAnsi="Verdana"/>
          <w:b w:val="0"/>
          <w:color w:val="000000"/>
          <w:sz w:val="16"/>
          <w:szCs w:val="16"/>
          <w:shd w:val="clear" w:color="auto" w:fill="FFFFFF"/>
          <w:lang w:val="es-CR"/>
        </w:rPr>
        <w:t>,</w:t>
      </w:r>
      <w:r w:rsidRPr="004F3B0B">
        <w:rPr>
          <w:rStyle w:val="Strong"/>
          <w:rFonts w:ascii="Verdana" w:hAnsi="Verdana"/>
          <w:b w:val="0"/>
          <w:color w:val="000000"/>
          <w:sz w:val="16"/>
          <w:szCs w:val="16"/>
          <w:shd w:val="clear" w:color="auto" w:fill="FFFFFF"/>
          <w:lang w:val="es-CR"/>
        </w:rPr>
        <w:t xml:space="preserve"> </w:t>
      </w:r>
      <w:r>
        <w:rPr>
          <w:rStyle w:val="Strong"/>
          <w:rFonts w:ascii="Verdana" w:hAnsi="Verdana"/>
          <w:b w:val="0"/>
          <w:color w:val="000000"/>
          <w:sz w:val="16"/>
          <w:szCs w:val="16"/>
          <w:shd w:val="clear" w:color="auto" w:fill="FFFFFF"/>
          <w:lang w:val="es-CR"/>
        </w:rPr>
        <w:t>párr. 210.</w:t>
      </w:r>
    </w:p>
  </w:footnote>
  <w:footnote w:id="172">
    <w:p w14:paraId="41414F9C" w14:textId="77777777" w:rsidR="0018425E" w:rsidRPr="00556DE0" w:rsidRDefault="0018425E" w:rsidP="006A03DA">
      <w:pPr>
        <w:pStyle w:val="FootnoteText"/>
        <w:ind w:right="1440"/>
        <w:jc w:val="both"/>
        <w:rPr>
          <w:rFonts w:ascii="Verdana" w:hAnsi="Verdana"/>
          <w:sz w:val="16"/>
          <w:szCs w:val="16"/>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r>
      <w:r w:rsidRPr="00556DE0">
        <w:rPr>
          <w:rFonts w:ascii="Verdana" w:hAnsi="Verdana"/>
          <w:i/>
          <w:sz w:val="16"/>
          <w:szCs w:val="16"/>
        </w:rPr>
        <w:t>Cfr. Caso del Penal Miguel Castro Castro Vs. Perú. Supervisión de Cumplimiento de Sentencia</w:t>
      </w:r>
      <w:r w:rsidRPr="00556DE0">
        <w:rPr>
          <w:rFonts w:ascii="Verdana" w:hAnsi="Verdana"/>
          <w:sz w:val="16"/>
          <w:szCs w:val="16"/>
        </w:rPr>
        <w:t xml:space="preserve">. Resolución de la Corte Interamericana de Derechos Humanos de 31 de marzo de 2014, Considerando 24. Ver también </w:t>
      </w:r>
      <w:r w:rsidRPr="00556DE0">
        <w:rPr>
          <w:rFonts w:ascii="Verdana" w:hAnsi="Verdana"/>
          <w:i/>
          <w:sz w:val="16"/>
          <w:szCs w:val="16"/>
        </w:rPr>
        <w:t>Caso Goiburú y otros Vs. Paraguay. Supervisión de Cumplimiento de Sentencia</w:t>
      </w:r>
      <w:r w:rsidRPr="00556DE0">
        <w:rPr>
          <w:rFonts w:ascii="Verdana" w:hAnsi="Verdana"/>
          <w:sz w:val="16"/>
          <w:szCs w:val="16"/>
        </w:rPr>
        <w:t xml:space="preserve">. Resolución de la Corte Interamericana de Derechos Humanos de 19 de noviembre de 2009, Considerando 24. </w:t>
      </w:r>
    </w:p>
  </w:footnote>
  <w:footnote w:id="173">
    <w:p w14:paraId="0197FDB3" w14:textId="77777777" w:rsidR="0018425E" w:rsidRPr="00556DE0" w:rsidRDefault="0018425E" w:rsidP="006A03DA">
      <w:pPr>
        <w:pStyle w:val="FootnoteText"/>
        <w:ind w:right="1440"/>
        <w:jc w:val="both"/>
        <w:rPr>
          <w:rFonts w:ascii="Verdana" w:hAnsi="Verdana"/>
          <w:sz w:val="16"/>
          <w:szCs w:val="16"/>
        </w:rPr>
      </w:pPr>
      <w:r w:rsidRPr="00556DE0">
        <w:rPr>
          <w:rStyle w:val="FootnoteReference"/>
          <w:rFonts w:ascii="Verdana" w:hAnsi="Verdana"/>
          <w:sz w:val="16"/>
          <w:szCs w:val="16"/>
        </w:rPr>
        <w:footnoteRef/>
      </w:r>
      <w:r w:rsidRPr="00556DE0">
        <w:rPr>
          <w:rFonts w:ascii="Verdana" w:hAnsi="Verdana"/>
          <w:sz w:val="16"/>
          <w:szCs w:val="16"/>
          <w:lang w:val="es-CR"/>
        </w:rPr>
        <w:t xml:space="preserve"> </w:t>
      </w:r>
      <w:r w:rsidRPr="00556DE0">
        <w:rPr>
          <w:rFonts w:ascii="Verdana" w:hAnsi="Verdana"/>
          <w:sz w:val="16"/>
          <w:szCs w:val="16"/>
          <w:lang w:val="es-CR"/>
        </w:rPr>
        <w:tab/>
      </w:r>
      <w:r w:rsidRPr="00556DE0">
        <w:rPr>
          <w:rFonts w:ascii="Verdana" w:hAnsi="Verdana"/>
          <w:i/>
          <w:sz w:val="16"/>
          <w:szCs w:val="16"/>
          <w:lang w:val="es-CR"/>
        </w:rPr>
        <w:t xml:space="preserve">Cfr. Caso Myrna Mack Chang Vs. Guatemala. </w:t>
      </w:r>
      <w:r w:rsidRPr="00556DE0">
        <w:rPr>
          <w:rFonts w:ascii="Verdana" w:hAnsi="Verdana"/>
          <w:i/>
          <w:sz w:val="16"/>
          <w:szCs w:val="16"/>
        </w:rPr>
        <w:t xml:space="preserve">Supervisión de Cumplimiento de Sentencia. </w:t>
      </w:r>
      <w:r w:rsidRPr="00556DE0">
        <w:rPr>
          <w:rFonts w:ascii="Verdana" w:hAnsi="Verdana"/>
          <w:sz w:val="16"/>
          <w:szCs w:val="16"/>
        </w:rPr>
        <w:t>Resolución de la Corte Interamericana de Derechos Humanos de 16 de noviembre de 2009, Considerando 11.</w:t>
      </w:r>
    </w:p>
  </w:footnote>
  <w:footnote w:id="174">
    <w:p w14:paraId="2659DB3C" w14:textId="3B32A2C4" w:rsidR="0018425E" w:rsidRPr="00556DE0" w:rsidRDefault="0018425E" w:rsidP="007C6A5E">
      <w:pPr>
        <w:pStyle w:val="FootnoteText"/>
        <w:ind w:right="1440"/>
        <w:jc w:val="both"/>
        <w:rPr>
          <w:rFonts w:ascii="Verdana" w:hAnsi="Verdana"/>
          <w:sz w:val="16"/>
          <w:szCs w:val="16"/>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t xml:space="preserve">La “Unidad de Casos Especiales del Conflicto Armado Interno” </w:t>
      </w:r>
      <w:r>
        <w:rPr>
          <w:rFonts w:ascii="Verdana" w:hAnsi="Verdana"/>
          <w:sz w:val="16"/>
          <w:szCs w:val="16"/>
        </w:rPr>
        <w:t xml:space="preserve">investiga </w:t>
      </w:r>
      <w:r w:rsidRPr="00556DE0">
        <w:rPr>
          <w:rFonts w:ascii="Verdana" w:hAnsi="Verdana"/>
          <w:sz w:val="16"/>
          <w:szCs w:val="16"/>
        </w:rPr>
        <w:t xml:space="preserve">los casos </w:t>
      </w:r>
      <w:r w:rsidRPr="00556DE0">
        <w:rPr>
          <w:rFonts w:ascii="Verdana" w:hAnsi="Verdana"/>
          <w:i/>
          <w:sz w:val="16"/>
          <w:szCs w:val="16"/>
        </w:rPr>
        <w:t>Niños de la Calle, Bámaca Velásquez, Maritza Urrutia, Masacre Plan de Sánchez, Molina Theissen, Tiu Tojin, Masacre de las Dos Erres</w:t>
      </w:r>
      <w:r w:rsidRPr="00556DE0">
        <w:rPr>
          <w:rFonts w:ascii="Verdana" w:hAnsi="Verdana"/>
          <w:sz w:val="16"/>
          <w:szCs w:val="16"/>
        </w:rPr>
        <w:t xml:space="preserve">, </w:t>
      </w:r>
      <w:r w:rsidRPr="00556DE0">
        <w:rPr>
          <w:rFonts w:ascii="Verdana" w:hAnsi="Verdana"/>
          <w:i/>
          <w:sz w:val="16"/>
          <w:szCs w:val="16"/>
        </w:rPr>
        <w:t xml:space="preserve">Chitay Nech </w:t>
      </w:r>
      <w:r w:rsidRPr="00556DE0">
        <w:rPr>
          <w:rFonts w:ascii="Verdana" w:hAnsi="Verdana"/>
          <w:sz w:val="16"/>
          <w:szCs w:val="16"/>
        </w:rPr>
        <w:t xml:space="preserve">y </w:t>
      </w:r>
      <w:r w:rsidRPr="00556DE0">
        <w:rPr>
          <w:rFonts w:ascii="Verdana" w:hAnsi="Verdana"/>
          <w:i/>
          <w:sz w:val="16"/>
          <w:szCs w:val="16"/>
        </w:rPr>
        <w:t>Panel Blanca</w:t>
      </w:r>
      <w:r w:rsidRPr="00556DE0">
        <w:rPr>
          <w:rFonts w:ascii="Verdana" w:hAnsi="Verdana"/>
          <w:sz w:val="16"/>
          <w:szCs w:val="16"/>
        </w:rPr>
        <w:t xml:space="preserve">, mientras que la “Unidad Fiscal de Delitos contra Periodistas” conoce el caso </w:t>
      </w:r>
      <w:r w:rsidRPr="00556DE0">
        <w:rPr>
          <w:rFonts w:ascii="Verdana" w:hAnsi="Verdana"/>
          <w:i/>
          <w:sz w:val="16"/>
          <w:szCs w:val="16"/>
        </w:rPr>
        <w:t>Carpio Nicolle</w:t>
      </w:r>
      <w:r w:rsidRPr="00556DE0">
        <w:rPr>
          <w:rFonts w:ascii="Verdana" w:hAnsi="Verdana"/>
          <w:sz w:val="16"/>
          <w:szCs w:val="16"/>
        </w:rPr>
        <w:t xml:space="preserve">. Por su parte, la investigación del caso </w:t>
      </w:r>
      <w:r w:rsidRPr="00556DE0">
        <w:rPr>
          <w:rFonts w:ascii="Verdana" w:hAnsi="Verdana"/>
          <w:i/>
          <w:sz w:val="16"/>
          <w:szCs w:val="16"/>
        </w:rPr>
        <w:t>Blake</w:t>
      </w:r>
      <w:r w:rsidRPr="00556DE0">
        <w:rPr>
          <w:rFonts w:ascii="Verdana" w:hAnsi="Verdana"/>
          <w:sz w:val="16"/>
          <w:szCs w:val="16"/>
        </w:rPr>
        <w:t xml:space="preserve"> es llevada a cabo por la “Fiscalía Distrital de Huehuetenango”.</w:t>
      </w:r>
    </w:p>
  </w:footnote>
  <w:footnote w:id="175">
    <w:p w14:paraId="51ABDDD6" w14:textId="77777777" w:rsidR="0018425E" w:rsidRPr="00556DE0" w:rsidRDefault="0018425E" w:rsidP="007C6A5E">
      <w:pPr>
        <w:pStyle w:val="FootnoteText"/>
        <w:ind w:right="1444"/>
        <w:jc w:val="both"/>
        <w:rPr>
          <w:rFonts w:ascii="Verdana" w:hAnsi="Verdana"/>
          <w:sz w:val="16"/>
          <w:szCs w:val="16"/>
          <w:lang w:val="es-CR"/>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lang w:val="es-CR"/>
        </w:rPr>
        <w:tab/>
        <w:t xml:space="preserve">Por ejemplo, con relación al caso </w:t>
      </w:r>
      <w:r w:rsidRPr="00556DE0">
        <w:rPr>
          <w:rFonts w:ascii="Verdana" w:hAnsi="Verdana"/>
          <w:i/>
          <w:sz w:val="16"/>
          <w:szCs w:val="16"/>
          <w:lang w:val="es-CR"/>
        </w:rPr>
        <w:t>Niños de la Calle</w:t>
      </w:r>
      <w:r w:rsidRPr="00556DE0">
        <w:rPr>
          <w:rFonts w:ascii="Verdana" w:hAnsi="Verdana"/>
          <w:sz w:val="16"/>
          <w:szCs w:val="16"/>
          <w:lang w:val="es-CR"/>
        </w:rPr>
        <w:t xml:space="preserve">, el último informe no identifica las fechas de las siguientes diligencias: la comparecencia hermanas, tía y madre de algunas de las víctimas a la Agencia Fiscal, la recepción de distintos informes recibidos de distintas instituciones estatales, la presentación de la denuncia penal ante la pérdida de la ojiva, elemento probatorio fundamental en la investigación del caso, la asignación del caso a un equipo de asesores y un consultor, entre otras. En el caso </w:t>
      </w:r>
      <w:r w:rsidRPr="00556DE0">
        <w:rPr>
          <w:rFonts w:ascii="Verdana" w:hAnsi="Verdana"/>
          <w:i/>
          <w:sz w:val="16"/>
          <w:szCs w:val="16"/>
          <w:lang w:val="es-CR"/>
        </w:rPr>
        <w:t>Molina Theissen</w:t>
      </w:r>
      <w:r w:rsidRPr="00556DE0">
        <w:rPr>
          <w:rFonts w:ascii="Verdana" w:hAnsi="Verdana"/>
          <w:sz w:val="16"/>
          <w:szCs w:val="16"/>
          <w:lang w:val="es-CR"/>
        </w:rPr>
        <w:t xml:space="preserve">, el último informe hace referencia a solicitudes, sin fecha, de informes a distintas Instituciones. En los casos </w:t>
      </w:r>
      <w:r w:rsidRPr="00556DE0">
        <w:rPr>
          <w:rFonts w:ascii="Verdana" w:hAnsi="Verdana"/>
          <w:i/>
          <w:sz w:val="16"/>
          <w:szCs w:val="16"/>
          <w:lang w:val="es-CR"/>
        </w:rPr>
        <w:t>Carpio Nicolle</w:t>
      </w:r>
      <w:r w:rsidRPr="00556DE0">
        <w:rPr>
          <w:rFonts w:ascii="Verdana" w:hAnsi="Verdana"/>
          <w:sz w:val="16"/>
          <w:szCs w:val="16"/>
          <w:lang w:val="es-CR"/>
        </w:rPr>
        <w:t xml:space="preserve"> y </w:t>
      </w:r>
      <w:r w:rsidRPr="00556DE0">
        <w:rPr>
          <w:rFonts w:ascii="Verdana" w:hAnsi="Verdana"/>
          <w:i/>
          <w:sz w:val="16"/>
          <w:szCs w:val="16"/>
          <w:lang w:val="es-CR"/>
        </w:rPr>
        <w:t>Tiu Tojín</w:t>
      </w:r>
      <w:r w:rsidRPr="00556DE0">
        <w:rPr>
          <w:rFonts w:ascii="Verdana" w:hAnsi="Verdana"/>
          <w:sz w:val="16"/>
          <w:szCs w:val="16"/>
          <w:lang w:val="es-CR"/>
        </w:rPr>
        <w:t xml:space="preserve">, no se indica la fecha de ninguna de las últimas diligencias de investigación. En el caso de la </w:t>
      </w:r>
      <w:r w:rsidRPr="00556DE0">
        <w:rPr>
          <w:rFonts w:ascii="Verdana" w:hAnsi="Verdana"/>
          <w:i/>
          <w:sz w:val="16"/>
          <w:szCs w:val="16"/>
          <w:lang w:val="es-CR"/>
        </w:rPr>
        <w:t>Masacre de las Dos Erres</w:t>
      </w:r>
      <w:r w:rsidRPr="00556DE0">
        <w:rPr>
          <w:rFonts w:ascii="Verdana" w:hAnsi="Verdana"/>
          <w:sz w:val="16"/>
          <w:szCs w:val="16"/>
          <w:lang w:val="es-CR"/>
        </w:rPr>
        <w:t>, no se indican las fechas en que se realizaron los trámites para el diligenciamiento de las solicitudes para la extradición de los imputados, las fechas de las reuniones periódicas en la sede de la Jefatura de la Sección de Capturas de la Policía Nacional Civil y en la Fiscalía de Sección de Derechos Humanos, ni del requerimiento a la Interpol y al Ministerio de Gobernación.</w:t>
      </w:r>
    </w:p>
  </w:footnote>
  <w:footnote w:id="176">
    <w:p w14:paraId="49D7D042" w14:textId="41C2B6AA" w:rsidR="0018425E" w:rsidRPr="00556DE0" w:rsidRDefault="0018425E" w:rsidP="00F57746">
      <w:pPr>
        <w:pStyle w:val="FootnoteText"/>
        <w:ind w:right="1444"/>
        <w:jc w:val="both"/>
        <w:rPr>
          <w:rFonts w:ascii="Verdana" w:hAnsi="Verdana"/>
          <w:sz w:val="16"/>
          <w:szCs w:val="16"/>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r>
      <w:r w:rsidRPr="00556DE0">
        <w:rPr>
          <w:rFonts w:ascii="Verdana" w:hAnsi="Verdana"/>
          <w:i/>
          <w:sz w:val="16"/>
          <w:szCs w:val="16"/>
        </w:rPr>
        <w:t>Cfr.</w:t>
      </w:r>
      <w:r w:rsidRPr="00556DE0">
        <w:rPr>
          <w:rFonts w:ascii="Verdana" w:hAnsi="Verdana"/>
          <w:sz w:val="16"/>
          <w:szCs w:val="16"/>
        </w:rPr>
        <w:t xml:space="preserve"> </w:t>
      </w:r>
      <w:r w:rsidRPr="00556DE0">
        <w:rPr>
          <w:rFonts w:ascii="Verdana" w:hAnsi="Verdana"/>
          <w:i/>
          <w:sz w:val="16"/>
          <w:szCs w:val="16"/>
        </w:rPr>
        <w:t>Caso Tiu Tojín Vs. Guatemala</w:t>
      </w:r>
      <w:r w:rsidRPr="00556DE0">
        <w:rPr>
          <w:rFonts w:ascii="Verdana" w:hAnsi="Verdana"/>
          <w:sz w:val="16"/>
          <w:szCs w:val="16"/>
        </w:rPr>
        <w:t>. Fondo, Reparaciones y Costas. Sentencia de 26 de noviembre de 2008. Serie C No. 190 párr. 78.</w:t>
      </w:r>
    </w:p>
  </w:footnote>
  <w:footnote w:id="177">
    <w:p w14:paraId="775D5E86" w14:textId="0C5C9F36" w:rsidR="0018425E" w:rsidRPr="005678B7" w:rsidRDefault="0018425E" w:rsidP="00F57746">
      <w:pPr>
        <w:pStyle w:val="FootnoteText"/>
        <w:ind w:right="1444"/>
        <w:jc w:val="both"/>
        <w:rPr>
          <w:rFonts w:ascii="Verdana" w:hAnsi="Verdana"/>
          <w:sz w:val="16"/>
          <w:szCs w:val="16"/>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r>
      <w:r w:rsidRPr="00556DE0">
        <w:rPr>
          <w:rFonts w:ascii="Verdana" w:hAnsi="Verdana"/>
          <w:i/>
          <w:sz w:val="16"/>
          <w:szCs w:val="16"/>
        </w:rPr>
        <w:t>Cfr.</w:t>
      </w:r>
      <w:r w:rsidRPr="00556DE0">
        <w:rPr>
          <w:rFonts w:ascii="Verdana" w:hAnsi="Verdana"/>
          <w:sz w:val="16"/>
          <w:szCs w:val="16"/>
        </w:rPr>
        <w:t xml:space="preserve"> </w:t>
      </w:r>
      <w:r w:rsidRPr="00556DE0">
        <w:rPr>
          <w:rFonts w:ascii="Verdana" w:hAnsi="Verdana"/>
          <w:i/>
          <w:sz w:val="16"/>
          <w:szCs w:val="16"/>
        </w:rPr>
        <w:t>Caso Rochac Hernández y otros Vs. El Salvador.</w:t>
      </w:r>
      <w:r w:rsidRPr="00556DE0">
        <w:rPr>
          <w:rFonts w:ascii="Verdana" w:hAnsi="Verdana"/>
          <w:sz w:val="16"/>
          <w:szCs w:val="16"/>
        </w:rPr>
        <w:t xml:space="preserve"> Fondo, Reparaciones y Costas. Sentencia de 14 de octubre de 2014. Serie C No. 285, párr. 154.</w:t>
      </w:r>
    </w:p>
  </w:footnote>
  <w:footnote w:id="178">
    <w:p w14:paraId="41CE22AF" w14:textId="58549655" w:rsidR="0018425E" w:rsidRPr="00556DE0" w:rsidRDefault="0018425E" w:rsidP="00F57746">
      <w:pPr>
        <w:pStyle w:val="FootnoteText"/>
        <w:ind w:right="1444"/>
        <w:jc w:val="both"/>
        <w:rPr>
          <w:rFonts w:ascii="Verdana" w:hAnsi="Verdana"/>
          <w:sz w:val="16"/>
          <w:szCs w:val="16"/>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t xml:space="preserve">En efecto, la Corte constata que 9 de los 11 casos en investigación están siendo investigados por esta unidad. Sólo los casos Blake y Carpio Nicolle son conocidos por otras unidades de investigación. </w:t>
      </w:r>
    </w:p>
  </w:footnote>
  <w:footnote w:id="179">
    <w:p w14:paraId="6BE3E509" w14:textId="6786936F" w:rsidR="0018425E" w:rsidRPr="00556DE0" w:rsidRDefault="0018425E" w:rsidP="00F57746">
      <w:pPr>
        <w:pStyle w:val="FootnoteText"/>
        <w:ind w:right="1444"/>
        <w:jc w:val="both"/>
        <w:rPr>
          <w:rFonts w:ascii="Verdana" w:hAnsi="Verdana"/>
          <w:sz w:val="16"/>
          <w:szCs w:val="16"/>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r>
      <w:r>
        <w:rPr>
          <w:rFonts w:ascii="Verdana" w:hAnsi="Verdana"/>
          <w:sz w:val="16"/>
          <w:szCs w:val="16"/>
          <w:lang w:val="es-CR"/>
        </w:rPr>
        <w:t>Al respecto, señaló</w:t>
      </w:r>
      <w:r w:rsidRPr="00556DE0">
        <w:rPr>
          <w:rFonts w:ascii="Verdana" w:hAnsi="Verdana"/>
          <w:sz w:val="16"/>
          <w:szCs w:val="16"/>
          <w:lang w:val="es-CR"/>
        </w:rPr>
        <w:t xml:space="preserve"> que “las demandas presentadas contra operadores de justicia […], como parte de las fuertes reacciones de rechazo de algunos sectores de la sociedad </w:t>
      </w:r>
      <w:r w:rsidRPr="00556DE0">
        <w:rPr>
          <w:rFonts w:ascii="Verdana" w:hAnsi="Verdana"/>
          <w:sz w:val="16"/>
          <w:szCs w:val="16"/>
        </w:rPr>
        <w:t>guatemalteca</w:t>
      </w:r>
      <w:r w:rsidRPr="00556DE0">
        <w:rPr>
          <w:rFonts w:ascii="Verdana" w:hAnsi="Verdana"/>
          <w:sz w:val="16"/>
          <w:szCs w:val="16"/>
          <w:lang w:val="es-CR"/>
        </w:rPr>
        <w:t xml:space="preserve"> frente a los avances en casos de violaciones de derechos humanos cometidas durante el conflicto armado interno”, además de la sanción de una jueza  </w:t>
      </w:r>
      <w:proofErr w:type="gramStart"/>
      <w:r w:rsidRPr="00556DE0">
        <w:rPr>
          <w:rFonts w:ascii="Verdana" w:hAnsi="Verdana" w:cs="Verdana"/>
          <w:sz w:val="16"/>
          <w:szCs w:val="16"/>
          <w:lang w:val="es-ES"/>
        </w:rPr>
        <w:t>“ a</w:t>
      </w:r>
      <w:proofErr w:type="gramEnd"/>
      <w:r w:rsidRPr="00556DE0">
        <w:rPr>
          <w:rFonts w:ascii="Verdana" w:hAnsi="Verdana" w:cs="Verdana"/>
          <w:sz w:val="16"/>
          <w:szCs w:val="16"/>
          <w:lang w:val="es-ES"/>
        </w:rPr>
        <w:t xml:space="preserve"> partir de una denuncia de uno de los abogados defensores del juicio por genocidio en contra del pueblo maya Ixil […] en detrimento de la independencia judicial”</w:t>
      </w:r>
      <w:r>
        <w:rPr>
          <w:rFonts w:ascii="Verdana" w:hAnsi="Verdana" w:cs="Verdana"/>
          <w:sz w:val="16"/>
          <w:szCs w:val="16"/>
          <w:lang w:val="es-ES"/>
        </w:rPr>
        <w:t>.</w:t>
      </w:r>
    </w:p>
  </w:footnote>
  <w:footnote w:id="180">
    <w:p w14:paraId="45F743C4" w14:textId="7BAA73FE" w:rsidR="0018425E" w:rsidRPr="00556DE0" w:rsidRDefault="0018425E" w:rsidP="00F57746">
      <w:pPr>
        <w:pStyle w:val="FootnoteText"/>
        <w:ind w:right="1444"/>
        <w:jc w:val="both"/>
        <w:rPr>
          <w:rFonts w:ascii="Verdana" w:hAnsi="Verdana"/>
          <w:sz w:val="16"/>
          <w:szCs w:val="16"/>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t xml:space="preserve">En la audiencia correspondiente a los </w:t>
      </w:r>
      <w:r w:rsidRPr="00556DE0">
        <w:rPr>
          <w:rFonts w:ascii="Verdana" w:hAnsi="Verdana"/>
          <w:i/>
          <w:sz w:val="16"/>
          <w:szCs w:val="16"/>
        </w:rPr>
        <w:t>11 casos</w:t>
      </w:r>
      <w:r w:rsidRPr="00556DE0">
        <w:rPr>
          <w:rFonts w:ascii="Verdana" w:hAnsi="Verdana"/>
          <w:sz w:val="16"/>
          <w:szCs w:val="16"/>
        </w:rPr>
        <w:t xml:space="preserve">, Helen Mack, representante de varias de las víctimas, hizo referencia a la criminalización y hostigamiento en perjuicio de varios operadores de justicia, como parte de “una política de Estado dirigida a impedir la justicia en estos casos y en otros muchos, y cerrar todas las posibilidades de discusión o investigación a futuro”. Señaló igualmente que “además de los objetivos de castigar de quienes han ejercido su cargo de manera independiente esta clase de decisiones envían un mensaje intimidatorio a los operadores de justicia que tienen a su cargo casos de violaciones de derechos humanos. Tales efectos nocivos son observables en este momento en la inhibición planteada por 93 magistrados de 183 se han negado entregar la sala que debe conocer el recurso de amnistía interpuesto por Ríos Montt, 93 de 183 creo que van a llegar ya casi al 75%”. </w:t>
      </w:r>
    </w:p>
  </w:footnote>
  <w:footnote w:id="181">
    <w:p w14:paraId="021B24C7" w14:textId="1582FC02" w:rsidR="0018425E" w:rsidRPr="00556DE0" w:rsidRDefault="0018425E" w:rsidP="00F57746">
      <w:pPr>
        <w:pStyle w:val="FootnoteText"/>
        <w:ind w:right="1444"/>
        <w:jc w:val="both"/>
        <w:rPr>
          <w:rFonts w:ascii="Verdana" w:hAnsi="Verdana"/>
          <w:sz w:val="16"/>
          <w:szCs w:val="16"/>
          <w:lang w:val="es-CR"/>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r>
      <w:r w:rsidRPr="00556DE0">
        <w:rPr>
          <w:rFonts w:ascii="Verdana" w:hAnsi="Verdana"/>
          <w:i/>
          <w:sz w:val="16"/>
          <w:szCs w:val="16"/>
        </w:rPr>
        <w:t>Cfr.</w:t>
      </w:r>
      <w:r w:rsidRPr="00556DE0">
        <w:rPr>
          <w:rFonts w:ascii="Verdana" w:hAnsi="Verdana"/>
          <w:sz w:val="16"/>
          <w:szCs w:val="16"/>
        </w:rPr>
        <w:t xml:space="preserve"> </w:t>
      </w:r>
      <w:r w:rsidRPr="00556DE0">
        <w:rPr>
          <w:rFonts w:ascii="Verdana" w:hAnsi="Verdana"/>
          <w:i/>
          <w:sz w:val="16"/>
          <w:szCs w:val="16"/>
        </w:rPr>
        <w:t>Caso Bámaca Velásquez Vs. Guatemala.</w:t>
      </w:r>
      <w:r w:rsidRPr="00556DE0">
        <w:rPr>
          <w:rFonts w:ascii="Verdana" w:hAnsi="Verdana"/>
          <w:sz w:val="16"/>
          <w:szCs w:val="16"/>
        </w:rPr>
        <w:t xml:space="preserve"> </w:t>
      </w:r>
      <w:r w:rsidRPr="00556DE0">
        <w:rPr>
          <w:rFonts w:ascii="Verdana" w:hAnsi="Verdana"/>
          <w:i/>
          <w:sz w:val="16"/>
          <w:szCs w:val="16"/>
        </w:rPr>
        <w:t>Supervisión de Cumplimiento de Sentencia</w:t>
      </w:r>
      <w:r w:rsidRPr="00556DE0">
        <w:rPr>
          <w:rFonts w:ascii="Verdana" w:hAnsi="Verdana"/>
          <w:sz w:val="16"/>
          <w:szCs w:val="16"/>
        </w:rPr>
        <w:t>. Resolución de la Corte Interamericana de Derechos Hu</w:t>
      </w:r>
      <w:r>
        <w:rPr>
          <w:rFonts w:ascii="Verdana" w:hAnsi="Verdana"/>
          <w:sz w:val="16"/>
          <w:szCs w:val="16"/>
        </w:rPr>
        <w:t>manos 18 de noviembre de 2010, C</w:t>
      </w:r>
      <w:r w:rsidRPr="00556DE0">
        <w:rPr>
          <w:rFonts w:ascii="Verdana" w:hAnsi="Verdana"/>
          <w:sz w:val="16"/>
          <w:szCs w:val="16"/>
        </w:rPr>
        <w:t>onsiderando 58.</w:t>
      </w:r>
    </w:p>
  </w:footnote>
  <w:footnote w:id="182">
    <w:p w14:paraId="7715B311" w14:textId="1A0E520E" w:rsidR="0018425E" w:rsidRPr="00556DE0" w:rsidRDefault="0018425E" w:rsidP="00F57746">
      <w:pPr>
        <w:autoSpaceDE w:val="0"/>
        <w:autoSpaceDN w:val="0"/>
        <w:adjustRightInd w:val="0"/>
        <w:spacing w:after="0" w:line="240" w:lineRule="auto"/>
        <w:ind w:right="1444"/>
        <w:jc w:val="both"/>
        <w:rPr>
          <w:rFonts w:ascii="Verdana" w:hAnsi="Verdana"/>
          <w:sz w:val="16"/>
          <w:szCs w:val="16"/>
          <w:lang w:val="es-ES_tradnl"/>
        </w:rPr>
      </w:pPr>
      <w:r w:rsidRPr="00556DE0">
        <w:rPr>
          <w:rStyle w:val="FootnoteReference"/>
          <w:rFonts w:ascii="Verdana" w:hAnsi="Verdana"/>
          <w:sz w:val="16"/>
          <w:szCs w:val="16"/>
        </w:rPr>
        <w:footnoteRef/>
      </w:r>
      <w:r w:rsidRPr="00556DE0">
        <w:rPr>
          <w:rFonts w:ascii="Verdana" w:hAnsi="Verdana"/>
          <w:sz w:val="16"/>
          <w:szCs w:val="16"/>
          <w:lang w:val="es-CR"/>
        </w:rPr>
        <w:t xml:space="preserve"> </w:t>
      </w:r>
      <w:r w:rsidRPr="00556DE0">
        <w:rPr>
          <w:rFonts w:ascii="Verdana" w:hAnsi="Verdana"/>
          <w:sz w:val="16"/>
          <w:szCs w:val="16"/>
          <w:lang w:val="es-CR"/>
        </w:rPr>
        <w:tab/>
      </w:r>
      <w:r w:rsidRPr="00556DE0">
        <w:rPr>
          <w:rFonts w:ascii="Verdana" w:hAnsi="Verdana"/>
          <w:i/>
          <w:sz w:val="16"/>
          <w:szCs w:val="16"/>
          <w:lang w:val="es-CR"/>
        </w:rPr>
        <w:t xml:space="preserve">Cfr. </w:t>
      </w:r>
      <w:r w:rsidRPr="00556DE0">
        <w:rPr>
          <w:rStyle w:val="Strong"/>
          <w:rFonts w:ascii="Verdana" w:hAnsi="Verdana"/>
          <w:b w:val="0"/>
          <w:color w:val="000000"/>
          <w:sz w:val="16"/>
          <w:szCs w:val="16"/>
          <w:shd w:val="clear" w:color="auto" w:fill="FFFFFF"/>
          <w:lang w:val="es-CR"/>
        </w:rPr>
        <w:t>C</w:t>
      </w:r>
      <w:r w:rsidRPr="00556DE0">
        <w:rPr>
          <w:rStyle w:val="Strong"/>
          <w:rFonts w:ascii="Verdana" w:hAnsi="Verdana"/>
          <w:b w:val="0"/>
          <w:i/>
          <w:color w:val="000000"/>
          <w:sz w:val="16"/>
          <w:szCs w:val="16"/>
          <w:shd w:val="clear" w:color="auto" w:fill="FFFFFF"/>
          <w:lang w:val="es-CR"/>
        </w:rPr>
        <w:t>aso De la Masacre de las Dos Erres Vs. Guatemala. Excepción Preliminar, Fondo, Reparaciones y Costas.</w:t>
      </w:r>
      <w:r w:rsidRPr="00556DE0">
        <w:rPr>
          <w:rStyle w:val="Strong"/>
          <w:rFonts w:ascii="Verdana" w:hAnsi="Verdana"/>
          <w:b w:val="0"/>
          <w:color w:val="000000"/>
          <w:sz w:val="16"/>
          <w:szCs w:val="16"/>
          <w:shd w:val="clear" w:color="auto" w:fill="FFFFFF"/>
          <w:lang w:val="es-CR"/>
        </w:rPr>
        <w:t xml:space="preserve"> Sentencia de 24 de noviembre de 2009. Serie C No. 211 párr. 233; </w:t>
      </w:r>
      <w:r w:rsidRPr="00556DE0">
        <w:rPr>
          <w:rStyle w:val="Strong"/>
          <w:rFonts w:ascii="Verdana" w:hAnsi="Verdana"/>
          <w:b w:val="0"/>
          <w:i/>
          <w:color w:val="000000"/>
          <w:sz w:val="16"/>
          <w:szCs w:val="16"/>
          <w:shd w:val="clear" w:color="auto" w:fill="FFFFFF"/>
          <w:lang w:val="es-CR"/>
        </w:rPr>
        <w:t>Caso Masa</w:t>
      </w:r>
      <w:r>
        <w:rPr>
          <w:rStyle w:val="Strong"/>
          <w:rFonts w:ascii="Verdana" w:hAnsi="Verdana"/>
          <w:b w:val="0"/>
          <w:i/>
          <w:color w:val="000000"/>
          <w:sz w:val="16"/>
          <w:szCs w:val="16"/>
          <w:shd w:val="clear" w:color="auto" w:fill="FFFFFF"/>
          <w:lang w:val="es-CR"/>
        </w:rPr>
        <w:t xml:space="preserve">cres de Río Negro Vs. Guatemala, supra, </w:t>
      </w:r>
      <w:r w:rsidRPr="00556DE0">
        <w:rPr>
          <w:rStyle w:val="Strong"/>
          <w:rFonts w:ascii="Verdana" w:hAnsi="Verdana"/>
          <w:b w:val="0"/>
          <w:color w:val="000000"/>
          <w:sz w:val="16"/>
          <w:szCs w:val="16"/>
          <w:shd w:val="clear" w:color="auto" w:fill="FFFFFF"/>
          <w:lang w:val="es-CR"/>
        </w:rPr>
        <w:t>párr 257;</w:t>
      </w:r>
      <w:r w:rsidRPr="00556DE0">
        <w:rPr>
          <w:rStyle w:val="FootnoteReference"/>
          <w:rFonts w:ascii="Verdana" w:hAnsi="Verdana"/>
          <w:b/>
          <w:color w:val="000000"/>
          <w:sz w:val="16"/>
          <w:szCs w:val="16"/>
          <w:shd w:val="clear" w:color="auto" w:fill="FFFFFF"/>
          <w:lang w:val="es-CR"/>
        </w:rPr>
        <w:t xml:space="preserve"> </w:t>
      </w:r>
      <w:r w:rsidRPr="00556DE0">
        <w:rPr>
          <w:rStyle w:val="Strong"/>
          <w:rFonts w:ascii="Verdana" w:hAnsi="Verdana"/>
          <w:b w:val="0"/>
          <w:i/>
          <w:color w:val="000000"/>
          <w:sz w:val="16"/>
          <w:szCs w:val="16"/>
          <w:shd w:val="clear" w:color="auto" w:fill="FFFFFF"/>
          <w:lang w:val="es-CR"/>
        </w:rPr>
        <w:t>Caso Gudiel Álvarez y otros ("Diario Militar") Vs. Guatemala. Fondo Reparaciones y Costas.</w:t>
      </w:r>
      <w:r w:rsidRPr="00556DE0">
        <w:rPr>
          <w:rStyle w:val="Strong"/>
          <w:rFonts w:ascii="Verdana" w:hAnsi="Verdana"/>
          <w:b w:val="0"/>
          <w:color w:val="000000"/>
          <w:sz w:val="16"/>
          <w:szCs w:val="16"/>
          <w:shd w:val="clear" w:color="auto" w:fill="FFFFFF"/>
          <w:lang w:val="es-CR"/>
        </w:rPr>
        <w:t xml:space="preserve"> Sentencia de 20 noviembre de 2012 Serie C No. 253, párr. 327; </w:t>
      </w:r>
      <w:r w:rsidRPr="00556DE0">
        <w:rPr>
          <w:rStyle w:val="Strong"/>
          <w:rFonts w:ascii="Verdana" w:hAnsi="Verdana"/>
          <w:b w:val="0"/>
          <w:i/>
          <w:color w:val="000000"/>
          <w:sz w:val="16"/>
          <w:szCs w:val="16"/>
          <w:shd w:val="clear" w:color="auto" w:fill="FFFFFF"/>
          <w:lang w:val="es-CR"/>
        </w:rPr>
        <w:t>Caso García y Familiares Vs. Guatemala. Fondo Reparaciones y Costas.</w:t>
      </w:r>
      <w:r w:rsidRPr="00556DE0">
        <w:rPr>
          <w:rStyle w:val="Strong"/>
          <w:rFonts w:ascii="Verdana" w:hAnsi="Verdana"/>
          <w:b w:val="0"/>
          <w:color w:val="000000"/>
          <w:sz w:val="16"/>
          <w:szCs w:val="16"/>
          <w:shd w:val="clear" w:color="auto" w:fill="FFFFFF"/>
          <w:lang w:val="es-CR"/>
        </w:rPr>
        <w:t xml:space="preserve"> Sentencia de 29 noviembre de 2012 Serie C No. 258, párr. 196, y</w:t>
      </w:r>
      <w:r w:rsidRPr="00556DE0">
        <w:rPr>
          <w:rFonts w:ascii="Verdana" w:hAnsi="Verdana"/>
          <w:b/>
          <w:i/>
          <w:sz w:val="16"/>
          <w:szCs w:val="16"/>
          <w:lang w:val="es-CR"/>
        </w:rPr>
        <w:t xml:space="preserve"> </w:t>
      </w:r>
      <w:r w:rsidRPr="00556DE0">
        <w:rPr>
          <w:rStyle w:val="Strong"/>
          <w:rFonts w:ascii="Verdana" w:hAnsi="Verdana"/>
          <w:b w:val="0"/>
          <w:i/>
          <w:color w:val="000000"/>
          <w:sz w:val="16"/>
          <w:szCs w:val="16"/>
          <w:shd w:val="clear" w:color="auto" w:fill="FFFFFF"/>
          <w:lang w:val="es-CR"/>
        </w:rPr>
        <w:t>Caso Defensor de Derechos Humanos y otros Vs. Guatemala. Excepciones Preliminares, Fondo, Reparaciones y Costas</w:t>
      </w:r>
      <w:r w:rsidRPr="00556DE0">
        <w:rPr>
          <w:rStyle w:val="Strong"/>
          <w:rFonts w:ascii="Verdana" w:hAnsi="Verdana"/>
          <w:b w:val="0"/>
          <w:color w:val="000000"/>
          <w:sz w:val="16"/>
          <w:szCs w:val="16"/>
          <w:shd w:val="clear" w:color="auto" w:fill="FFFFFF"/>
          <w:lang w:val="es-CR"/>
        </w:rPr>
        <w:t>. Sentencia de 28 de agosto de 2014. Serie C No. 283, párr. 252.</w:t>
      </w:r>
    </w:p>
  </w:footnote>
  <w:footnote w:id="183">
    <w:p w14:paraId="2A88A7AA" w14:textId="1EC7CB30" w:rsidR="0018425E" w:rsidRPr="00556DE0" w:rsidRDefault="0018425E" w:rsidP="00F57746">
      <w:pPr>
        <w:autoSpaceDE w:val="0"/>
        <w:autoSpaceDN w:val="0"/>
        <w:adjustRightInd w:val="0"/>
        <w:spacing w:after="0" w:line="240" w:lineRule="auto"/>
        <w:ind w:right="1444"/>
        <w:jc w:val="both"/>
        <w:rPr>
          <w:rFonts w:ascii="Verdana" w:hAnsi="Verdana"/>
          <w:sz w:val="16"/>
          <w:szCs w:val="16"/>
          <w:lang w:val="es-CR"/>
        </w:rPr>
      </w:pPr>
      <w:r w:rsidRPr="00556DE0">
        <w:rPr>
          <w:rStyle w:val="FootnoteReference"/>
          <w:rFonts w:ascii="Verdana" w:hAnsi="Verdana"/>
          <w:sz w:val="16"/>
          <w:szCs w:val="16"/>
        </w:rPr>
        <w:footnoteRef/>
      </w:r>
      <w:r w:rsidRPr="00556DE0">
        <w:rPr>
          <w:rFonts w:ascii="Verdana" w:hAnsi="Verdana"/>
          <w:sz w:val="16"/>
          <w:szCs w:val="16"/>
          <w:lang w:val="es-CR"/>
        </w:rPr>
        <w:t xml:space="preserve"> </w:t>
      </w:r>
      <w:r w:rsidRPr="00556DE0">
        <w:rPr>
          <w:rFonts w:ascii="Verdana" w:hAnsi="Verdana"/>
          <w:sz w:val="16"/>
          <w:szCs w:val="16"/>
          <w:lang w:val="es-CR"/>
        </w:rPr>
        <w:tab/>
        <w:t xml:space="preserve">No obstante, señala el Ministerio Público que “propició capacitación en materia de derechos humanos a sus funcionarios, cursos en los que se incluyó el manejo de los instrumentos internacionales en dicha materia, derecho internacional humanitario, así como, el estudio de las sentencias dictadas por la Corte IDH, en contra del Estado de Guatemala y muchas otras que se consideraron importantes. Todo ello ha sido incorporado al pensum permanente de capacitación de la carrera fiscal”. </w:t>
      </w:r>
    </w:p>
  </w:footnote>
  <w:footnote w:id="184">
    <w:p w14:paraId="5B0C332C" w14:textId="494FDEA5" w:rsidR="0018425E" w:rsidRPr="00556DE0" w:rsidRDefault="0018425E" w:rsidP="00F57746">
      <w:pPr>
        <w:pStyle w:val="FootnoteText"/>
        <w:ind w:right="1444"/>
        <w:jc w:val="both"/>
        <w:rPr>
          <w:rFonts w:ascii="Verdana" w:hAnsi="Verdana"/>
          <w:sz w:val="16"/>
          <w:szCs w:val="16"/>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t xml:space="preserve">En los casos </w:t>
      </w:r>
      <w:r w:rsidRPr="00556DE0">
        <w:rPr>
          <w:rFonts w:ascii="Verdana" w:hAnsi="Verdana"/>
          <w:i/>
          <w:sz w:val="16"/>
          <w:szCs w:val="16"/>
        </w:rPr>
        <w:t>Molina Theissen</w:t>
      </w:r>
      <w:r w:rsidRPr="00556DE0">
        <w:rPr>
          <w:rFonts w:ascii="Verdana" w:hAnsi="Verdana"/>
          <w:sz w:val="16"/>
          <w:szCs w:val="16"/>
        </w:rPr>
        <w:t xml:space="preserve"> y </w:t>
      </w:r>
      <w:r w:rsidRPr="00556DE0">
        <w:rPr>
          <w:rFonts w:ascii="Verdana" w:hAnsi="Verdana"/>
          <w:i/>
          <w:sz w:val="16"/>
          <w:szCs w:val="16"/>
        </w:rPr>
        <w:t>Chitay Nech</w:t>
      </w:r>
      <w:r>
        <w:rPr>
          <w:rFonts w:ascii="Verdana" w:hAnsi="Verdana"/>
          <w:sz w:val="16"/>
          <w:szCs w:val="16"/>
        </w:rPr>
        <w:t xml:space="preserve"> iniciaron en </w:t>
      </w:r>
      <w:r w:rsidRPr="00556DE0">
        <w:rPr>
          <w:rFonts w:ascii="Verdana" w:hAnsi="Verdana"/>
          <w:sz w:val="16"/>
          <w:szCs w:val="16"/>
        </w:rPr>
        <w:t xml:space="preserve">el año 1981; en los casos </w:t>
      </w:r>
      <w:r w:rsidRPr="00556DE0">
        <w:rPr>
          <w:rFonts w:ascii="Verdana" w:hAnsi="Verdana"/>
          <w:i/>
          <w:sz w:val="16"/>
          <w:szCs w:val="16"/>
        </w:rPr>
        <w:t>Masacre Plan de Sánchez</w:t>
      </w:r>
      <w:r w:rsidRPr="00556DE0">
        <w:rPr>
          <w:rFonts w:ascii="Verdana" w:hAnsi="Verdana"/>
          <w:sz w:val="16"/>
          <w:szCs w:val="16"/>
        </w:rPr>
        <w:t xml:space="preserve"> y </w:t>
      </w:r>
      <w:r w:rsidRPr="00556DE0">
        <w:rPr>
          <w:rFonts w:ascii="Verdana" w:hAnsi="Verdana"/>
          <w:i/>
          <w:sz w:val="16"/>
          <w:szCs w:val="16"/>
        </w:rPr>
        <w:t>de las Dos Erres</w:t>
      </w:r>
      <w:r w:rsidRPr="00556DE0">
        <w:rPr>
          <w:rFonts w:ascii="Verdana" w:hAnsi="Verdana"/>
          <w:sz w:val="16"/>
          <w:szCs w:val="16"/>
        </w:rPr>
        <w:t xml:space="preserve">, el año 1982; en el caso </w:t>
      </w:r>
      <w:r w:rsidRPr="00556DE0">
        <w:rPr>
          <w:rFonts w:ascii="Verdana" w:hAnsi="Verdana"/>
          <w:i/>
          <w:sz w:val="16"/>
          <w:szCs w:val="16"/>
        </w:rPr>
        <w:t>Blake</w:t>
      </w:r>
      <w:r w:rsidRPr="00556DE0">
        <w:rPr>
          <w:rFonts w:ascii="Verdana" w:hAnsi="Verdana"/>
          <w:sz w:val="16"/>
          <w:szCs w:val="16"/>
        </w:rPr>
        <w:t xml:space="preserve">,  el año 1985; en el caso </w:t>
      </w:r>
      <w:r w:rsidRPr="00556DE0">
        <w:rPr>
          <w:rFonts w:ascii="Verdana" w:hAnsi="Verdana"/>
          <w:i/>
          <w:sz w:val="16"/>
          <w:szCs w:val="16"/>
        </w:rPr>
        <w:t>Panel Blanca</w:t>
      </w:r>
      <w:r w:rsidRPr="00556DE0">
        <w:rPr>
          <w:rFonts w:ascii="Verdana" w:hAnsi="Verdana"/>
          <w:sz w:val="16"/>
          <w:szCs w:val="16"/>
        </w:rPr>
        <w:t xml:space="preserve">, entre los años 1987 y 1988; en los casos </w:t>
      </w:r>
      <w:r w:rsidRPr="00556DE0">
        <w:rPr>
          <w:rFonts w:ascii="Verdana" w:hAnsi="Verdana"/>
          <w:i/>
          <w:sz w:val="16"/>
          <w:szCs w:val="16"/>
        </w:rPr>
        <w:t xml:space="preserve">Niños de la Calle </w:t>
      </w:r>
      <w:r w:rsidRPr="00556DE0">
        <w:rPr>
          <w:rFonts w:ascii="Verdana" w:hAnsi="Verdana"/>
          <w:sz w:val="16"/>
          <w:szCs w:val="16"/>
        </w:rPr>
        <w:t>y</w:t>
      </w:r>
      <w:r w:rsidRPr="00556DE0">
        <w:rPr>
          <w:rFonts w:ascii="Verdana" w:hAnsi="Verdana"/>
          <w:i/>
          <w:sz w:val="16"/>
          <w:szCs w:val="16"/>
        </w:rPr>
        <w:t xml:space="preserve"> Tiu Tojín</w:t>
      </w:r>
      <w:r w:rsidRPr="00556DE0">
        <w:rPr>
          <w:rFonts w:ascii="Verdana" w:hAnsi="Verdana"/>
          <w:sz w:val="16"/>
          <w:szCs w:val="16"/>
        </w:rPr>
        <w:t xml:space="preserve">, el año 1990; en </w:t>
      </w:r>
      <w:r w:rsidRPr="00556DE0">
        <w:rPr>
          <w:rFonts w:ascii="Verdana" w:hAnsi="Verdana"/>
          <w:i/>
          <w:sz w:val="16"/>
          <w:szCs w:val="16"/>
        </w:rPr>
        <w:t xml:space="preserve">Bámaca Velásquez </w:t>
      </w:r>
      <w:r w:rsidRPr="00556DE0">
        <w:rPr>
          <w:rFonts w:ascii="Verdana" w:hAnsi="Verdana"/>
          <w:sz w:val="16"/>
          <w:szCs w:val="16"/>
        </w:rPr>
        <w:t>y</w:t>
      </w:r>
      <w:r w:rsidRPr="00556DE0">
        <w:rPr>
          <w:rFonts w:ascii="Verdana" w:hAnsi="Verdana"/>
          <w:i/>
          <w:sz w:val="16"/>
          <w:szCs w:val="16"/>
        </w:rPr>
        <w:t xml:space="preserve"> Maritza Urrutia</w:t>
      </w:r>
      <w:r w:rsidRPr="00556DE0">
        <w:rPr>
          <w:rFonts w:ascii="Verdana" w:hAnsi="Verdana"/>
          <w:sz w:val="16"/>
          <w:szCs w:val="16"/>
        </w:rPr>
        <w:t xml:space="preserve">, el año 1992; </w:t>
      </w:r>
      <w:r w:rsidRPr="00556DE0">
        <w:rPr>
          <w:rFonts w:ascii="Verdana" w:hAnsi="Verdana"/>
          <w:i/>
          <w:sz w:val="16"/>
          <w:szCs w:val="16"/>
        </w:rPr>
        <w:t>Carpio Nicolle</w:t>
      </w:r>
      <w:r w:rsidRPr="00556DE0">
        <w:rPr>
          <w:rFonts w:ascii="Verdana" w:hAnsi="Verdana"/>
          <w:sz w:val="16"/>
          <w:szCs w:val="16"/>
        </w:rPr>
        <w:t xml:space="preserve"> el año 1993, y </w:t>
      </w:r>
      <w:r w:rsidRPr="00556DE0">
        <w:rPr>
          <w:rFonts w:ascii="Verdana" w:hAnsi="Verdana"/>
          <w:i/>
          <w:sz w:val="16"/>
          <w:szCs w:val="16"/>
        </w:rPr>
        <w:t>Myrna Mack Chang</w:t>
      </w:r>
      <w:r w:rsidRPr="00556DE0">
        <w:rPr>
          <w:rFonts w:ascii="Verdana" w:hAnsi="Verdana"/>
          <w:sz w:val="16"/>
          <w:szCs w:val="16"/>
        </w:rPr>
        <w:t xml:space="preserve"> el año 1999 </w:t>
      </w:r>
      <w:r w:rsidRPr="001C731E">
        <w:rPr>
          <w:rFonts w:ascii="Verdana" w:hAnsi="Verdana"/>
          <w:sz w:val="16"/>
          <w:szCs w:val="16"/>
        </w:rPr>
        <w:t>(</w:t>
      </w:r>
      <w:r w:rsidRPr="001C731E">
        <w:rPr>
          <w:rFonts w:ascii="Verdana" w:hAnsi="Verdana"/>
          <w:i/>
          <w:sz w:val="16"/>
          <w:szCs w:val="16"/>
        </w:rPr>
        <w:t>supra</w:t>
      </w:r>
      <w:r w:rsidRPr="001C731E">
        <w:rPr>
          <w:rFonts w:ascii="Verdana" w:hAnsi="Verdana"/>
          <w:sz w:val="16"/>
          <w:szCs w:val="16"/>
        </w:rPr>
        <w:t xml:space="preserve"> Considerando </w:t>
      </w:r>
      <w:r w:rsidRPr="001C731E">
        <w:rPr>
          <w:rFonts w:ascii="Verdana" w:hAnsi="Verdana"/>
          <w:sz w:val="16"/>
          <w:szCs w:val="16"/>
        </w:rPr>
        <w:fldChar w:fldCharType="begin"/>
      </w:r>
      <w:r w:rsidRPr="001C731E">
        <w:rPr>
          <w:rFonts w:ascii="Verdana" w:hAnsi="Verdana"/>
          <w:sz w:val="16"/>
          <w:szCs w:val="16"/>
        </w:rPr>
        <w:instrText xml:space="preserve"> REF _Ref437870239 \r \h  \* MERGEFORMAT </w:instrText>
      </w:r>
      <w:r w:rsidRPr="001C731E">
        <w:rPr>
          <w:rFonts w:ascii="Verdana" w:hAnsi="Verdana"/>
          <w:sz w:val="16"/>
          <w:szCs w:val="16"/>
        </w:rPr>
      </w:r>
      <w:r w:rsidRPr="001C731E">
        <w:rPr>
          <w:rFonts w:ascii="Verdana" w:hAnsi="Verdana"/>
          <w:sz w:val="16"/>
          <w:szCs w:val="16"/>
        </w:rPr>
        <w:fldChar w:fldCharType="separate"/>
      </w:r>
      <w:r w:rsidR="007E3C4B">
        <w:rPr>
          <w:rFonts w:ascii="Verdana" w:hAnsi="Verdana"/>
          <w:sz w:val="16"/>
          <w:szCs w:val="16"/>
        </w:rPr>
        <w:t>18</w:t>
      </w:r>
      <w:r w:rsidRPr="001C731E">
        <w:rPr>
          <w:rFonts w:ascii="Verdana" w:hAnsi="Verdana"/>
          <w:sz w:val="16"/>
          <w:szCs w:val="16"/>
        </w:rPr>
        <w:fldChar w:fldCharType="end"/>
      </w:r>
      <w:r w:rsidRPr="001C731E">
        <w:rPr>
          <w:rFonts w:ascii="Verdana" w:hAnsi="Verdana"/>
          <w:sz w:val="16"/>
          <w:szCs w:val="16"/>
        </w:rPr>
        <w:t>).</w:t>
      </w:r>
    </w:p>
  </w:footnote>
  <w:footnote w:id="185">
    <w:p w14:paraId="7E140542" w14:textId="77777777" w:rsidR="0018425E" w:rsidRPr="00556DE0" w:rsidRDefault="0018425E" w:rsidP="00F57746">
      <w:pPr>
        <w:pStyle w:val="FootnoteText"/>
        <w:ind w:right="1444"/>
        <w:jc w:val="both"/>
        <w:rPr>
          <w:rFonts w:ascii="Verdana" w:hAnsi="Verdana"/>
          <w:sz w:val="16"/>
          <w:szCs w:val="16"/>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r>
      <w:r w:rsidRPr="00556DE0">
        <w:rPr>
          <w:rFonts w:ascii="Verdana" w:hAnsi="Verdana"/>
          <w:sz w:val="16"/>
          <w:szCs w:val="16"/>
          <w:lang w:val="es-CR"/>
        </w:rPr>
        <w:t xml:space="preserve">En este sentido, en la Sentencia correspondiente al caso </w:t>
      </w:r>
      <w:r w:rsidRPr="00556DE0">
        <w:rPr>
          <w:rFonts w:ascii="Verdana" w:hAnsi="Verdana"/>
          <w:i/>
          <w:sz w:val="16"/>
          <w:szCs w:val="16"/>
          <w:lang w:val="es-CR"/>
        </w:rPr>
        <w:t>Chitay Nech</w:t>
      </w:r>
      <w:r w:rsidRPr="00556DE0">
        <w:rPr>
          <w:rFonts w:ascii="Verdana" w:hAnsi="Verdana"/>
          <w:sz w:val="16"/>
          <w:szCs w:val="16"/>
          <w:lang w:val="es-CR"/>
        </w:rPr>
        <w:t xml:space="preserve">, la Corte determinó que “el derecho de acceso a la justicia requiere que se haga efectiva la determinación de los hechos que se investigan en tiempo razonable […por lo que] una demora prolongada podría llegar a constituir, por sí misma, una violación a las garantías judiciales”. </w:t>
      </w:r>
    </w:p>
  </w:footnote>
  <w:footnote w:id="186">
    <w:p w14:paraId="611AB2DB" w14:textId="77984CDA" w:rsidR="0018425E" w:rsidRPr="00556DE0" w:rsidRDefault="0018425E" w:rsidP="00F57746">
      <w:pPr>
        <w:pStyle w:val="FootnoteText"/>
        <w:ind w:right="1444"/>
        <w:jc w:val="both"/>
        <w:rPr>
          <w:rFonts w:ascii="Verdana" w:hAnsi="Verdana"/>
          <w:sz w:val="16"/>
          <w:szCs w:val="16"/>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r>
      <w:r w:rsidRPr="00556DE0">
        <w:rPr>
          <w:rFonts w:ascii="Verdana" w:hAnsi="Verdana"/>
          <w:i/>
          <w:sz w:val="16"/>
          <w:szCs w:val="16"/>
          <w:lang w:val="es-CR"/>
        </w:rPr>
        <w:t xml:space="preserve">Cfr. </w:t>
      </w:r>
      <w:r w:rsidRPr="00556DE0">
        <w:rPr>
          <w:rFonts w:ascii="Verdana" w:hAnsi="Verdana"/>
          <w:bCs/>
          <w:i/>
          <w:sz w:val="16"/>
          <w:szCs w:val="16"/>
          <w:lang w:val="es-UY"/>
        </w:rPr>
        <w:t xml:space="preserve">Caso Chitay Nech y otros Vs. Guatemala. Excepciones Preliminares, Fondo, Reparaciones y Costas. </w:t>
      </w:r>
      <w:r w:rsidRPr="00556DE0">
        <w:rPr>
          <w:rFonts w:ascii="Verdana" w:hAnsi="Verdana"/>
          <w:bCs/>
          <w:sz w:val="16"/>
          <w:szCs w:val="16"/>
          <w:lang w:val="es-UY"/>
        </w:rPr>
        <w:t>Sentencia de 25 de mayo d</w:t>
      </w:r>
      <w:r>
        <w:rPr>
          <w:rFonts w:ascii="Verdana" w:hAnsi="Verdana"/>
          <w:bCs/>
          <w:sz w:val="16"/>
          <w:szCs w:val="16"/>
          <w:lang w:val="es-UY"/>
        </w:rPr>
        <w:t>e 2010. Serie C No. 212, párr.</w:t>
      </w:r>
      <w:r w:rsidRPr="00556DE0">
        <w:rPr>
          <w:rFonts w:ascii="Verdana" w:hAnsi="Verdana"/>
          <w:bCs/>
          <w:sz w:val="16"/>
          <w:szCs w:val="16"/>
          <w:lang w:val="es-UY"/>
        </w:rPr>
        <w:t xml:space="preserve"> 196</w:t>
      </w:r>
      <w:r w:rsidRPr="00556DE0">
        <w:rPr>
          <w:rFonts w:ascii="Verdana" w:hAnsi="Verdana"/>
          <w:sz w:val="16"/>
          <w:szCs w:val="16"/>
        </w:rPr>
        <w:t xml:space="preserve">. </w:t>
      </w:r>
    </w:p>
  </w:footnote>
  <w:footnote w:id="187">
    <w:p w14:paraId="48E11A34" w14:textId="77777777" w:rsidR="0018425E" w:rsidRPr="00556DE0" w:rsidRDefault="0018425E" w:rsidP="00F57746">
      <w:pPr>
        <w:pStyle w:val="FootnoteText"/>
        <w:ind w:right="1444"/>
        <w:jc w:val="both"/>
        <w:rPr>
          <w:rFonts w:ascii="Verdana" w:hAnsi="Verdana"/>
          <w:sz w:val="16"/>
          <w:szCs w:val="16"/>
          <w:lang w:val="es-CR"/>
        </w:rPr>
      </w:pPr>
      <w:r w:rsidRPr="00556DE0">
        <w:rPr>
          <w:rStyle w:val="FootnoteReference"/>
          <w:rFonts w:ascii="Verdana" w:hAnsi="Verdana"/>
          <w:sz w:val="16"/>
          <w:szCs w:val="16"/>
        </w:rPr>
        <w:footnoteRef/>
      </w:r>
      <w:r w:rsidRPr="00556DE0">
        <w:rPr>
          <w:rFonts w:ascii="Verdana" w:hAnsi="Verdana"/>
          <w:sz w:val="16"/>
          <w:szCs w:val="16"/>
        </w:rPr>
        <w:t xml:space="preserve"> </w:t>
      </w:r>
      <w:r w:rsidRPr="00556DE0">
        <w:rPr>
          <w:rFonts w:ascii="Verdana" w:hAnsi="Verdana"/>
          <w:sz w:val="16"/>
          <w:szCs w:val="16"/>
        </w:rPr>
        <w:tab/>
      </w:r>
      <w:r w:rsidRPr="00556DE0">
        <w:rPr>
          <w:rFonts w:ascii="Verdana" w:hAnsi="Verdana"/>
          <w:sz w:val="16"/>
          <w:szCs w:val="16"/>
          <w:lang w:val="es-CR"/>
        </w:rPr>
        <w:t xml:space="preserve">Más aún, en el caso </w:t>
      </w:r>
      <w:r w:rsidRPr="00556DE0">
        <w:rPr>
          <w:rFonts w:ascii="Verdana" w:hAnsi="Verdana"/>
          <w:i/>
          <w:sz w:val="16"/>
          <w:szCs w:val="16"/>
          <w:lang w:val="es-CR"/>
        </w:rPr>
        <w:t xml:space="preserve">Masacre de las Dos Erres, </w:t>
      </w:r>
      <w:r w:rsidRPr="00556DE0">
        <w:rPr>
          <w:rFonts w:ascii="Verdana" w:hAnsi="Verdana"/>
          <w:sz w:val="16"/>
          <w:szCs w:val="16"/>
          <w:lang w:val="es-CR"/>
        </w:rPr>
        <w:t xml:space="preserve">la Corte constató que “la demora indebida en el sistema judicial guatemalteco, así como de las </w:t>
      </w:r>
      <w:r w:rsidRPr="00556DE0">
        <w:rPr>
          <w:rFonts w:ascii="Verdana" w:hAnsi="Verdana"/>
          <w:sz w:val="16"/>
          <w:szCs w:val="16"/>
        </w:rPr>
        <w:t>violaciones</w:t>
      </w:r>
      <w:r w:rsidRPr="00556DE0">
        <w:rPr>
          <w:rFonts w:ascii="Verdana" w:hAnsi="Verdana"/>
          <w:sz w:val="16"/>
          <w:szCs w:val="16"/>
          <w:lang w:val="es-CR"/>
        </w:rPr>
        <w:t xml:space="preserve"> del derecho al debido proceso”, destacando, con base en las demoras constatadas en los casos </w:t>
      </w:r>
      <w:r w:rsidRPr="00556DE0">
        <w:rPr>
          <w:rFonts w:ascii="Verdana" w:hAnsi="Verdana"/>
          <w:i/>
          <w:sz w:val="16"/>
          <w:szCs w:val="16"/>
          <w:lang w:val="es-CR"/>
        </w:rPr>
        <w:t xml:space="preserve">Mack Chang, Maritza Urrutia, </w:t>
      </w:r>
      <w:r w:rsidRPr="00556DE0">
        <w:rPr>
          <w:rFonts w:ascii="Verdana" w:hAnsi="Verdana"/>
          <w:sz w:val="16"/>
          <w:szCs w:val="16"/>
          <w:lang w:val="es-CR"/>
        </w:rPr>
        <w:t>Masacre</w:t>
      </w:r>
      <w:r w:rsidRPr="00556DE0">
        <w:rPr>
          <w:rFonts w:ascii="Verdana" w:hAnsi="Verdana"/>
          <w:i/>
          <w:sz w:val="16"/>
          <w:szCs w:val="16"/>
          <w:lang w:val="es-CR"/>
        </w:rPr>
        <w:t xml:space="preserve"> Plan de Sánchez, Molina Theissen y Tiu Tojín</w:t>
      </w:r>
      <w:r w:rsidRPr="00556DE0">
        <w:rPr>
          <w:rFonts w:ascii="Verdana" w:hAnsi="Verdana"/>
          <w:sz w:val="16"/>
          <w:szCs w:val="16"/>
          <w:lang w:val="es-CR"/>
        </w:rPr>
        <w:t xml:space="preserve"> “un patrón de demora judicial en Guatemala frente a la investigación de graves violaciones a derechos humanos”.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A4F13"/>
    <w:multiLevelType w:val="hybridMultilevel"/>
    <w:tmpl w:val="DF568C46"/>
    <w:lvl w:ilvl="0" w:tplc="879E497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635C27"/>
    <w:multiLevelType w:val="hybridMultilevel"/>
    <w:tmpl w:val="757A4A5C"/>
    <w:lvl w:ilvl="0" w:tplc="CAD254D8">
      <w:start w:val="1"/>
      <w:numFmt w:val="bullet"/>
      <w:lvlText w:val="-"/>
      <w:lvlJc w:val="left"/>
      <w:pPr>
        <w:ind w:left="720" w:hanging="360"/>
      </w:pPr>
      <w:rPr>
        <w:rFonts w:ascii="Verdana" w:eastAsiaTheme="minorHAnsi"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00024"/>
    <w:multiLevelType w:val="hybridMultilevel"/>
    <w:tmpl w:val="CE16C460"/>
    <w:lvl w:ilvl="0" w:tplc="9CACFF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4960DD"/>
    <w:multiLevelType w:val="hybridMultilevel"/>
    <w:tmpl w:val="992E12CA"/>
    <w:lvl w:ilvl="0" w:tplc="9D9ACAF2">
      <w:start w:val="9"/>
      <w:numFmt w:val="decimal"/>
      <w:lvlText w:val="%1."/>
      <w:lvlJc w:val="left"/>
      <w:pPr>
        <w:ind w:left="1065" w:hanging="705"/>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500B80"/>
    <w:multiLevelType w:val="hybridMultilevel"/>
    <w:tmpl w:val="C2E8D940"/>
    <w:lvl w:ilvl="0" w:tplc="9B6CE656">
      <w:start w:val="1"/>
      <w:numFmt w:val="upperLetter"/>
      <w:lvlText w:val="%1)"/>
      <w:lvlJc w:val="left"/>
      <w:pPr>
        <w:ind w:left="720" w:hanging="360"/>
      </w:pPr>
      <w:rPr>
        <w:rFonts w:hint="default"/>
      </w:rPr>
    </w:lvl>
    <w:lvl w:ilvl="1" w:tplc="140A000F">
      <w:start w:val="1"/>
      <w:numFmt w:val="decimal"/>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6893212"/>
    <w:multiLevelType w:val="hybridMultilevel"/>
    <w:tmpl w:val="0CA20018"/>
    <w:lvl w:ilvl="0" w:tplc="76088144">
      <w:start w:val="1"/>
      <w:numFmt w:val="upperLetter"/>
      <w:lvlText w:val="%1)"/>
      <w:lvlJc w:val="left"/>
      <w:pPr>
        <w:ind w:left="735" w:hanging="375"/>
      </w:pPr>
      <w:rPr>
        <w:rFonts w:hint="default"/>
        <w:strike w:val="0"/>
      </w:rPr>
    </w:lvl>
    <w:lvl w:ilvl="1" w:tplc="F2287B2E">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0C65FE"/>
    <w:multiLevelType w:val="hybridMultilevel"/>
    <w:tmpl w:val="53487EBA"/>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AD87F35"/>
    <w:multiLevelType w:val="hybridMultilevel"/>
    <w:tmpl w:val="F74E0422"/>
    <w:lvl w:ilvl="0" w:tplc="542EC7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56678"/>
    <w:multiLevelType w:val="hybridMultilevel"/>
    <w:tmpl w:val="94B66F0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223C04AE"/>
    <w:multiLevelType w:val="hybridMultilevel"/>
    <w:tmpl w:val="16A41ACC"/>
    <w:lvl w:ilvl="0" w:tplc="F07C7F10">
      <w:start w:val="1"/>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B0392D"/>
    <w:multiLevelType w:val="hybridMultilevel"/>
    <w:tmpl w:val="54BE6566"/>
    <w:lvl w:ilvl="0" w:tplc="AC1C5414">
      <w:start w:val="1"/>
      <w:numFmt w:val="decimal"/>
      <w:lvlText w:val="%1."/>
      <w:lvlJc w:val="left"/>
      <w:pPr>
        <w:ind w:left="540" w:hanging="360"/>
      </w:pPr>
      <w:rPr>
        <w:rFonts w:ascii="Verdana" w:hAnsi="Verdana" w:hint="default"/>
        <w:b w:val="0"/>
        <w:i w:val="0"/>
        <w:color w:val="auto"/>
        <w:sz w:val="20"/>
        <w:szCs w:val="20"/>
      </w:rPr>
    </w:lvl>
    <w:lvl w:ilvl="1" w:tplc="140A0019">
      <w:start w:val="1"/>
      <w:numFmt w:val="lowerLetter"/>
      <w:lvlText w:val="%2."/>
      <w:lvlJc w:val="left"/>
      <w:pPr>
        <w:ind w:left="-7916" w:hanging="360"/>
      </w:pPr>
    </w:lvl>
    <w:lvl w:ilvl="2" w:tplc="140A001B">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11" w15:restartNumberingAfterBreak="0">
    <w:nsid w:val="29FE31DD"/>
    <w:multiLevelType w:val="hybridMultilevel"/>
    <w:tmpl w:val="EE1C5B86"/>
    <w:lvl w:ilvl="0" w:tplc="C414F514">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31CB62F7"/>
    <w:multiLevelType w:val="hybridMultilevel"/>
    <w:tmpl w:val="8AE02410"/>
    <w:lvl w:ilvl="0" w:tplc="9CACFF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E4688B"/>
    <w:multiLevelType w:val="hybridMultilevel"/>
    <w:tmpl w:val="40F68DAC"/>
    <w:lvl w:ilvl="0" w:tplc="542EC7C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4B00453"/>
    <w:multiLevelType w:val="hybridMultilevel"/>
    <w:tmpl w:val="8CCE2C42"/>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35D157C4"/>
    <w:multiLevelType w:val="hybridMultilevel"/>
    <w:tmpl w:val="62BC1C08"/>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37AF7C69"/>
    <w:multiLevelType w:val="hybridMultilevel"/>
    <w:tmpl w:val="DF7408E0"/>
    <w:lvl w:ilvl="0" w:tplc="5FB4E85E">
      <w:start w:val="1"/>
      <w:numFmt w:val="lowerRoman"/>
      <w:pStyle w:val="Heading3"/>
      <w:lvlText w:val="%1)"/>
      <w:lvlJc w:val="left"/>
      <w:pPr>
        <w:ind w:left="1080" w:hanging="720"/>
      </w:pPr>
      <w:rPr>
        <w:rFonts w:hint="default"/>
      </w:rPr>
    </w:lvl>
    <w:lvl w:ilvl="1" w:tplc="F47A85A4">
      <w:start w:val="1"/>
      <w:numFmt w:val="lowerLetter"/>
      <w:pStyle w:val="Heading4"/>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37CD7B99"/>
    <w:multiLevelType w:val="hybridMultilevel"/>
    <w:tmpl w:val="F716A356"/>
    <w:lvl w:ilvl="0" w:tplc="190AF830">
      <w:start w:val="1"/>
      <w:numFmt w:val="decimal"/>
      <w:lvlText w:val="(%1)"/>
      <w:lvlJc w:val="left"/>
      <w:pPr>
        <w:ind w:left="720" w:hanging="360"/>
      </w:pPr>
    </w:lvl>
    <w:lvl w:ilvl="1" w:tplc="140A0019">
      <w:start w:val="1"/>
      <w:numFmt w:val="decimal"/>
      <w:lvlText w:val="%2."/>
      <w:lvlJc w:val="left"/>
      <w:pPr>
        <w:tabs>
          <w:tab w:val="num" w:pos="1440"/>
        </w:tabs>
        <w:ind w:left="1440" w:hanging="360"/>
      </w:pPr>
    </w:lvl>
    <w:lvl w:ilvl="2" w:tplc="140A001B">
      <w:start w:val="1"/>
      <w:numFmt w:val="decimal"/>
      <w:lvlText w:val="%3."/>
      <w:lvlJc w:val="left"/>
      <w:pPr>
        <w:tabs>
          <w:tab w:val="num" w:pos="2160"/>
        </w:tabs>
        <w:ind w:left="2160" w:hanging="360"/>
      </w:pPr>
    </w:lvl>
    <w:lvl w:ilvl="3" w:tplc="140A000F">
      <w:start w:val="1"/>
      <w:numFmt w:val="decimal"/>
      <w:lvlText w:val="%4."/>
      <w:lvlJc w:val="left"/>
      <w:pPr>
        <w:tabs>
          <w:tab w:val="num" w:pos="2880"/>
        </w:tabs>
        <w:ind w:left="2880" w:hanging="360"/>
      </w:pPr>
    </w:lvl>
    <w:lvl w:ilvl="4" w:tplc="140A0019">
      <w:start w:val="1"/>
      <w:numFmt w:val="decimal"/>
      <w:lvlText w:val="%5."/>
      <w:lvlJc w:val="left"/>
      <w:pPr>
        <w:tabs>
          <w:tab w:val="num" w:pos="3600"/>
        </w:tabs>
        <w:ind w:left="3600" w:hanging="360"/>
      </w:pPr>
    </w:lvl>
    <w:lvl w:ilvl="5" w:tplc="140A001B">
      <w:start w:val="1"/>
      <w:numFmt w:val="decimal"/>
      <w:lvlText w:val="%6."/>
      <w:lvlJc w:val="left"/>
      <w:pPr>
        <w:tabs>
          <w:tab w:val="num" w:pos="4320"/>
        </w:tabs>
        <w:ind w:left="4320" w:hanging="360"/>
      </w:pPr>
    </w:lvl>
    <w:lvl w:ilvl="6" w:tplc="140A000F">
      <w:start w:val="1"/>
      <w:numFmt w:val="decimal"/>
      <w:lvlText w:val="%7."/>
      <w:lvlJc w:val="left"/>
      <w:pPr>
        <w:tabs>
          <w:tab w:val="num" w:pos="5040"/>
        </w:tabs>
        <w:ind w:left="5040" w:hanging="360"/>
      </w:pPr>
    </w:lvl>
    <w:lvl w:ilvl="7" w:tplc="140A0019">
      <w:start w:val="1"/>
      <w:numFmt w:val="decimal"/>
      <w:lvlText w:val="%8."/>
      <w:lvlJc w:val="left"/>
      <w:pPr>
        <w:tabs>
          <w:tab w:val="num" w:pos="5760"/>
        </w:tabs>
        <w:ind w:left="5760" w:hanging="360"/>
      </w:pPr>
    </w:lvl>
    <w:lvl w:ilvl="8" w:tplc="140A001B">
      <w:start w:val="1"/>
      <w:numFmt w:val="decimal"/>
      <w:lvlText w:val="%9."/>
      <w:lvlJc w:val="left"/>
      <w:pPr>
        <w:tabs>
          <w:tab w:val="num" w:pos="6480"/>
        </w:tabs>
        <w:ind w:left="6480" w:hanging="360"/>
      </w:pPr>
    </w:lvl>
  </w:abstractNum>
  <w:abstractNum w:abstractNumId="18" w15:restartNumberingAfterBreak="0">
    <w:nsid w:val="37FA37B6"/>
    <w:multiLevelType w:val="hybridMultilevel"/>
    <w:tmpl w:val="E820D396"/>
    <w:lvl w:ilvl="0" w:tplc="542EC7CE">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9" w15:restartNumberingAfterBreak="0">
    <w:nsid w:val="3DDB36AD"/>
    <w:multiLevelType w:val="hybridMultilevel"/>
    <w:tmpl w:val="CA163E36"/>
    <w:lvl w:ilvl="0" w:tplc="0EA2C73C">
      <w:start w:val="1"/>
      <w:numFmt w:val="decimal"/>
      <w:lvlText w:val="%1)"/>
      <w:lvlJc w:val="left"/>
      <w:pPr>
        <w:ind w:left="720" w:hanging="360"/>
      </w:pPr>
      <w:rPr>
        <w:rFonts w:hint="default"/>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413D01AF"/>
    <w:multiLevelType w:val="hybridMultilevel"/>
    <w:tmpl w:val="7C2C13A6"/>
    <w:lvl w:ilvl="0" w:tplc="6D9EBC4E">
      <w:start w:val="1"/>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1" w15:restartNumberingAfterBreak="0">
    <w:nsid w:val="41F62FE4"/>
    <w:multiLevelType w:val="hybridMultilevel"/>
    <w:tmpl w:val="E0942444"/>
    <w:lvl w:ilvl="0" w:tplc="9B6CE656">
      <w:start w:val="1"/>
      <w:numFmt w:val="upperLetter"/>
      <w:lvlText w:val="%1)"/>
      <w:lvlJc w:val="left"/>
      <w:pPr>
        <w:ind w:left="720" w:hanging="360"/>
      </w:pPr>
      <w:rPr>
        <w:rFonts w:hint="default"/>
      </w:rPr>
    </w:lvl>
    <w:lvl w:ilvl="1" w:tplc="140A000F">
      <w:start w:val="1"/>
      <w:numFmt w:val="decimal"/>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43B54C41"/>
    <w:multiLevelType w:val="hybridMultilevel"/>
    <w:tmpl w:val="BB5074CA"/>
    <w:lvl w:ilvl="0" w:tplc="103AE36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5A17CAE"/>
    <w:multiLevelType w:val="hybridMultilevel"/>
    <w:tmpl w:val="D7AA289E"/>
    <w:lvl w:ilvl="0" w:tplc="B67EA96E">
      <w:start w:val="1"/>
      <w:numFmt w:val="upperRoman"/>
      <w:pStyle w:val="Heading1"/>
      <w:lvlText w:val="%1."/>
      <w:lvlJc w:val="righ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4B622D0A"/>
    <w:multiLevelType w:val="hybridMultilevel"/>
    <w:tmpl w:val="32CAEFA4"/>
    <w:lvl w:ilvl="0" w:tplc="140A0017">
      <w:start w:val="1"/>
      <w:numFmt w:val="lowerLetter"/>
      <w:lvlText w:val="%1)"/>
      <w:lvlJc w:val="left"/>
      <w:pPr>
        <w:ind w:left="720" w:hanging="360"/>
      </w:pPr>
      <w:rPr>
        <w:rFonts w:hint="default"/>
      </w:rPr>
    </w:lvl>
    <w:lvl w:ilvl="1" w:tplc="DE9CB7CC">
      <w:start w:val="1"/>
      <w:numFmt w:val="lowerRoman"/>
      <w:lvlText w:val="%2)"/>
      <w:lvlJc w:val="left"/>
      <w:pPr>
        <w:ind w:left="1440" w:hanging="360"/>
      </w:pPr>
      <w:rPr>
        <w:rFonts w:hint="default"/>
      </w:r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52CE7695"/>
    <w:multiLevelType w:val="hybridMultilevel"/>
    <w:tmpl w:val="E848BCAE"/>
    <w:lvl w:ilvl="0" w:tplc="542EC7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A20FC2"/>
    <w:multiLevelType w:val="hybridMultilevel"/>
    <w:tmpl w:val="39EC9FBE"/>
    <w:lvl w:ilvl="0" w:tplc="9CACFF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C530CF"/>
    <w:multiLevelType w:val="hybridMultilevel"/>
    <w:tmpl w:val="EF486388"/>
    <w:lvl w:ilvl="0" w:tplc="2998FD74">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8" w15:restartNumberingAfterBreak="0">
    <w:nsid w:val="5BE2356A"/>
    <w:multiLevelType w:val="hybridMultilevel"/>
    <w:tmpl w:val="A72A81E8"/>
    <w:lvl w:ilvl="0" w:tplc="E2EADE24">
      <w:start w:val="1"/>
      <w:numFmt w:val="upperLetter"/>
      <w:lvlText w:val="%1)"/>
      <w:lvlJc w:val="left"/>
      <w:pPr>
        <w:ind w:left="390" w:hanging="360"/>
      </w:pPr>
      <w:rPr>
        <w:rFonts w:hint="default"/>
      </w:rPr>
    </w:lvl>
    <w:lvl w:ilvl="1" w:tplc="140A0019" w:tentative="1">
      <w:start w:val="1"/>
      <w:numFmt w:val="lowerLetter"/>
      <w:lvlText w:val="%2."/>
      <w:lvlJc w:val="left"/>
      <w:pPr>
        <w:ind w:left="1110" w:hanging="360"/>
      </w:pPr>
    </w:lvl>
    <w:lvl w:ilvl="2" w:tplc="140A001B" w:tentative="1">
      <w:start w:val="1"/>
      <w:numFmt w:val="lowerRoman"/>
      <w:lvlText w:val="%3."/>
      <w:lvlJc w:val="right"/>
      <w:pPr>
        <w:ind w:left="1830" w:hanging="180"/>
      </w:pPr>
    </w:lvl>
    <w:lvl w:ilvl="3" w:tplc="140A000F" w:tentative="1">
      <w:start w:val="1"/>
      <w:numFmt w:val="decimal"/>
      <w:lvlText w:val="%4."/>
      <w:lvlJc w:val="left"/>
      <w:pPr>
        <w:ind w:left="2550" w:hanging="360"/>
      </w:pPr>
    </w:lvl>
    <w:lvl w:ilvl="4" w:tplc="140A0019" w:tentative="1">
      <w:start w:val="1"/>
      <w:numFmt w:val="lowerLetter"/>
      <w:lvlText w:val="%5."/>
      <w:lvlJc w:val="left"/>
      <w:pPr>
        <w:ind w:left="3270" w:hanging="360"/>
      </w:pPr>
    </w:lvl>
    <w:lvl w:ilvl="5" w:tplc="140A001B" w:tentative="1">
      <w:start w:val="1"/>
      <w:numFmt w:val="lowerRoman"/>
      <w:lvlText w:val="%6."/>
      <w:lvlJc w:val="right"/>
      <w:pPr>
        <w:ind w:left="3990" w:hanging="180"/>
      </w:pPr>
    </w:lvl>
    <w:lvl w:ilvl="6" w:tplc="140A000F" w:tentative="1">
      <w:start w:val="1"/>
      <w:numFmt w:val="decimal"/>
      <w:lvlText w:val="%7."/>
      <w:lvlJc w:val="left"/>
      <w:pPr>
        <w:ind w:left="4710" w:hanging="360"/>
      </w:pPr>
    </w:lvl>
    <w:lvl w:ilvl="7" w:tplc="140A0019" w:tentative="1">
      <w:start w:val="1"/>
      <w:numFmt w:val="lowerLetter"/>
      <w:lvlText w:val="%8."/>
      <w:lvlJc w:val="left"/>
      <w:pPr>
        <w:ind w:left="5430" w:hanging="360"/>
      </w:pPr>
    </w:lvl>
    <w:lvl w:ilvl="8" w:tplc="140A001B" w:tentative="1">
      <w:start w:val="1"/>
      <w:numFmt w:val="lowerRoman"/>
      <w:lvlText w:val="%9."/>
      <w:lvlJc w:val="right"/>
      <w:pPr>
        <w:ind w:left="6150" w:hanging="180"/>
      </w:pPr>
    </w:lvl>
  </w:abstractNum>
  <w:abstractNum w:abstractNumId="29" w15:restartNumberingAfterBreak="0">
    <w:nsid w:val="603E6E77"/>
    <w:multiLevelType w:val="hybridMultilevel"/>
    <w:tmpl w:val="7A3CF598"/>
    <w:lvl w:ilvl="0" w:tplc="140A0017">
      <w:start w:val="1"/>
      <w:numFmt w:val="lowerLetter"/>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60DC284E"/>
    <w:multiLevelType w:val="hybridMultilevel"/>
    <w:tmpl w:val="89920CAE"/>
    <w:lvl w:ilvl="0" w:tplc="9900014C">
      <w:start w:val="1"/>
      <w:numFmt w:val="decimal"/>
      <w:lvlText w:val="%1."/>
      <w:lvlJc w:val="left"/>
      <w:pPr>
        <w:ind w:left="1065" w:hanging="705"/>
      </w:pPr>
      <w:rPr>
        <w:rFonts w:hint="default"/>
        <w:b w:val="0"/>
        <w:i w:val="0"/>
        <w:strike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FE1A7E"/>
    <w:multiLevelType w:val="hybridMultilevel"/>
    <w:tmpl w:val="E2CEBAD4"/>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63DA7705"/>
    <w:multiLevelType w:val="hybridMultilevel"/>
    <w:tmpl w:val="97D6604C"/>
    <w:lvl w:ilvl="0" w:tplc="3022133E">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644A3AE0"/>
    <w:multiLevelType w:val="hybridMultilevel"/>
    <w:tmpl w:val="C778E7B0"/>
    <w:lvl w:ilvl="0" w:tplc="C0806D4C">
      <w:start w:val="1"/>
      <w:numFmt w:val="decimal"/>
      <w:lvlText w:val="%1."/>
      <w:lvlJc w:val="left"/>
      <w:pPr>
        <w:ind w:left="1065" w:hanging="705"/>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DC0B37"/>
    <w:multiLevelType w:val="hybridMultilevel"/>
    <w:tmpl w:val="0158E316"/>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671150A3"/>
    <w:multiLevelType w:val="hybridMultilevel"/>
    <w:tmpl w:val="AC5E42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E737057"/>
    <w:multiLevelType w:val="hybridMultilevel"/>
    <w:tmpl w:val="F75C2A6C"/>
    <w:lvl w:ilvl="0" w:tplc="B5B45F28">
      <w:start w:val="133"/>
      <w:numFmt w:val="decimal"/>
      <w:lvlText w:val="%1."/>
      <w:lvlJc w:val="left"/>
      <w:pPr>
        <w:ind w:left="1636" w:hanging="360"/>
      </w:pPr>
      <w:rPr>
        <w:rFonts w:ascii="Verdana" w:hAnsi="Verdana" w:hint="default"/>
        <w:b w:val="0"/>
        <w:i w:val="0"/>
        <w:strike w:val="0"/>
        <w:color w:val="auto"/>
        <w:sz w:val="20"/>
        <w:szCs w:val="20"/>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15:restartNumberingAfterBreak="0">
    <w:nsid w:val="6FDB7CB6"/>
    <w:multiLevelType w:val="hybridMultilevel"/>
    <w:tmpl w:val="8A4C2640"/>
    <w:lvl w:ilvl="0" w:tplc="71C86808">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956704"/>
    <w:multiLevelType w:val="hybridMultilevel"/>
    <w:tmpl w:val="9A22B43C"/>
    <w:lvl w:ilvl="0" w:tplc="1D64D56A">
      <w:start w:val="4"/>
      <w:numFmt w:val="upperLetter"/>
      <w:lvlText w:val="%1)"/>
      <w:lvlJc w:val="left"/>
      <w:pPr>
        <w:ind w:left="315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9" w15:restartNumberingAfterBreak="0">
    <w:nsid w:val="73CB14A5"/>
    <w:multiLevelType w:val="hybridMultilevel"/>
    <w:tmpl w:val="6706D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1B4BFB"/>
    <w:multiLevelType w:val="hybridMultilevel"/>
    <w:tmpl w:val="DECCD842"/>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1" w15:restartNumberingAfterBreak="0">
    <w:nsid w:val="75367767"/>
    <w:multiLevelType w:val="hybridMultilevel"/>
    <w:tmpl w:val="D5C0B79C"/>
    <w:lvl w:ilvl="0" w:tplc="90407CE4">
      <w:start w:val="1"/>
      <w:numFmt w:val="upp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42" w15:restartNumberingAfterBreak="0">
    <w:nsid w:val="76AE3C59"/>
    <w:multiLevelType w:val="hybridMultilevel"/>
    <w:tmpl w:val="3926DE7C"/>
    <w:lvl w:ilvl="0" w:tplc="CCC88D60">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43" w15:restartNumberingAfterBreak="0">
    <w:nsid w:val="7983635B"/>
    <w:multiLevelType w:val="hybridMultilevel"/>
    <w:tmpl w:val="87B0CF40"/>
    <w:lvl w:ilvl="0" w:tplc="7F5A2206">
      <w:start w:val="1"/>
      <w:numFmt w:val="decimal"/>
      <w:lvlText w:val="%1."/>
      <w:lvlJc w:val="left"/>
      <w:pPr>
        <w:ind w:left="4046" w:hanging="360"/>
      </w:pPr>
      <w:rPr>
        <w:rFonts w:ascii="Verdana" w:hAnsi="Verdana" w:hint="default"/>
        <w:b w:val="0"/>
        <w:i w:val="0"/>
        <w:strike w:val="0"/>
        <w:color w:val="auto"/>
        <w:sz w:val="20"/>
        <w:szCs w:val="20"/>
      </w:rPr>
    </w:lvl>
    <w:lvl w:ilvl="1" w:tplc="140A0019">
      <w:start w:val="1"/>
      <w:numFmt w:val="lowerLetter"/>
      <w:lvlText w:val="%2."/>
      <w:lvlJc w:val="left"/>
      <w:pPr>
        <w:ind w:left="-7916" w:hanging="360"/>
      </w:pPr>
    </w:lvl>
    <w:lvl w:ilvl="2" w:tplc="140A001B">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44" w15:restartNumberingAfterBreak="0">
    <w:nsid w:val="7BB77A79"/>
    <w:multiLevelType w:val="hybridMultilevel"/>
    <w:tmpl w:val="9A9E27DC"/>
    <w:lvl w:ilvl="0" w:tplc="542EC7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43"/>
  </w:num>
  <w:num w:numId="3">
    <w:abstractNumId w:val="5"/>
  </w:num>
  <w:num w:numId="4">
    <w:abstractNumId w:val="13"/>
  </w:num>
  <w:num w:numId="5">
    <w:abstractNumId w:val="40"/>
  </w:num>
  <w:num w:numId="6">
    <w:abstractNumId w:val="35"/>
  </w:num>
  <w:num w:numId="7">
    <w:abstractNumId w:val="34"/>
  </w:num>
  <w:num w:numId="8">
    <w:abstractNumId w:val="26"/>
  </w:num>
  <w:num w:numId="9">
    <w:abstractNumId w:val="44"/>
  </w:num>
  <w:num w:numId="10">
    <w:abstractNumId w:val="7"/>
  </w:num>
  <w:num w:numId="11">
    <w:abstractNumId w:val="18"/>
  </w:num>
  <w:num w:numId="12">
    <w:abstractNumId w:val="25"/>
  </w:num>
  <w:num w:numId="13">
    <w:abstractNumId w:val="28"/>
  </w:num>
  <w:num w:numId="14">
    <w:abstractNumId w:val="39"/>
  </w:num>
  <w:num w:numId="15">
    <w:abstractNumId w:val="33"/>
  </w:num>
  <w:num w:numId="16">
    <w:abstractNumId w:val="3"/>
  </w:num>
  <w:num w:numId="17">
    <w:abstractNumId w:val="20"/>
  </w:num>
  <w:num w:numId="18">
    <w:abstractNumId w:val="41"/>
  </w:num>
  <w:num w:numId="19">
    <w:abstractNumId w:val="31"/>
  </w:num>
  <w:num w:numId="20">
    <w:abstractNumId w:val="22"/>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9"/>
  </w:num>
  <w:num w:numId="24">
    <w:abstractNumId w:val="1"/>
  </w:num>
  <w:num w:numId="25">
    <w:abstractNumId w:val="29"/>
  </w:num>
  <w:num w:numId="26">
    <w:abstractNumId w:val="37"/>
  </w:num>
  <w:num w:numId="27">
    <w:abstractNumId w:val="17"/>
  </w:num>
  <w:num w:numId="28">
    <w:abstractNumId w:val="8"/>
  </w:num>
  <w:num w:numId="29">
    <w:abstractNumId w:val="10"/>
  </w:num>
  <w:num w:numId="30">
    <w:abstractNumId w:val="23"/>
  </w:num>
  <w:num w:numId="31">
    <w:abstractNumId w:val="11"/>
  </w:num>
  <w:num w:numId="32">
    <w:abstractNumId w:val="14"/>
  </w:num>
  <w:num w:numId="33">
    <w:abstractNumId w:val="15"/>
  </w:num>
  <w:num w:numId="34">
    <w:abstractNumId w:val="4"/>
  </w:num>
  <w:num w:numId="35">
    <w:abstractNumId w:val="32"/>
  </w:num>
  <w:num w:numId="36">
    <w:abstractNumId w:val="6"/>
  </w:num>
  <w:num w:numId="37">
    <w:abstractNumId w:val="19"/>
  </w:num>
  <w:num w:numId="38">
    <w:abstractNumId w:val="21"/>
  </w:num>
  <w:num w:numId="39">
    <w:abstractNumId w:val="16"/>
  </w:num>
  <w:num w:numId="40">
    <w:abstractNumId w:val="2"/>
  </w:num>
  <w:num w:numId="41">
    <w:abstractNumId w:val="12"/>
  </w:num>
  <w:num w:numId="42">
    <w:abstractNumId w:val="0"/>
  </w:num>
  <w:num w:numId="43">
    <w:abstractNumId w:val="24"/>
  </w:num>
  <w:num w:numId="4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num>
  <w:num w:numId="47">
    <w:abstractNumId w:val="16"/>
    <w:lvlOverride w:ilvl="0">
      <w:startOverride w:val="1"/>
    </w:lvlOverride>
  </w:num>
  <w:num w:numId="48">
    <w:abstractNumId w:val="42"/>
  </w:num>
  <w:num w:numId="49">
    <w:abstractNumId w:val="23"/>
  </w:num>
  <w:num w:numId="50">
    <w:abstractNumId w:val="3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28B"/>
    <w:rsid w:val="00000208"/>
    <w:rsid w:val="000004E2"/>
    <w:rsid w:val="000015B3"/>
    <w:rsid w:val="000016C3"/>
    <w:rsid w:val="00001D43"/>
    <w:rsid w:val="00003AF7"/>
    <w:rsid w:val="00004B91"/>
    <w:rsid w:val="00004C95"/>
    <w:rsid w:val="00005DE0"/>
    <w:rsid w:val="00005E69"/>
    <w:rsid w:val="00007A43"/>
    <w:rsid w:val="00007D4B"/>
    <w:rsid w:val="00010162"/>
    <w:rsid w:val="000105FF"/>
    <w:rsid w:val="00010DBA"/>
    <w:rsid w:val="00011002"/>
    <w:rsid w:val="00012504"/>
    <w:rsid w:val="00013A85"/>
    <w:rsid w:val="0001503F"/>
    <w:rsid w:val="000151DF"/>
    <w:rsid w:val="00015345"/>
    <w:rsid w:val="00015542"/>
    <w:rsid w:val="00016EA5"/>
    <w:rsid w:val="0001729A"/>
    <w:rsid w:val="00020ABC"/>
    <w:rsid w:val="00021BFF"/>
    <w:rsid w:val="00021CFE"/>
    <w:rsid w:val="000222BF"/>
    <w:rsid w:val="0002240C"/>
    <w:rsid w:val="00022856"/>
    <w:rsid w:val="000228FF"/>
    <w:rsid w:val="00022A85"/>
    <w:rsid w:val="00022CD1"/>
    <w:rsid w:val="00022D86"/>
    <w:rsid w:val="00023395"/>
    <w:rsid w:val="00023B81"/>
    <w:rsid w:val="00024326"/>
    <w:rsid w:val="000246D5"/>
    <w:rsid w:val="00024A6C"/>
    <w:rsid w:val="00025FCA"/>
    <w:rsid w:val="000273BA"/>
    <w:rsid w:val="000273E2"/>
    <w:rsid w:val="00030BF1"/>
    <w:rsid w:val="00030E31"/>
    <w:rsid w:val="00030FB8"/>
    <w:rsid w:val="00030FD6"/>
    <w:rsid w:val="0003178F"/>
    <w:rsid w:val="000323FD"/>
    <w:rsid w:val="00032438"/>
    <w:rsid w:val="0003342F"/>
    <w:rsid w:val="00034B99"/>
    <w:rsid w:val="00035BD4"/>
    <w:rsid w:val="00035F5F"/>
    <w:rsid w:val="0003618E"/>
    <w:rsid w:val="0003671D"/>
    <w:rsid w:val="00036BB0"/>
    <w:rsid w:val="000374A8"/>
    <w:rsid w:val="00040DA0"/>
    <w:rsid w:val="0004124B"/>
    <w:rsid w:val="00041A2A"/>
    <w:rsid w:val="00041A7C"/>
    <w:rsid w:val="000420CA"/>
    <w:rsid w:val="00042B5D"/>
    <w:rsid w:val="000439E5"/>
    <w:rsid w:val="00043EDC"/>
    <w:rsid w:val="00044234"/>
    <w:rsid w:val="00044832"/>
    <w:rsid w:val="000448FC"/>
    <w:rsid w:val="00044AF5"/>
    <w:rsid w:val="00045477"/>
    <w:rsid w:val="000458DD"/>
    <w:rsid w:val="00046983"/>
    <w:rsid w:val="00046FE7"/>
    <w:rsid w:val="000473DC"/>
    <w:rsid w:val="00047622"/>
    <w:rsid w:val="000507DE"/>
    <w:rsid w:val="000514FB"/>
    <w:rsid w:val="000519A7"/>
    <w:rsid w:val="0005211D"/>
    <w:rsid w:val="00052874"/>
    <w:rsid w:val="000530C1"/>
    <w:rsid w:val="00053130"/>
    <w:rsid w:val="000536D3"/>
    <w:rsid w:val="000541BB"/>
    <w:rsid w:val="00054C3A"/>
    <w:rsid w:val="00054C92"/>
    <w:rsid w:val="00054D2D"/>
    <w:rsid w:val="000552EC"/>
    <w:rsid w:val="00055452"/>
    <w:rsid w:val="000572FD"/>
    <w:rsid w:val="0005757C"/>
    <w:rsid w:val="00057F9E"/>
    <w:rsid w:val="000610B5"/>
    <w:rsid w:val="00062500"/>
    <w:rsid w:val="00063305"/>
    <w:rsid w:val="0006358C"/>
    <w:rsid w:val="000636BE"/>
    <w:rsid w:val="000637DB"/>
    <w:rsid w:val="00063B99"/>
    <w:rsid w:val="00065A08"/>
    <w:rsid w:val="000660A0"/>
    <w:rsid w:val="00066369"/>
    <w:rsid w:val="0006644E"/>
    <w:rsid w:val="00066726"/>
    <w:rsid w:val="000668C8"/>
    <w:rsid w:val="00066B51"/>
    <w:rsid w:val="00066EAC"/>
    <w:rsid w:val="0006766F"/>
    <w:rsid w:val="0006793C"/>
    <w:rsid w:val="00067F70"/>
    <w:rsid w:val="00071159"/>
    <w:rsid w:val="00071564"/>
    <w:rsid w:val="00071650"/>
    <w:rsid w:val="00071D0B"/>
    <w:rsid w:val="00072298"/>
    <w:rsid w:val="00073280"/>
    <w:rsid w:val="00073FC7"/>
    <w:rsid w:val="00074B9A"/>
    <w:rsid w:val="00075021"/>
    <w:rsid w:val="00076263"/>
    <w:rsid w:val="00076C8A"/>
    <w:rsid w:val="0007758B"/>
    <w:rsid w:val="0008020F"/>
    <w:rsid w:val="00080EEB"/>
    <w:rsid w:val="00080F50"/>
    <w:rsid w:val="000814DF"/>
    <w:rsid w:val="00081C1F"/>
    <w:rsid w:val="00081CEC"/>
    <w:rsid w:val="00081FDD"/>
    <w:rsid w:val="00083074"/>
    <w:rsid w:val="00083525"/>
    <w:rsid w:val="00083604"/>
    <w:rsid w:val="00083A32"/>
    <w:rsid w:val="00083CFA"/>
    <w:rsid w:val="00084340"/>
    <w:rsid w:val="000849E1"/>
    <w:rsid w:val="00085E89"/>
    <w:rsid w:val="000866F7"/>
    <w:rsid w:val="00086AAB"/>
    <w:rsid w:val="00086FD6"/>
    <w:rsid w:val="00087B63"/>
    <w:rsid w:val="00087D31"/>
    <w:rsid w:val="00090848"/>
    <w:rsid w:val="00090966"/>
    <w:rsid w:val="00091555"/>
    <w:rsid w:val="00092287"/>
    <w:rsid w:val="00092655"/>
    <w:rsid w:val="00093107"/>
    <w:rsid w:val="00093BAD"/>
    <w:rsid w:val="00094464"/>
    <w:rsid w:val="00094685"/>
    <w:rsid w:val="00094982"/>
    <w:rsid w:val="00094A76"/>
    <w:rsid w:val="00094E6A"/>
    <w:rsid w:val="00095EA1"/>
    <w:rsid w:val="000961BF"/>
    <w:rsid w:val="000966B1"/>
    <w:rsid w:val="00096E10"/>
    <w:rsid w:val="00097219"/>
    <w:rsid w:val="000973D3"/>
    <w:rsid w:val="000A0029"/>
    <w:rsid w:val="000A168E"/>
    <w:rsid w:val="000A19F9"/>
    <w:rsid w:val="000A22F0"/>
    <w:rsid w:val="000A24C0"/>
    <w:rsid w:val="000A3646"/>
    <w:rsid w:val="000A3A73"/>
    <w:rsid w:val="000A3DD6"/>
    <w:rsid w:val="000A429F"/>
    <w:rsid w:val="000A4BBC"/>
    <w:rsid w:val="000A565C"/>
    <w:rsid w:val="000A5B34"/>
    <w:rsid w:val="000A6382"/>
    <w:rsid w:val="000A6781"/>
    <w:rsid w:val="000A6B18"/>
    <w:rsid w:val="000B026D"/>
    <w:rsid w:val="000B06F8"/>
    <w:rsid w:val="000B0727"/>
    <w:rsid w:val="000B0E1C"/>
    <w:rsid w:val="000B1890"/>
    <w:rsid w:val="000B20F1"/>
    <w:rsid w:val="000B3A27"/>
    <w:rsid w:val="000B4126"/>
    <w:rsid w:val="000B41CB"/>
    <w:rsid w:val="000B5057"/>
    <w:rsid w:val="000B560C"/>
    <w:rsid w:val="000B562B"/>
    <w:rsid w:val="000B5905"/>
    <w:rsid w:val="000B5CD2"/>
    <w:rsid w:val="000B5D9E"/>
    <w:rsid w:val="000B601C"/>
    <w:rsid w:val="000B60C5"/>
    <w:rsid w:val="000B6A05"/>
    <w:rsid w:val="000B6D07"/>
    <w:rsid w:val="000B7580"/>
    <w:rsid w:val="000C026C"/>
    <w:rsid w:val="000C0CC3"/>
    <w:rsid w:val="000C1081"/>
    <w:rsid w:val="000C1576"/>
    <w:rsid w:val="000C1769"/>
    <w:rsid w:val="000C1D57"/>
    <w:rsid w:val="000C288F"/>
    <w:rsid w:val="000C330A"/>
    <w:rsid w:val="000C3463"/>
    <w:rsid w:val="000C3935"/>
    <w:rsid w:val="000C3985"/>
    <w:rsid w:val="000C4F7A"/>
    <w:rsid w:val="000C5082"/>
    <w:rsid w:val="000C55EF"/>
    <w:rsid w:val="000C5E2B"/>
    <w:rsid w:val="000C60AD"/>
    <w:rsid w:val="000C64A1"/>
    <w:rsid w:val="000C6BF9"/>
    <w:rsid w:val="000C7F71"/>
    <w:rsid w:val="000D084E"/>
    <w:rsid w:val="000D14D8"/>
    <w:rsid w:val="000D19BB"/>
    <w:rsid w:val="000D20C8"/>
    <w:rsid w:val="000D2493"/>
    <w:rsid w:val="000D2E48"/>
    <w:rsid w:val="000D5F11"/>
    <w:rsid w:val="000D69CB"/>
    <w:rsid w:val="000D7747"/>
    <w:rsid w:val="000D78A0"/>
    <w:rsid w:val="000E0282"/>
    <w:rsid w:val="000E03B4"/>
    <w:rsid w:val="000E04FA"/>
    <w:rsid w:val="000E06FF"/>
    <w:rsid w:val="000E0B5D"/>
    <w:rsid w:val="000E0E09"/>
    <w:rsid w:val="000E1113"/>
    <w:rsid w:val="000E14B7"/>
    <w:rsid w:val="000E1544"/>
    <w:rsid w:val="000E1577"/>
    <w:rsid w:val="000E1721"/>
    <w:rsid w:val="000E1FD6"/>
    <w:rsid w:val="000E2492"/>
    <w:rsid w:val="000E290E"/>
    <w:rsid w:val="000E2D03"/>
    <w:rsid w:val="000E2D17"/>
    <w:rsid w:val="000E3EA1"/>
    <w:rsid w:val="000E4277"/>
    <w:rsid w:val="000E5997"/>
    <w:rsid w:val="000E59A2"/>
    <w:rsid w:val="000E5ACA"/>
    <w:rsid w:val="000E7169"/>
    <w:rsid w:val="000E71F6"/>
    <w:rsid w:val="000E7275"/>
    <w:rsid w:val="000E75EE"/>
    <w:rsid w:val="000E7FDA"/>
    <w:rsid w:val="000F0145"/>
    <w:rsid w:val="000F123C"/>
    <w:rsid w:val="000F1382"/>
    <w:rsid w:val="000F13E9"/>
    <w:rsid w:val="000F1B26"/>
    <w:rsid w:val="000F21F4"/>
    <w:rsid w:val="000F248B"/>
    <w:rsid w:val="000F36EB"/>
    <w:rsid w:val="000F3A5F"/>
    <w:rsid w:val="000F4029"/>
    <w:rsid w:val="000F40F0"/>
    <w:rsid w:val="000F41E3"/>
    <w:rsid w:val="000F4957"/>
    <w:rsid w:val="000F57F4"/>
    <w:rsid w:val="000F5AE8"/>
    <w:rsid w:val="000F5BA1"/>
    <w:rsid w:val="000F5BC7"/>
    <w:rsid w:val="000F5C32"/>
    <w:rsid w:val="000F5E90"/>
    <w:rsid w:val="000F6139"/>
    <w:rsid w:val="000F62F1"/>
    <w:rsid w:val="000F674F"/>
    <w:rsid w:val="000F6E72"/>
    <w:rsid w:val="001009E8"/>
    <w:rsid w:val="00100BBA"/>
    <w:rsid w:val="00100CA7"/>
    <w:rsid w:val="0010129D"/>
    <w:rsid w:val="001015F2"/>
    <w:rsid w:val="00101909"/>
    <w:rsid w:val="00102118"/>
    <w:rsid w:val="0010215B"/>
    <w:rsid w:val="00103853"/>
    <w:rsid w:val="00103EB3"/>
    <w:rsid w:val="00103F1A"/>
    <w:rsid w:val="00104103"/>
    <w:rsid w:val="0010481F"/>
    <w:rsid w:val="001061DD"/>
    <w:rsid w:val="00106309"/>
    <w:rsid w:val="001063F6"/>
    <w:rsid w:val="00107699"/>
    <w:rsid w:val="001106B4"/>
    <w:rsid w:val="00110E3E"/>
    <w:rsid w:val="00110E40"/>
    <w:rsid w:val="00112515"/>
    <w:rsid w:val="00112560"/>
    <w:rsid w:val="00112782"/>
    <w:rsid w:val="001129DF"/>
    <w:rsid w:val="00112A2B"/>
    <w:rsid w:val="00112FBA"/>
    <w:rsid w:val="001132FA"/>
    <w:rsid w:val="001135E4"/>
    <w:rsid w:val="0011433F"/>
    <w:rsid w:val="00120781"/>
    <w:rsid w:val="00120901"/>
    <w:rsid w:val="00120FD8"/>
    <w:rsid w:val="00121113"/>
    <w:rsid w:val="001214C2"/>
    <w:rsid w:val="001224FC"/>
    <w:rsid w:val="00124215"/>
    <w:rsid w:val="001242DE"/>
    <w:rsid w:val="0012451A"/>
    <w:rsid w:val="00124C8B"/>
    <w:rsid w:val="00124FDF"/>
    <w:rsid w:val="001258A4"/>
    <w:rsid w:val="001258C4"/>
    <w:rsid w:val="00126092"/>
    <w:rsid w:val="00126845"/>
    <w:rsid w:val="00127590"/>
    <w:rsid w:val="00127E07"/>
    <w:rsid w:val="00130044"/>
    <w:rsid w:val="001300C7"/>
    <w:rsid w:val="00130FD0"/>
    <w:rsid w:val="001318B4"/>
    <w:rsid w:val="00131F13"/>
    <w:rsid w:val="00133069"/>
    <w:rsid w:val="00133D70"/>
    <w:rsid w:val="0013423E"/>
    <w:rsid w:val="0013433F"/>
    <w:rsid w:val="00135DCE"/>
    <w:rsid w:val="001363EF"/>
    <w:rsid w:val="001365C0"/>
    <w:rsid w:val="001369A7"/>
    <w:rsid w:val="00136FFA"/>
    <w:rsid w:val="00137AA0"/>
    <w:rsid w:val="00137E67"/>
    <w:rsid w:val="00137F95"/>
    <w:rsid w:val="00140342"/>
    <w:rsid w:val="00140EF1"/>
    <w:rsid w:val="00141250"/>
    <w:rsid w:val="001418EE"/>
    <w:rsid w:val="00141D50"/>
    <w:rsid w:val="00142BAA"/>
    <w:rsid w:val="00142D37"/>
    <w:rsid w:val="00144012"/>
    <w:rsid w:val="001441FF"/>
    <w:rsid w:val="0014461B"/>
    <w:rsid w:val="0014481F"/>
    <w:rsid w:val="00144ED7"/>
    <w:rsid w:val="0014594D"/>
    <w:rsid w:val="00145A8F"/>
    <w:rsid w:val="00145C00"/>
    <w:rsid w:val="0015053A"/>
    <w:rsid w:val="00150C13"/>
    <w:rsid w:val="00150E7F"/>
    <w:rsid w:val="00151419"/>
    <w:rsid w:val="00151492"/>
    <w:rsid w:val="00151503"/>
    <w:rsid w:val="00151D99"/>
    <w:rsid w:val="00151F7F"/>
    <w:rsid w:val="001522B6"/>
    <w:rsid w:val="0015285C"/>
    <w:rsid w:val="00153BBA"/>
    <w:rsid w:val="00154833"/>
    <w:rsid w:val="00154C47"/>
    <w:rsid w:val="00154F96"/>
    <w:rsid w:val="00155135"/>
    <w:rsid w:val="00155232"/>
    <w:rsid w:val="0015540D"/>
    <w:rsid w:val="0015549C"/>
    <w:rsid w:val="00155623"/>
    <w:rsid w:val="00155E5C"/>
    <w:rsid w:val="00155FBF"/>
    <w:rsid w:val="00156363"/>
    <w:rsid w:val="00156872"/>
    <w:rsid w:val="00156EA2"/>
    <w:rsid w:val="0016079C"/>
    <w:rsid w:val="00161189"/>
    <w:rsid w:val="00161FB5"/>
    <w:rsid w:val="00162DFE"/>
    <w:rsid w:val="00162E90"/>
    <w:rsid w:val="00162F25"/>
    <w:rsid w:val="00163FD3"/>
    <w:rsid w:val="00164180"/>
    <w:rsid w:val="0016513A"/>
    <w:rsid w:val="00165408"/>
    <w:rsid w:val="00166020"/>
    <w:rsid w:val="001663B5"/>
    <w:rsid w:val="00166691"/>
    <w:rsid w:val="00166766"/>
    <w:rsid w:val="001669AD"/>
    <w:rsid w:val="00167174"/>
    <w:rsid w:val="00170332"/>
    <w:rsid w:val="00170A19"/>
    <w:rsid w:val="0017118F"/>
    <w:rsid w:val="001722F3"/>
    <w:rsid w:val="00172400"/>
    <w:rsid w:val="00172AD3"/>
    <w:rsid w:val="00173066"/>
    <w:rsid w:val="0017326F"/>
    <w:rsid w:val="0017453F"/>
    <w:rsid w:val="00174C7B"/>
    <w:rsid w:val="00174E04"/>
    <w:rsid w:val="0017570A"/>
    <w:rsid w:val="00175853"/>
    <w:rsid w:val="00175BF9"/>
    <w:rsid w:val="001761AB"/>
    <w:rsid w:val="00176A1D"/>
    <w:rsid w:val="001772F5"/>
    <w:rsid w:val="001802D2"/>
    <w:rsid w:val="0018042E"/>
    <w:rsid w:val="00180A38"/>
    <w:rsid w:val="00180AD8"/>
    <w:rsid w:val="00181BA1"/>
    <w:rsid w:val="001823F1"/>
    <w:rsid w:val="001826B5"/>
    <w:rsid w:val="00183A36"/>
    <w:rsid w:val="00183A43"/>
    <w:rsid w:val="00183F28"/>
    <w:rsid w:val="00183FAD"/>
    <w:rsid w:val="0018425E"/>
    <w:rsid w:val="0018457F"/>
    <w:rsid w:val="00184D55"/>
    <w:rsid w:val="00185561"/>
    <w:rsid w:val="00186119"/>
    <w:rsid w:val="001861B0"/>
    <w:rsid w:val="0018620F"/>
    <w:rsid w:val="00186D69"/>
    <w:rsid w:val="00186F09"/>
    <w:rsid w:val="00187039"/>
    <w:rsid w:val="0018776E"/>
    <w:rsid w:val="00187EB3"/>
    <w:rsid w:val="00191D77"/>
    <w:rsid w:val="001920EC"/>
    <w:rsid w:val="0019284C"/>
    <w:rsid w:val="00192F06"/>
    <w:rsid w:val="0019360E"/>
    <w:rsid w:val="001946E6"/>
    <w:rsid w:val="00194E5F"/>
    <w:rsid w:val="00194EA2"/>
    <w:rsid w:val="001950A1"/>
    <w:rsid w:val="00195914"/>
    <w:rsid w:val="00195CF2"/>
    <w:rsid w:val="00195ED3"/>
    <w:rsid w:val="00197443"/>
    <w:rsid w:val="001A02BA"/>
    <w:rsid w:val="001A06C1"/>
    <w:rsid w:val="001A1434"/>
    <w:rsid w:val="001A1652"/>
    <w:rsid w:val="001A1B5F"/>
    <w:rsid w:val="001A20A3"/>
    <w:rsid w:val="001A3F73"/>
    <w:rsid w:val="001A416B"/>
    <w:rsid w:val="001A5845"/>
    <w:rsid w:val="001A5D15"/>
    <w:rsid w:val="001A5D69"/>
    <w:rsid w:val="001A615C"/>
    <w:rsid w:val="001A6483"/>
    <w:rsid w:val="001A6D9C"/>
    <w:rsid w:val="001A6FBD"/>
    <w:rsid w:val="001A747B"/>
    <w:rsid w:val="001A7752"/>
    <w:rsid w:val="001A7781"/>
    <w:rsid w:val="001A7796"/>
    <w:rsid w:val="001A7B72"/>
    <w:rsid w:val="001B0500"/>
    <w:rsid w:val="001B0D9F"/>
    <w:rsid w:val="001B0F9B"/>
    <w:rsid w:val="001B1D58"/>
    <w:rsid w:val="001B25DC"/>
    <w:rsid w:val="001B2BD6"/>
    <w:rsid w:val="001B398E"/>
    <w:rsid w:val="001B3DF9"/>
    <w:rsid w:val="001B443F"/>
    <w:rsid w:val="001B4AD0"/>
    <w:rsid w:val="001B5C99"/>
    <w:rsid w:val="001C04F9"/>
    <w:rsid w:val="001C06B6"/>
    <w:rsid w:val="001C06E7"/>
    <w:rsid w:val="001C1490"/>
    <w:rsid w:val="001C1D82"/>
    <w:rsid w:val="001C2647"/>
    <w:rsid w:val="001C2959"/>
    <w:rsid w:val="001C2BF7"/>
    <w:rsid w:val="001C2F7F"/>
    <w:rsid w:val="001C33B0"/>
    <w:rsid w:val="001C43C7"/>
    <w:rsid w:val="001C46B1"/>
    <w:rsid w:val="001C521C"/>
    <w:rsid w:val="001C59CE"/>
    <w:rsid w:val="001C5BE2"/>
    <w:rsid w:val="001C6966"/>
    <w:rsid w:val="001C696F"/>
    <w:rsid w:val="001C6BDE"/>
    <w:rsid w:val="001C6E88"/>
    <w:rsid w:val="001C7142"/>
    <w:rsid w:val="001C731E"/>
    <w:rsid w:val="001C769E"/>
    <w:rsid w:val="001C76BE"/>
    <w:rsid w:val="001C7C19"/>
    <w:rsid w:val="001C7CBE"/>
    <w:rsid w:val="001C7E0B"/>
    <w:rsid w:val="001D0684"/>
    <w:rsid w:val="001D080A"/>
    <w:rsid w:val="001D143C"/>
    <w:rsid w:val="001D1A7E"/>
    <w:rsid w:val="001D216C"/>
    <w:rsid w:val="001D21D1"/>
    <w:rsid w:val="001D279F"/>
    <w:rsid w:val="001D40B5"/>
    <w:rsid w:val="001D56E0"/>
    <w:rsid w:val="001D5F96"/>
    <w:rsid w:val="001D604E"/>
    <w:rsid w:val="001D62C5"/>
    <w:rsid w:val="001D68CD"/>
    <w:rsid w:val="001D794B"/>
    <w:rsid w:val="001E007E"/>
    <w:rsid w:val="001E04B4"/>
    <w:rsid w:val="001E0CE7"/>
    <w:rsid w:val="001E148B"/>
    <w:rsid w:val="001E16B0"/>
    <w:rsid w:val="001E193E"/>
    <w:rsid w:val="001E1B4D"/>
    <w:rsid w:val="001E2021"/>
    <w:rsid w:val="001E22C3"/>
    <w:rsid w:val="001E27DA"/>
    <w:rsid w:val="001E29F3"/>
    <w:rsid w:val="001E3395"/>
    <w:rsid w:val="001E3618"/>
    <w:rsid w:val="001E37A6"/>
    <w:rsid w:val="001E3866"/>
    <w:rsid w:val="001E3D09"/>
    <w:rsid w:val="001E3EB7"/>
    <w:rsid w:val="001E4C5F"/>
    <w:rsid w:val="001E4F61"/>
    <w:rsid w:val="001E51E2"/>
    <w:rsid w:val="001E567F"/>
    <w:rsid w:val="001E57AA"/>
    <w:rsid w:val="001E591E"/>
    <w:rsid w:val="001E5A27"/>
    <w:rsid w:val="001E6378"/>
    <w:rsid w:val="001E7004"/>
    <w:rsid w:val="001E77A5"/>
    <w:rsid w:val="001E7B0D"/>
    <w:rsid w:val="001E7CFB"/>
    <w:rsid w:val="001F00FD"/>
    <w:rsid w:val="001F0829"/>
    <w:rsid w:val="001F1668"/>
    <w:rsid w:val="001F19A2"/>
    <w:rsid w:val="001F1A25"/>
    <w:rsid w:val="001F2DD0"/>
    <w:rsid w:val="001F2F8F"/>
    <w:rsid w:val="001F37B3"/>
    <w:rsid w:val="001F3B5D"/>
    <w:rsid w:val="001F4225"/>
    <w:rsid w:val="001F499B"/>
    <w:rsid w:val="001F4A49"/>
    <w:rsid w:val="001F52A6"/>
    <w:rsid w:val="001F5EF3"/>
    <w:rsid w:val="001F61E5"/>
    <w:rsid w:val="001F65D7"/>
    <w:rsid w:val="001F6B5F"/>
    <w:rsid w:val="00200AD0"/>
    <w:rsid w:val="0020116B"/>
    <w:rsid w:val="00202135"/>
    <w:rsid w:val="00202566"/>
    <w:rsid w:val="00202B01"/>
    <w:rsid w:val="00202B8F"/>
    <w:rsid w:val="00203610"/>
    <w:rsid w:val="002038CA"/>
    <w:rsid w:val="0020670D"/>
    <w:rsid w:val="002070D8"/>
    <w:rsid w:val="00207738"/>
    <w:rsid w:val="00210EF0"/>
    <w:rsid w:val="00211063"/>
    <w:rsid w:val="00211354"/>
    <w:rsid w:val="0021168D"/>
    <w:rsid w:val="00211763"/>
    <w:rsid w:val="002120CB"/>
    <w:rsid w:val="00212438"/>
    <w:rsid w:val="002126CC"/>
    <w:rsid w:val="00212A1C"/>
    <w:rsid w:val="00212D40"/>
    <w:rsid w:val="00212D9C"/>
    <w:rsid w:val="00213F8A"/>
    <w:rsid w:val="002147DD"/>
    <w:rsid w:val="00214E7E"/>
    <w:rsid w:val="00214ED7"/>
    <w:rsid w:val="00215846"/>
    <w:rsid w:val="002160F5"/>
    <w:rsid w:val="002165B6"/>
    <w:rsid w:val="00216ACC"/>
    <w:rsid w:val="00216D8A"/>
    <w:rsid w:val="0021747F"/>
    <w:rsid w:val="0022036E"/>
    <w:rsid w:val="00220C43"/>
    <w:rsid w:val="00221431"/>
    <w:rsid w:val="00221FD0"/>
    <w:rsid w:val="002224BF"/>
    <w:rsid w:val="0022278C"/>
    <w:rsid w:val="00222B8F"/>
    <w:rsid w:val="00222CFE"/>
    <w:rsid w:val="0022386F"/>
    <w:rsid w:val="002245E4"/>
    <w:rsid w:val="00224709"/>
    <w:rsid w:val="0022511A"/>
    <w:rsid w:val="00225FCC"/>
    <w:rsid w:val="002263C2"/>
    <w:rsid w:val="00226C38"/>
    <w:rsid w:val="002307CA"/>
    <w:rsid w:val="00230B75"/>
    <w:rsid w:val="00230FC3"/>
    <w:rsid w:val="00231DC9"/>
    <w:rsid w:val="00231F06"/>
    <w:rsid w:val="00232F2B"/>
    <w:rsid w:val="00233342"/>
    <w:rsid w:val="0023377A"/>
    <w:rsid w:val="00233AF2"/>
    <w:rsid w:val="002349DE"/>
    <w:rsid w:val="00235925"/>
    <w:rsid w:val="00235FD5"/>
    <w:rsid w:val="00236204"/>
    <w:rsid w:val="0023627D"/>
    <w:rsid w:val="00237DF4"/>
    <w:rsid w:val="0024112B"/>
    <w:rsid w:val="0024187A"/>
    <w:rsid w:val="00241E6C"/>
    <w:rsid w:val="00242F73"/>
    <w:rsid w:val="002434EE"/>
    <w:rsid w:val="0024373C"/>
    <w:rsid w:val="00243A6D"/>
    <w:rsid w:val="00244BE6"/>
    <w:rsid w:val="00244E5F"/>
    <w:rsid w:val="0024591C"/>
    <w:rsid w:val="0024593B"/>
    <w:rsid w:val="00246EDA"/>
    <w:rsid w:val="0024797D"/>
    <w:rsid w:val="002500BA"/>
    <w:rsid w:val="00250251"/>
    <w:rsid w:val="00250FCD"/>
    <w:rsid w:val="00251187"/>
    <w:rsid w:val="0025121D"/>
    <w:rsid w:val="00252A9D"/>
    <w:rsid w:val="00255F71"/>
    <w:rsid w:val="00256F8B"/>
    <w:rsid w:val="0025759D"/>
    <w:rsid w:val="002600B3"/>
    <w:rsid w:val="002602ED"/>
    <w:rsid w:val="0026068C"/>
    <w:rsid w:val="00260A27"/>
    <w:rsid w:val="00260EBE"/>
    <w:rsid w:val="00260F54"/>
    <w:rsid w:val="00261D47"/>
    <w:rsid w:val="002624FD"/>
    <w:rsid w:val="00262B5D"/>
    <w:rsid w:val="00262CFA"/>
    <w:rsid w:val="00262D8D"/>
    <w:rsid w:val="00264654"/>
    <w:rsid w:val="00264AB4"/>
    <w:rsid w:val="00264C7C"/>
    <w:rsid w:val="00264F41"/>
    <w:rsid w:val="002655B9"/>
    <w:rsid w:val="00266065"/>
    <w:rsid w:val="0026691A"/>
    <w:rsid w:val="00266D80"/>
    <w:rsid w:val="002678D2"/>
    <w:rsid w:val="00270214"/>
    <w:rsid w:val="00270523"/>
    <w:rsid w:val="00272054"/>
    <w:rsid w:val="0027279F"/>
    <w:rsid w:val="00273030"/>
    <w:rsid w:val="00273A86"/>
    <w:rsid w:val="00273E29"/>
    <w:rsid w:val="00274575"/>
    <w:rsid w:val="0027466F"/>
    <w:rsid w:val="00274DAA"/>
    <w:rsid w:val="002750CD"/>
    <w:rsid w:val="002750E7"/>
    <w:rsid w:val="00275608"/>
    <w:rsid w:val="00276539"/>
    <w:rsid w:val="00276601"/>
    <w:rsid w:val="00276C3C"/>
    <w:rsid w:val="00277E35"/>
    <w:rsid w:val="0028007F"/>
    <w:rsid w:val="00281400"/>
    <w:rsid w:val="00281FA4"/>
    <w:rsid w:val="00282B70"/>
    <w:rsid w:val="00282BC6"/>
    <w:rsid w:val="00283F76"/>
    <w:rsid w:val="00284094"/>
    <w:rsid w:val="00284434"/>
    <w:rsid w:val="00285BBC"/>
    <w:rsid w:val="00285D75"/>
    <w:rsid w:val="00285DAA"/>
    <w:rsid w:val="00285E07"/>
    <w:rsid w:val="002863D4"/>
    <w:rsid w:val="00286CE9"/>
    <w:rsid w:val="00286EAD"/>
    <w:rsid w:val="00287AE7"/>
    <w:rsid w:val="00287C58"/>
    <w:rsid w:val="00290120"/>
    <w:rsid w:val="002925EB"/>
    <w:rsid w:val="00292D54"/>
    <w:rsid w:val="00293DD4"/>
    <w:rsid w:val="0029472D"/>
    <w:rsid w:val="00294AD2"/>
    <w:rsid w:val="0029594D"/>
    <w:rsid w:val="00295CCA"/>
    <w:rsid w:val="00295D53"/>
    <w:rsid w:val="00295F88"/>
    <w:rsid w:val="00297491"/>
    <w:rsid w:val="0029792B"/>
    <w:rsid w:val="00297E7E"/>
    <w:rsid w:val="002A02DE"/>
    <w:rsid w:val="002A0358"/>
    <w:rsid w:val="002A0936"/>
    <w:rsid w:val="002A288C"/>
    <w:rsid w:val="002A31CB"/>
    <w:rsid w:val="002A3320"/>
    <w:rsid w:val="002A3430"/>
    <w:rsid w:val="002A3FAA"/>
    <w:rsid w:val="002A44D3"/>
    <w:rsid w:val="002A4796"/>
    <w:rsid w:val="002A4B2F"/>
    <w:rsid w:val="002A4DD6"/>
    <w:rsid w:val="002A579B"/>
    <w:rsid w:val="002A5A9E"/>
    <w:rsid w:val="002A6A1A"/>
    <w:rsid w:val="002A6E15"/>
    <w:rsid w:val="002A78DE"/>
    <w:rsid w:val="002A795A"/>
    <w:rsid w:val="002A7DEE"/>
    <w:rsid w:val="002B0075"/>
    <w:rsid w:val="002B068C"/>
    <w:rsid w:val="002B0914"/>
    <w:rsid w:val="002B0F69"/>
    <w:rsid w:val="002B1D3F"/>
    <w:rsid w:val="002B3343"/>
    <w:rsid w:val="002B3E85"/>
    <w:rsid w:val="002B3F69"/>
    <w:rsid w:val="002B5441"/>
    <w:rsid w:val="002B5764"/>
    <w:rsid w:val="002B6A8D"/>
    <w:rsid w:val="002B6E44"/>
    <w:rsid w:val="002B7245"/>
    <w:rsid w:val="002C08C5"/>
    <w:rsid w:val="002C0C85"/>
    <w:rsid w:val="002C0E50"/>
    <w:rsid w:val="002C1901"/>
    <w:rsid w:val="002C295D"/>
    <w:rsid w:val="002C2C16"/>
    <w:rsid w:val="002C36BC"/>
    <w:rsid w:val="002C51A5"/>
    <w:rsid w:val="002C5DFC"/>
    <w:rsid w:val="002C67F0"/>
    <w:rsid w:val="002C6C6C"/>
    <w:rsid w:val="002C707E"/>
    <w:rsid w:val="002C7A4D"/>
    <w:rsid w:val="002D0BCD"/>
    <w:rsid w:val="002D22A2"/>
    <w:rsid w:val="002D2AA2"/>
    <w:rsid w:val="002D2F79"/>
    <w:rsid w:val="002D305F"/>
    <w:rsid w:val="002D3F27"/>
    <w:rsid w:val="002D40BA"/>
    <w:rsid w:val="002D40D2"/>
    <w:rsid w:val="002D40FE"/>
    <w:rsid w:val="002D4432"/>
    <w:rsid w:val="002D4A4B"/>
    <w:rsid w:val="002D5331"/>
    <w:rsid w:val="002D59B8"/>
    <w:rsid w:val="002D5A59"/>
    <w:rsid w:val="002D7331"/>
    <w:rsid w:val="002E041E"/>
    <w:rsid w:val="002E0B59"/>
    <w:rsid w:val="002E10BA"/>
    <w:rsid w:val="002E1181"/>
    <w:rsid w:val="002E1836"/>
    <w:rsid w:val="002E1A5B"/>
    <w:rsid w:val="002E1E87"/>
    <w:rsid w:val="002E2172"/>
    <w:rsid w:val="002E230D"/>
    <w:rsid w:val="002E2978"/>
    <w:rsid w:val="002E391A"/>
    <w:rsid w:val="002E3EA4"/>
    <w:rsid w:val="002E44A9"/>
    <w:rsid w:val="002E5389"/>
    <w:rsid w:val="002E54EA"/>
    <w:rsid w:val="002E55EE"/>
    <w:rsid w:val="002E5A8E"/>
    <w:rsid w:val="002E68B9"/>
    <w:rsid w:val="002E68D8"/>
    <w:rsid w:val="002E6CC1"/>
    <w:rsid w:val="002E6CE9"/>
    <w:rsid w:val="002E7188"/>
    <w:rsid w:val="002E7638"/>
    <w:rsid w:val="002E7D77"/>
    <w:rsid w:val="002F0031"/>
    <w:rsid w:val="002F02F8"/>
    <w:rsid w:val="002F14A6"/>
    <w:rsid w:val="002F19E5"/>
    <w:rsid w:val="002F1F14"/>
    <w:rsid w:val="002F21E1"/>
    <w:rsid w:val="002F22EB"/>
    <w:rsid w:val="002F2E16"/>
    <w:rsid w:val="002F2FDE"/>
    <w:rsid w:val="002F3DA1"/>
    <w:rsid w:val="002F463A"/>
    <w:rsid w:val="002F481D"/>
    <w:rsid w:val="002F4CAF"/>
    <w:rsid w:val="002F5269"/>
    <w:rsid w:val="002F5B5D"/>
    <w:rsid w:val="002F5CA3"/>
    <w:rsid w:val="002F6221"/>
    <w:rsid w:val="002F641F"/>
    <w:rsid w:val="002F6764"/>
    <w:rsid w:val="002F6D1B"/>
    <w:rsid w:val="002F7284"/>
    <w:rsid w:val="002F7576"/>
    <w:rsid w:val="002F7CAF"/>
    <w:rsid w:val="00301E05"/>
    <w:rsid w:val="00301FD3"/>
    <w:rsid w:val="0030334C"/>
    <w:rsid w:val="00303623"/>
    <w:rsid w:val="003038BE"/>
    <w:rsid w:val="00303E60"/>
    <w:rsid w:val="00304689"/>
    <w:rsid w:val="003048D9"/>
    <w:rsid w:val="00305B05"/>
    <w:rsid w:val="00306065"/>
    <w:rsid w:val="00306A78"/>
    <w:rsid w:val="00306F2D"/>
    <w:rsid w:val="00306F63"/>
    <w:rsid w:val="0030754C"/>
    <w:rsid w:val="0030780C"/>
    <w:rsid w:val="00307B79"/>
    <w:rsid w:val="00310534"/>
    <w:rsid w:val="00310A4A"/>
    <w:rsid w:val="00310AFD"/>
    <w:rsid w:val="00310E31"/>
    <w:rsid w:val="00310F3E"/>
    <w:rsid w:val="00311132"/>
    <w:rsid w:val="003117A8"/>
    <w:rsid w:val="00312F48"/>
    <w:rsid w:val="003133BC"/>
    <w:rsid w:val="00313AD8"/>
    <w:rsid w:val="00313CE3"/>
    <w:rsid w:val="00313F91"/>
    <w:rsid w:val="003143DA"/>
    <w:rsid w:val="00314E95"/>
    <w:rsid w:val="00315ACB"/>
    <w:rsid w:val="003167ED"/>
    <w:rsid w:val="003176CD"/>
    <w:rsid w:val="003202C7"/>
    <w:rsid w:val="00320559"/>
    <w:rsid w:val="0032068E"/>
    <w:rsid w:val="003209CA"/>
    <w:rsid w:val="00320D2E"/>
    <w:rsid w:val="00320E9C"/>
    <w:rsid w:val="00321351"/>
    <w:rsid w:val="003220EE"/>
    <w:rsid w:val="0032352F"/>
    <w:rsid w:val="0032354D"/>
    <w:rsid w:val="003247A5"/>
    <w:rsid w:val="00324978"/>
    <w:rsid w:val="00324C8F"/>
    <w:rsid w:val="00324E02"/>
    <w:rsid w:val="0032658C"/>
    <w:rsid w:val="00326BCE"/>
    <w:rsid w:val="00327069"/>
    <w:rsid w:val="00327373"/>
    <w:rsid w:val="003279F4"/>
    <w:rsid w:val="00330037"/>
    <w:rsid w:val="00330673"/>
    <w:rsid w:val="00331281"/>
    <w:rsid w:val="003313FF"/>
    <w:rsid w:val="0033178E"/>
    <w:rsid w:val="0033214E"/>
    <w:rsid w:val="003323AE"/>
    <w:rsid w:val="003326A6"/>
    <w:rsid w:val="00333ABC"/>
    <w:rsid w:val="00334A73"/>
    <w:rsid w:val="00335AD2"/>
    <w:rsid w:val="00335ECC"/>
    <w:rsid w:val="00336309"/>
    <w:rsid w:val="00336A34"/>
    <w:rsid w:val="00336C65"/>
    <w:rsid w:val="00336F49"/>
    <w:rsid w:val="0033711B"/>
    <w:rsid w:val="0033717B"/>
    <w:rsid w:val="0033743B"/>
    <w:rsid w:val="00337C00"/>
    <w:rsid w:val="00340848"/>
    <w:rsid w:val="003411B7"/>
    <w:rsid w:val="00341619"/>
    <w:rsid w:val="0034191D"/>
    <w:rsid w:val="00341D17"/>
    <w:rsid w:val="003420D6"/>
    <w:rsid w:val="003421ED"/>
    <w:rsid w:val="00342832"/>
    <w:rsid w:val="00342D43"/>
    <w:rsid w:val="00342D89"/>
    <w:rsid w:val="0034397A"/>
    <w:rsid w:val="00344068"/>
    <w:rsid w:val="0034480A"/>
    <w:rsid w:val="00344B80"/>
    <w:rsid w:val="00344DB0"/>
    <w:rsid w:val="00344F8D"/>
    <w:rsid w:val="003450F5"/>
    <w:rsid w:val="003476B9"/>
    <w:rsid w:val="00347AA2"/>
    <w:rsid w:val="00350912"/>
    <w:rsid w:val="00351664"/>
    <w:rsid w:val="00351AFB"/>
    <w:rsid w:val="00351B24"/>
    <w:rsid w:val="00351FD1"/>
    <w:rsid w:val="00352C32"/>
    <w:rsid w:val="00352EA1"/>
    <w:rsid w:val="00353214"/>
    <w:rsid w:val="00353A9B"/>
    <w:rsid w:val="00353AF3"/>
    <w:rsid w:val="00353CDE"/>
    <w:rsid w:val="00353E61"/>
    <w:rsid w:val="00353F5D"/>
    <w:rsid w:val="003554E7"/>
    <w:rsid w:val="00355A57"/>
    <w:rsid w:val="00355C37"/>
    <w:rsid w:val="003561D6"/>
    <w:rsid w:val="003562A0"/>
    <w:rsid w:val="00356C49"/>
    <w:rsid w:val="00356FF9"/>
    <w:rsid w:val="00357ABE"/>
    <w:rsid w:val="0036056F"/>
    <w:rsid w:val="00360B84"/>
    <w:rsid w:val="003616AE"/>
    <w:rsid w:val="00362E03"/>
    <w:rsid w:val="003633C4"/>
    <w:rsid w:val="003636BA"/>
    <w:rsid w:val="00363904"/>
    <w:rsid w:val="003639E2"/>
    <w:rsid w:val="00363DEE"/>
    <w:rsid w:val="00364109"/>
    <w:rsid w:val="003649C6"/>
    <w:rsid w:val="00365796"/>
    <w:rsid w:val="003657F9"/>
    <w:rsid w:val="00366427"/>
    <w:rsid w:val="00366D01"/>
    <w:rsid w:val="00366FDD"/>
    <w:rsid w:val="00367333"/>
    <w:rsid w:val="00367BD3"/>
    <w:rsid w:val="0037003B"/>
    <w:rsid w:val="00370237"/>
    <w:rsid w:val="003715F4"/>
    <w:rsid w:val="003716A7"/>
    <w:rsid w:val="00371E45"/>
    <w:rsid w:val="00372761"/>
    <w:rsid w:val="00372E27"/>
    <w:rsid w:val="00373E44"/>
    <w:rsid w:val="0037474E"/>
    <w:rsid w:val="00374865"/>
    <w:rsid w:val="003752D3"/>
    <w:rsid w:val="00375561"/>
    <w:rsid w:val="00376015"/>
    <w:rsid w:val="003761D6"/>
    <w:rsid w:val="00376A40"/>
    <w:rsid w:val="00376BF9"/>
    <w:rsid w:val="00377F59"/>
    <w:rsid w:val="003802F7"/>
    <w:rsid w:val="003835D6"/>
    <w:rsid w:val="00383762"/>
    <w:rsid w:val="00383DF1"/>
    <w:rsid w:val="00383E9E"/>
    <w:rsid w:val="0038446F"/>
    <w:rsid w:val="003849E8"/>
    <w:rsid w:val="00384D4A"/>
    <w:rsid w:val="00385AE6"/>
    <w:rsid w:val="00386721"/>
    <w:rsid w:val="00386BEB"/>
    <w:rsid w:val="00386C56"/>
    <w:rsid w:val="0038735F"/>
    <w:rsid w:val="00387615"/>
    <w:rsid w:val="00387CEF"/>
    <w:rsid w:val="00390109"/>
    <w:rsid w:val="0039100C"/>
    <w:rsid w:val="003914D5"/>
    <w:rsid w:val="00391547"/>
    <w:rsid w:val="00391610"/>
    <w:rsid w:val="00392247"/>
    <w:rsid w:val="00392326"/>
    <w:rsid w:val="00392762"/>
    <w:rsid w:val="003930C0"/>
    <w:rsid w:val="0039326B"/>
    <w:rsid w:val="00393478"/>
    <w:rsid w:val="00393571"/>
    <w:rsid w:val="00393D2E"/>
    <w:rsid w:val="00393F99"/>
    <w:rsid w:val="00395925"/>
    <w:rsid w:val="00395D83"/>
    <w:rsid w:val="003964E3"/>
    <w:rsid w:val="00396A97"/>
    <w:rsid w:val="00396B29"/>
    <w:rsid w:val="00396C27"/>
    <w:rsid w:val="003978C5"/>
    <w:rsid w:val="00397A65"/>
    <w:rsid w:val="003A0602"/>
    <w:rsid w:val="003A0762"/>
    <w:rsid w:val="003A0BD9"/>
    <w:rsid w:val="003A1B86"/>
    <w:rsid w:val="003A1E05"/>
    <w:rsid w:val="003A1FCF"/>
    <w:rsid w:val="003A232F"/>
    <w:rsid w:val="003A27C6"/>
    <w:rsid w:val="003A2984"/>
    <w:rsid w:val="003A33ED"/>
    <w:rsid w:val="003A3A06"/>
    <w:rsid w:val="003A41A5"/>
    <w:rsid w:val="003A4943"/>
    <w:rsid w:val="003A4D5E"/>
    <w:rsid w:val="003A51B7"/>
    <w:rsid w:val="003A531B"/>
    <w:rsid w:val="003A568D"/>
    <w:rsid w:val="003A56BC"/>
    <w:rsid w:val="003A5DF8"/>
    <w:rsid w:val="003A62F0"/>
    <w:rsid w:val="003A6825"/>
    <w:rsid w:val="003A69C7"/>
    <w:rsid w:val="003A6A94"/>
    <w:rsid w:val="003A6AD5"/>
    <w:rsid w:val="003A763B"/>
    <w:rsid w:val="003A7C2E"/>
    <w:rsid w:val="003A7CD5"/>
    <w:rsid w:val="003A7EF7"/>
    <w:rsid w:val="003B0756"/>
    <w:rsid w:val="003B0C6B"/>
    <w:rsid w:val="003B0F27"/>
    <w:rsid w:val="003B1A0B"/>
    <w:rsid w:val="003B1D94"/>
    <w:rsid w:val="003B2074"/>
    <w:rsid w:val="003B2D6C"/>
    <w:rsid w:val="003B34A5"/>
    <w:rsid w:val="003B367B"/>
    <w:rsid w:val="003B3C6C"/>
    <w:rsid w:val="003B3EB0"/>
    <w:rsid w:val="003B4179"/>
    <w:rsid w:val="003B4F71"/>
    <w:rsid w:val="003B5B2E"/>
    <w:rsid w:val="003B60C2"/>
    <w:rsid w:val="003B6930"/>
    <w:rsid w:val="003B6B55"/>
    <w:rsid w:val="003B7A08"/>
    <w:rsid w:val="003C009B"/>
    <w:rsid w:val="003C09B6"/>
    <w:rsid w:val="003C0B7A"/>
    <w:rsid w:val="003C1EC0"/>
    <w:rsid w:val="003C1F80"/>
    <w:rsid w:val="003C203A"/>
    <w:rsid w:val="003C2EB1"/>
    <w:rsid w:val="003C48A7"/>
    <w:rsid w:val="003C5075"/>
    <w:rsid w:val="003C5E4C"/>
    <w:rsid w:val="003C62BD"/>
    <w:rsid w:val="003C63E1"/>
    <w:rsid w:val="003C69F5"/>
    <w:rsid w:val="003C6EBA"/>
    <w:rsid w:val="003C7044"/>
    <w:rsid w:val="003C78FC"/>
    <w:rsid w:val="003D097B"/>
    <w:rsid w:val="003D0B4B"/>
    <w:rsid w:val="003D0CC8"/>
    <w:rsid w:val="003D0DB6"/>
    <w:rsid w:val="003D2A44"/>
    <w:rsid w:val="003D35B1"/>
    <w:rsid w:val="003D416D"/>
    <w:rsid w:val="003D4290"/>
    <w:rsid w:val="003D5BFF"/>
    <w:rsid w:val="003D5C90"/>
    <w:rsid w:val="003D62B1"/>
    <w:rsid w:val="003D6A52"/>
    <w:rsid w:val="003D6C76"/>
    <w:rsid w:val="003D711C"/>
    <w:rsid w:val="003E05DF"/>
    <w:rsid w:val="003E0634"/>
    <w:rsid w:val="003E1314"/>
    <w:rsid w:val="003E2482"/>
    <w:rsid w:val="003E25C7"/>
    <w:rsid w:val="003E2A5F"/>
    <w:rsid w:val="003E3838"/>
    <w:rsid w:val="003E3E63"/>
    <w:rsid w:val="003E4210"/>
    <w:rsid w:val="003E5A70"/>
    <w:rsid w:val="003E5CDE"/>
    <w:rsid w:val="003E6881"/>
    <w:rsid w:val="003E6B75"/>
    <w:rsid w:val="003F013F"/>
    <w:rsid w:val="003F03CE"/>
    <w:rsid w:val="003F09FE"/>
    <w:rsid w:val="003F1231"/>
    <w:rsid w:val="003F1373"/>
    <w:rsid w:val="003F18AE"/>
    <w:rsid w:val="003F211C"/>
    <w:rsid w:val="003F21D4"/>
    <w:rsid w:val="003F2875"/>
    <w:rsid w:val="003F28D0"/>
    <w:rsid w:val="003F38BC"/>
    <w:rsid w:val="003F3E0F"/>
    <w:rsid w:val="003F3EC6"/>
    <w:rsid w:val="003F4AA8"/>
    <w:rsid w:val="003F5328"/>
    <w:rsid w:val="003F58F2"/>
    <w:rsid w:val="003F74B2"/>
    <w:rsid w:val="003F75A6"/>
    <w:rsid w:val="004010C3"/>
    <w:rsid w:val="00402061"/>
    <w:rsid w:val="00402216"/>
    <w:rsid w:val="0040275B"/>
    <w:rsid w:val="00403A3B"/>
    <w:rsid w:val="004049CC"/>
    <w:rsid w:val="00405F0A"/>
    <w:rsid w:val="00406569"/>
    <w:rsid w:val="0040664C"/>
    <w:rsid w:val="00406E26"/>
    <w:rsid w:val="004072E1"/>
    <w:rsid w:val="0040796D"/>
    <w:rsid w:val="00407BA7"/>
    <w:rsid w:val="004102E7"/>
    <w:rsid w:val="0041100A"/>
    <w:rsid w:val="004118AB"/>
    <w:rsid w:val="00411F77"/>
    <w:rsid w:val="00412182"/>
    <w:rsid w:val="00412F1A"/>
    <w:rsid w:val="00414B8C"/>
    <w:rsid w:val="00414C21"/>
    <w:rsid w:val="00414E75"/>
    <w:rsid w:val="0041523E"/>
    <w:rsid w:val="00415642"/>
    <w:rsid w:val="00415F85"/>
    <w:rsid w:val="0041621B"/>
    <w:rsid w:val="004169AE"/>
    <w:rsid w:val="00416B89"/>
    <w:rsid w:val="00416DC3"/>
    <w:rsid w:val="004170A0"/>
    <w:rsid w:val="00417122"/>
    <w:rsid w:val="004174C8"/>
    <w:rsid w:val="0042036F"/>
    <w:rsid w:val="004209E3"/>
    <w:rsid w:val="00420D5C"/>
    <w:rsid w:val="00421047"/>
    <w:rsid w:val="004218FF"/>
    <w:rsid w:val="00421D80"/>
    <w:rsid w:val="00421F42"/>
    <w:rsid w:val="0042248B"/>
    <w:rsid w:val="0042325A"/>
    <w:rsid w:val="00424154"/>
    <w:rsid w:val="004245A2"/>
    <w:rsid w:val="004249EC"/>
    <w:rsid w:val="00424ADD"/>
    <w:rsid w:val="004251DF"/>
    <w:rsid w:val="004253AE"/>
    <w:rsid w:val="00425C05"/>
    <w:rsid w:val="00425E51"/>
    <w:rsid w:val="004269B6"/>
    <w:rsid w:val="00426CD9"/>
    <w:rsid w:val="00426F80"/>
    <w:rsid w:val="00427C9C"/>
    <w:rsid w:val="00427DE0"/>
    <w:rsid w:val="004300E7"/>
    <w:rsid w:val="004306FF"/>
    <w:rsid w:val="004308BB"/>
    <w:rsid w:val="0043130C"/>
    <w:rsid w:val="00431905"/>
    <w:rsid w:val="00432F5C"/>
    <w:rsid w:val="00434559"/>
    <w:rsid w:val="0043472E"/>
    <w:rsid w:val="004350D8"/>
    <w:rsid w:val="0043575D"/>
    <w:rsid w:val="00435A46"/>
    <w:rsid w:val="00435C67"/>
    <w:rsid w:val="00435F1F"/>
    <w:rsid w:val="00436286"/>
    <w:rsid w:val="004404B0"/>
    <w:rsid w:val="00440A12"/>
    <w:rsid w:val="00440A7B"/>
    <w:rsid w:val="004411FE"/>
    <w:rsid w:val="00442088"/>
    <w:rsid w:val="004427D5"/>
    <w:rsid w:val="00443160"/>
    <w:rsid w:val="00444160"/>
    <w:rsid w:val="00444835"/>
    <w:rsid w:val="004459A3"/>
    <w:rsid w:val="0044657F"/>
    <w:rsid w:val="00447043"/>
    <w:rsid w:val="0045004D"/>
    <w:rsid w:val="004500BA"/>
    <w:rsid w:val="00450165"/>
    <w:rsid w:val="0045068D"/>
    <w:rsid w:val="00450A05"/>
    <w:rsid w:val="00450FA6"/>
    <w:rsid w:val="00451314"/>
    <w:rsid w:val="00451B08"/>
    <w:rsid w:val="004522A6"/>
    <w:rsid w:val="0045235D"/>
    <w:rsid w:val="00452A02"/>
    <w:rsid w:val="00452E95"/>
    <w:rsid w:val="00453B47"/>
    <w:rsid w:val="00454166"/>
    <w:rsid w:val="00454B3D"/>
    <w:rsid w:val="00454E54"/>
    <w:rsid w:val="00455EED"/>
    <w:rsid w:val="004564EE"/>
    <w:rsid w:val="00456A88"/>
    <w:rsid w:val="00456DEF"/>
    <w:rsid w:val="004602E9"/>
    <w:rsid w:val="00460697"/>
    <w:rsid w:val="00461CEB"/>
    <w:rsid w:val="0046233B"/>
    <w:rsid w:val="00462724"/>
    <w:rsid w:val="00462BB7"/>
    <w:rsid w:val="00463267"/>
    <w:rsid w:val="00463318"/>
    <w:rsid w:val="00463BF2"/>
    <w:rsid w:val="004647C4"/>
    <w:rsid w:val="004654C1"/>
    <w:rsid w:val="00465794"/>
    <w:rsid w:val="00465918"/>
    <w:rsid w:val="00465B3C"/>
    <w:rsid w:val="00465D76"/>
    <w:rsid w:val="00466D87"/>
    <w:rsid w:val="00467782"/>
    <w:rsid w:val="00467B73"/>
    <w:rsid w:val="004703E2"/>
    <w:rsid w:val="00470894"/>
    <w:rsid w:val="004708D8"/>
    <w:rsid w:val="0047186E"/>
    <w:rsid w:val="00471B6F"/>
    <w:rsid w:val="00471C68"/>
    <w:rsid w:val="0047262A"/>
    <w:rsid w:val="0047264A"/>
    <w:rsid w:val="00472A36"/>
    <w:rsid w:val="00472F4D"/>
    <w:rsid w:val="00473946"/>
    <w:rsid w:val="00474686"/>
    <w:rsid w:val="00474A4A"/>
    <w:rsid w:val="00475243"/>
    <w:rsid w:val="0047570E"/>
    <w:rsid w:val="00475A66"/>
    <w:rsid w:val="00476569"/>
    <w:rsid w:val="0047721A"/>
    <w:rsid w:val="004774B6"/>
    <w:rsid w:val="004776CD"/>
    <w:rsid w:val="0047793A"/>
    <w:rsid w:val="00480A44"/>
    <w:rsid w:val="00480C0B"/>
    <w:rsid w:val="00481EB3"/>
    <w:rsid w:val="004828DA"/>
    <w:rsid w:val="0048332E"/>
    <w:rsid w:val="00483349"/>
    <w:rsid w:val="00484682"/>
    <w:rsid w:val="00484685"/>
    <w:rsid w:val="00485324"/>
    <w:rsid w:val="00486DF0"/>
    <w:rsid w:val="00487591"/>
    <w:rsid w:val="00487FBB"/>
    <w:rsid w:val="004905B1"/>
    <w:rsid w:val="004909E7"/>
    <w:rsid w:val="00490A69"/>
    <w:rsid w:val="00491C2B"/>
    <w:rsid w:val="00492549"/>
    <w:rsid w:val="00492876"/>
    <w:rsid w:val="004931DE"/>
    <w:rsid w:val="004932D2"/>
    <w:rsid w:val="00493327"/>
    <w:rsid w:val="00493635"/>
    <w:rsid w:val="00493C4D"/>
    <w:rsid w:val="00493D4B"/>
    <w:rsid w:val="00494191"/>
    <w:rsid w:val="004942D8"/>
    <w:rsid w:val="00494BAC"/>
    <w:rsid w:val="004950B8"/>
    <w:rsid w:val="004952E0"/>
    <w:rsid w:val="0049619C"/>
    <w:rsid w:val="0049655B"/>
    <w:rsid w:val="00497080"/>
    <w:rsid w:val="004974BF"/>
    <w:rsid w:val="004977A5"/>
    <w:rsid w:val="004A06D9"/>
    <w:rsid w:val="004A100F"/>
    <w:rsid w:val="004A10DF"/>
    <w:rsid w:val="004A119D"/>
    <w:rsid w:val="004A1EFC"/>
    <w:rsid w:val="004A2581"/>
    <w:rsid w:val="004A2819"/>
    <w:rsid w:val="004A28BB"/>
    <w:rsid w:val="004A295B"/>
    <w:rsid w:val="004A2DA8"/>
    <w:rsid w:val="004A37BF"/>
    <w:rsid w:val="004A4151"/>
    <w:rsid w:val="004A422E"/>
    <w:rsid w:val="004A4840"/>
    <w:rsid w:val="004A4B2C"/>
    <w:rsid w:val="004A4EF4"/>
    <w:rsid w:val="004A5321"/>
    <w:rsid w:val="004A5F74"/>
    <w:rsid w:val="004A74D4"/>
    <w:rsid w:val="004A759E"/>
    <w:rsid w:val="004A75E1"/>
    <w:rsid w:val="004B0EE7"/>
    <w:rsid w:val="004B1A2A"/>
    <w:rsid w:val="004B1B7E"/>
    <w:rsid w:val="004B1C18"/>
    <w:rsid w:val="004B1C51"/>
    <w:rsid w:val="004B1E8D"/>
    <w:rsid w:val="004B263B"/>
    <w:rsid w:val="004B276F"/>
    <w:rsid w:val="004B2B88"/>
    <w:rsid w:val="004B2D85"/>
    <w:rsid w:val="004B2E97"/>
    <w:rsid w:val="004B34F7"/>
    <w:rsid w:val="004B3BA9"/>
    <w:rsid w:val="004B431B"/>
    <w:rsid w:val="004B44CB"/>
    <w:rsid w:val="004B4974"/>
    <w:rsid w:val="004B4FDD"/>
    <w:rsid w:val="004B6C32"/>
    <w:rsid w:val="004B7716"/>
    <w:rsid w:val="004B7B76"/>
    <w:rsid w:val="004C0579"/>
    <w:rsid w:val="004C0B0D"/>
    <w:rsid w:val="004C0F48"/>
    <w:rsid w:val="004C1650"/>
    <w:rsid w:val="004C2341"/>
    <w:rsid w:val="004C28F8"/>
    <w:rsid w:val="004C3019"/>
    <w:rsid w:val="004C3D4F"/>
    <w:rsid w:val="004C46DC"/>
    <w:rsid w:val="004C4B5E"/>
    <w:rsid w:val="004C7B28"/>
    <w:rsid w:val="004C7B98"/>
    <w:rsid w:val="004D14FE"/>
    <w:rsid w:val="004D16FF"/>
    <w:rsid w:val="004D1E54"/>
    <w:rsid w:val="004D2425"/>
    <w:rsid w:val="004D28B4"/>
    <w:rsid w:val="004D3129"/>
    <w:rsid w:val="004D3244"/>
    <w:rsid w:val="004D33D2"/>
    <w:rsid w:val="004D3C7C"/>
    <w:rsid w:val="004D554A"/>
    <w:rsid w:val="004D5923"/>
    <w:rsid w:val="004E06E2"/>
    <w:rsid w:val="004E0BB8"/>
    <w:rsid w:val="004E1AB1"/>
    <w:rsid w:val="004E1F93"/>
    <w:rsid w:val="004E245F"/>
    <w:rsid w:val="004E458D"/>
    <w:rsid w:val="004E4933"/>
    <w:rsid w:val="004E498C"/>
    <w:rsid w:val="004E4B09"/>
    <w:rsid w:val="004E5CC0"/>
    <w:rsid w:val="004E639D"/>
    <w:rsid w:val="004E6863"/>
    <w:rsid w:val="004E6D6D"/>
    <w:rsid w:val="004E7486"/>
    <w:rsid w:val="004E7671"/>
    <w:rsid w:val="004E7BA6"/>
    <w:rsid w:val="004F02AC"/>
    <w:rsid w:val="004F0713"/>
    <w:rsid w:val="004F0DC6"/>
    <w:rsid w:val="004F1281"/>
    <w:rsid w:val="004F170A"/>
    <w:rsid w:val="004F2657"/>
    <w:rsid w:val="004F2964"/>
    <w:rsid w:val="004F32FF"/>
    <w:rsid w:val="004F3B0B"/>
    <w:rsid w:val="004F3B30"/>
    <w:rsid w:val="004F3B4D"/>
    <w:rsid w:val="004F3D3A"/>
    <w:rsid w:val="004F3E85"/>
    <w:rsid w:val="004F531D"/>
    <w:rsid w:val="004F5B21"/>
    <w:rsid w:val="004F6074"/>
    <w:rsid w:val="004F6D17"/>
    <w:rsid w:val="004F6DA1"/>
    <w:rsid w:val="004F79D9"/>
    <w:rsid w:val="004F7B2E"/>
    <w:rsid w:val="00500A49"/>
    <w:rsid w:val="00501263"/>
    <w:rsid w:val="00502320"/>
    <w:rsid w:val="00503A29"/>
    <w:rsid w:val="00503F0D"/>
    <w:rsid w:val="00504977"/>
    <w:rsid w:val="00504C0D"/>
    <w:rsid w:val="00504DAF"/>
    <w:rsid w:val="00504DF7"/>
    <w:rsid w:val="00505DB3"/>
    <w:rsid w:val="00505E8D"/>
    <w:rsid w:val="005062F7"/>
    <w:rsid w:val="005064A7"/>
    <w:rsid w:val="00506539"/>
    <w:rsid w:val="005067B9"/>
    <w:rsid w:val="00506ADA"/>
    <w:rsid w:val="0050737A"/>
    <w:rsid w:val="00507889"/>
    <w:rsid w:val="00507CDA"/>
    <w:rsid w:val="005100D4"/>
    <w:rsid w:val="00510DDB"/>
    <w:rsid w:val="005111B3"/>
    <w:rsid w:val="0051139E"/>
    <w:rsid w:val="005119D5"/>
    <w:rsid w:val="00512BBD"/>
    <w:rsid w:val="00513CC0"/>
    <w:rsid w:val="00513DAA"/>
    <w:rsid w:val="00514295"/>
    <w:rsid w:val="00514316"/>
    <w:rsid w:val="00514E81"/>
    <w:rsid w:val="0051534A"/>
    <w:rsid w:val="00515542"/>
    <w:rsid w:val="00515941"/>
    <w:rsid w:val="0051643A"/>
    <w:rsid w:val="00517AA7"/>
    <w:rsid w:val="00520D24"/>
    <w:rsid w:val="0052116C"/>
    <w:rsid w:val="0052197F"/>
    <w:rsid w:val="00522034"/>
    <w:rsid w:val="00523080"/>
    <w:rsid w:val="005233A5"/>
    <w:rsid w:val="00523F93"/>
    <w:rsid w:val="0052428B"/>
    <w:rsid w:val="005246F7"/>
    <w:rsid w:val="00524C60"/>
    <w:rsid w:val="00524E40"/>
    <w:rsid w:val="005257B1"/>
    <w:rsid w:val="00525E4E"/>
    <w:rsid w:val="005264C6"/>
    <w:rsid w:val="00526692"/>
    <w:rsid w:val="00527B9E"/>
    <w:rsid w:val="00527D52"/>
    <w:rsid w:val="00531B22"/>
    <w:rsid w:val="00533548"/>
    <w:rsid w:val="00533721"/>
    <w:rsid w:val="00533830"/>
    <w:rsid w:val="00535483"/>
    <w:rsid w:val="005354BD"/>
    <w:rsid w:val="00535FF6"/>
    <w:rsid w:val="005362EA"/>
    <w:rsid w:val="0053686F"/>
    <w:rsid w:val="00536A57"/>
    <w:rsid w:val="00536C07"/>
    <w:rsid w:val="00537523"/>
    <w:rsid w:val="0053753F"/>
    <w:rsid w:val="005376E8"/>
    <w:rsid w:val="005405CF"/>
    <w:rsid w:val="005410F5"/>
    <w:rsid w:val="005415C5"/>
    <w:rsid w:val="0054310D"/>
    <w:rsid w:val="005438DB"/>
    <w:rsid w:val="00544B42"/>
    <w:rsid w:val="0054539A"/>
    <w:rsid w:val="0054559D"/>
    <w:rsid w:val="00546045"/>
    <w:rsid w:val="00546398"/>
    <w:rsid w:val="00547880"/>
    <w:rsid w:val="00547B55"/>
    <w:rsid w:val="005515BB"/>
    <w:rsid w:val="005527D2"/>
    <w:rsid w:val="00552AF4"/>
    <w:rsid w:val="00552C24"/>
    <w:rsid w:val="00552F0E"/>
    <w:rsid w:val="00552F44"/>
    <w:rsid w:val="005539C1"/>
    <w:rsid w:val="00554053"/>
    <w:rsid w:val="0055491F"/>
    <w:rsid w:val="00554931"/>
    <w:rsid w:val="00555973"/>
    <w:rsid w:val="00556DE0"/>
    <w:rsid w:val="00556FC7"/>
    <w:rsid w:val="005575A4"/>
    <w:rsid w:val="00557BA3"/>
    <w:rsid w:val="00557C30"/>
    <w:rsid w:val="00560D6D"/>
    <w:rsid w:val="00560FF4"/>
    <w:rsid w:val="00561F7D"/>
    <w:rsid w:val="00562618"/>
    <w:rsid w:val="005634FD"/>
    <w:rsid w:val="0056521B"/>
    <w:rsid w:val="005659E5"/>
    <w:rsid w:val="00565FEF"/>
    <w:rsid w:val="00567733"/>
    <w:rsid w:val="0056782D"/>
    <w:rsid w:val="005678B7"/>
    <w:rsid w:val="00567C84"/>
    <w:rsid w:val="005700BF"/>
    <w:rsid w:val="00571219"/>
    <w:rsid w:val="00571994"/>
    <w:rsid w:val="00571B4A"/>
    <w:rsid w:val="00572A5C"/>
    <w:rsid w:val="00572DDF"/>
    <w:rsid w:val="005732A7"/>
    <w:rsid w:val="005737D7"/>
    <w:rsid w:val="00573AD9"/>
    <w:rsid w:val="00574408"/>
    <w:rsid w:val="00574727"/>
    <w:rsid w:val="005748CD"/>
    <w:rsid w:val="005762FB"/>
    <w:rsid w:val="005764E2"/>
    <w:rsid w:val="005768E5"/>
    <w:rsid w:val="0057700D"/>
    <w:rsid w:val="00577B19"/>
    <w:rsid w:val="00577BD4"/>
    <w:rsid w:val="00580E5A"/>
    <w:rsid w:val="005814AB"/>
    <w:rsid w:val="00582867"/>
    <w:rsid w:val="00582ACA"/>
    <w:rsid w:val="00583793"/>
    <w:rsid w:val="00583960"/>
    <w:rsid w:val="00583A07"/>
    <w:rsid w:val="00584148"/>
    <w:rsid w:val="00584230"/>
    <w:rsid w:val="00584FA4"/>
    <w:rsid w:val="005856BA"/>
    <w:rsid w:val="005857F3"/>
    <w:rsid w:val="00585B00"/>
    <w:rsid w:val="00586005"/>
    <w:rsid w:val="0058623E"/>
    <w:rsid w:val="00586E03"/>
    <w:rsid w:val="005902F7"/>
    <w:rsid w:val="00590C2A"/>
    <w:rsid w:val="00591742"/>
    <w:rsid w:val="00591BF0"/>
    <w:rsid w:val="00592EAB"/>
    <w:rsid w:val="005930E1"/>
    <w:rsid w:val="005935B6"/>
    <w:rsid w:val="00594DA6"/>
    <w:rsid w:val="00594E3F"/>
    <w:rsid w:val="0059567E"/>
    <w:rsid w:val="005979B7"/>
    <w:rsid w:val="00597CAA"/>
    <w:rsid w:val="00597D2A"/>
    <w:rsid w:val="005A0014"/>
    <w:rsid w:val="005A00E2"/>
    <w:rsid w:val="005A04C1"/>
    <w:rsid w:val="005A0A27"/>
    <w:rsid w:val="005A0F16"/>
    <w:rsid w:val="005A0F93"/>
    <w:rsid w:val="005A1530"/>
    <w:rsid w:val="005A2F4F"/>
    <w:rsid w:val="005A5B45"/>
    <w:rsid w:val="005A5FE8"/>
    <w:rsid w:val="005A6208"/>
    <w:rsid w:val="005A660B"/>
    <w:rsid w:val="005A6931"/>
    <w:rsid w:val="005B14DB"/>
    <w:rsid w:val="005B2742"/>
    <w:rsid w:val="005B2A93"/>
    <w:rsid w:val="005B480E"/>
    <w:rsid w:val="005B483D"/>
    <w:rsid w:val="005B4E6D"/>
    <w:rsid w:val="005B5229"/>
    <w:rsid w:val="005B552D"/>
    <w:rsid w:val="005B5F90"/>
    <w:rsid w:val="005B60C6"/>
    <w:rsid w:val="005B7DF3"/>
    <w:rsid w:val="005C068F"/>
    <w:rsid w:val="005C086E"/>
    <w:rsid w:val="005C0FA4"/>
    <w:rsid w:val="005C17A5"/>
    <w:rsid w:val="005C295D"/>
    <w:rsid w:val="005C2B7F"/>
    <w:rsid w:val="005C2CA5"/>
    <w:rsid w:val="005C32BF"/>
    <w:rsid w:val="005C3360"/>
    <w:rsid w:val="005C49A7"/>
    <w:rsid w:val="005C4EC0"/>
    <w:rsid w:val="005C69F3"/>
    <w:rsid w:val="005C6BAE"/>
    <w:rsid w:val="005C6C8A"/>
    <w:rsid w:val="005C70C2"/>
    <w:rsid w:val="005C7D23"/>
    <w:rsid w:val="005D024B"/>
    <w:rsid w:val="005D06DB"/>
    <w:rsid w:val="005D0A59"/>
    <w:rsid w:val="005D14B8"/>
    <w:rsid w:val="005D165B"/>
    <w:rsid w:val="005D1781"/>
    <w:rsid w:val="005D18CE"/>
    <w:rsid w:val="005D1BAC"/>
    <w:rsid w:val="005D1C08"/>
    <w:rsid w:val="005D1D1B"/>
    <w:rsid w:val="005D1F8F"/>
    <w:rsid w:val="005D226A"/>
    <w:rsid w:val="005D325A"/>
    <w:rsid w:val="005D39D4"/>
    <w:rsid w:val="005D42D7"/>
    <w:rsid w:val="005D70F5"/>
    <w:rsid w:val="005D75B8"/>
    <w:rsid w:val="005D768C"/>
    <w:rsid w:val="005D7D63"/>
    <w:rsid w:val="005E018A"/>
    <w:rsid w:val="005E0920"/>
    <w:rsid w:val="005E0E5E"/>
    <w:rsid w:val="005E1E88"/>
    <w:rsid w:val="005E2070"/>
    <w:rsid w:val="005E20FB"/>
    <w:rsid w:val="005E2112"/>
    <w:rsid w:val="005E246A"/>
    <w:rsid w:val="005E45C2"/>
    <w:rsid w:val="005E6C3C"/>
    <w:rsid w:val="005E6F46"/>
    <w:rsid w:val="005E7806"/>
    <w:rsid w:val="005F028A"/>
    <w:rsid w:val="005F0E7E"/>
    <w:rsid w:val="005F10B2"/>
    <w:rsid w:val="005F118B"/>
    <w:rsid w:val="005F155D"/>
    <w:rsid w:val="005F1801"/>
    <w:rsid w:val="005F1F07"/>
    <w:rsid w:val="005F362E"/>
    <w:rsid w:val="005F5905"/>
    <w:rsid w:val="005F5ABC"/>
    <w:rsid w:val="005F5C45"/>
    <w:rsid w:val="005F61E3"/>
    <w:rsid w:val="005F7121"/>
    <w:rsid w:val="005F7E2F"/>
    <w:rsid w:val="00600509"/>
    <w:rsid w:val="0060056C"/>
    <w:rsid w:val="00600B1C"/>
    <w:rsid w:val="00600EA4"/>
    <w:rsid w:val="006011A2"/>
    <w:rsid w:val="006014A6"/>
    <w:rsid w:val="00601FB2"/>
    <w:rsid w:val="00601FCE"/>
    <w:rsid w:val="006020CA"/>
    <w:rsid w:val="00602C13"/>
    <w:rsid w:val="00602F74"/>
    <w:rsid w:val="00602F8E"/>
    <w:rsid w:val="00603278"/>
    <w:rsid w:val="00605DA7"/>
    <w:rsid w:val="00606553"/>
    <w:rsid w:val="006069CD"/>
    <w:rsid w:val="00607AEE"/>
    <w:rsid w:val="00610206"/>
    <w:rsid w:val="0061028C"/>
    <w:rsid w:val="006105B2"/>
    <w:rsid w:val="0061095D"/>
    <w:rsid w:val="00611000"/>
    <w:rsid w:val="0061125A"/>
    <w:rsid w:val="00611947"/>
    <w:rsid w:val="006132FE"/>
    <w:rsid w:val="00613435"/>
    <w:rsid w:val="00613730"/>
    <w:rsid w:val="00613C37"/>
    <w:rsid w:val="006142A0"/>
    <w:rsid w:val="00614926"/>
    <w:rsid w:val="0061507C"/>
    <w:rsid w:val="0061676B"/>
    <w:rsid w:val="006172D8"/>
    <w:rsid w:val="0061741F"/>
    <w:rsid w:val="006175DD"/>
    <w:rsid w:val="00617932"/>
    <w:rsid w:val="00617BA7"/>
    <w:rsid w:val="006214E8"/>
    <w:rsid w:val="00622268"/>
    <w:rsid w:val="0062279D"/>
    <w:rsid w:val="00622928"/>
    <w:rsid w:val="006229A3"/>
    <w:rsid w:val="00622FD4"/>
    <w:rsid w:val="00622FF7"/>
    <w:rsid w:val="006231BD"/>
    <w:rsid w:val="0062323F"/>
    <w:rsid w:val="00623896"/>
    <w:rsid w:val="00623E67"/>
    <w:rsid w:val="00624A60"/>
    <w:rsid w:val="00625989"/>
    <w:rsid w:val="00625E2D"/>
    <w:rsid w:val="0062606F"/>
    <w:rsid w:val="00626175"/>
    <w:rsid w:val="00626433"/>
    <w:rsid w:val="00626505"/>
    <w:rsid w:val="00626EF5"/>
    <w:rsid w:val="006277B6"/>
    <w:rsid w:val="00627B13"/>
    <w:rsid w:val="00627B4E"/>
    <w:rsid w:val="00627F45"/>
    <w:rsid w:val="0063054C"/>
    <w:rsid w:val="006312E8"/>
    <w:rsid w:val="00631975"/>
    <w:rsid w:val="00631A59"/>
    <w:rsid w:val="006320EB"/>
    <w:rsid w:val="00632434"/>
    <w:rsid w:val="0063283C"/>
    <w:rsid w:val="00632DB6"/>
    <w:rsid w:val="00632FAB"/>
    <w:rsid w:val="00633AFB"/>
    <w:rsid w:val="00634002"/>
    <w:rsid w:val="00634B7F"/>
    <w:rsid w:val="00634BFB"/>
    <w:rsid w:val="006351AD"/>
    <w:rsid w:val="00635685"/>
    <w:rsid w:val="006357C6"/>
    <w:rsid w:val="006363A3"/>
    <w:rsid w:val="00636408"/>
    <w:rsid w:val="006364E2"/>
    <w:rsid w:val="006373CC"/>
    <w:rsid w:val="00637D40"/>
    <w:rsid w:val="00640479"/>
    <w:rsid w:val="006405A2"/>
    <w:rsid w:val="0064079C"/>
    <w:rsid w:val="00640D62"/>
    <w:rsid w:val="0064135F"/>
    <w:rsid w:val="00641467"/>
    <w:rsid w:val="00641D27"/>
    <w:rsid w:val="006422AF"/>
    <w:rsid w:val="00642C8A"/>
    <w:rsid w:val="00643415"/>
    <w:rsid w:val="00645162"/>
    <w:rsid w:val="006454C2"/>
    <w:rsid w:val="006457EE"/>
    <w:rsid w:val="00645D73"/>
    <w:rsid w:val="0064662D"/>
    <w:rsid w:val="00646A89"/>
    <w:rsid w:val="006501BE"/>
    <w:rsid w:val="0065057F"/>
    <w:rsid w:val="00651E8E"/>
    <w:rsid w:val="006529CE"/>
    <w:rsid w:val="00652AD8"/>
    <w:rsid w:val="00652E97"/>
    <w:rsid w:val="00653CF4"/>
    <w:rsid w:val="00655232"/>
    <w:rsid w:val="0065733A"/>
    <w:rsid w:val="00657348"/>
    <w:rsid w:val="00657431"/>
    <w:rsid w:val="00657875"/>
    <w:rsid w:val="00657C3F"/>
    <w:rsid w:val="00657DDA"/>
    <w:rsid w:val="00660050"/>
    <w:rsid w:val="006601EA"/>
    <w:rsid w:val="00660DA2"/>
    <w:rsid w:val="00661576"/>
    <w:rsid w:val="00661B1A"/>
    <w:rsid w:val="006624E1"/>
    <w:rsid w:val="00662B29"/>
    <w:rsid w:val="00662B77"/>
    <w:rsid w:val="00662F8E"/>
    <w:rsid w:val="00663513"/>
    <w:rsid w:val="006640CF"/>
    <w:rsid w:val="00664238"/>
    <w:rsid w:val="006651CE"/>
    <w:rsid w:val="006656C8"/>
    <w:rsid w:val="00665ADD"/>
    <w:rsid w:val="00666564"/>
    <w:rsid w:val="00666BFE"/>
    <w:rsid w:val="00666D12"/>
    <w:rsid w:val="00666F22"/>
    <w:rsid w:val="00666FC6"/>
    <w:rsid w:val="00666FF2"/>
    <w:rsid w:val="006678E8"/>
    <w:rsid w:val="006701FB"/>
    <w:rsid w:val="00670348"/>
    <w:rsid w:val="006704D6"/>
    <w:rsid w:val="00671BA2"/>
    <w:rsid w:val="00671CF0"/>
    <w:rsid w:val="0067241E"/>
    <w:rsid w:val="0067289C"/>
    <w:rsid w:val="00673418"/>
    <w:rsid w:val="006739ED"/>
    <w:rsid w:val="0067432C"/>
    <w:rsid w:val="00674C3F"/>
    <w:rsid w:val="00674F46"/>
    <w:rsid w:val="00675453"/>
    <w:rsid w:val="00675D06"/>
    <w:rsid w:val="0067608D"/>
    <w:rsid w:val="00676765"/>
    <w:rsid w:val="00676785"/>
    <w:rsid w:val="006774A9"/>
    <w:rsid w:val="006778C1"/>
    <w:rsid w:val="00680237"/>
    <w:rsid w:val="00680512"/>
    <w:rsid w:val="00680671"/>
    <w:rsid w:val="0068093A"/>
    <w:rsid w:val="00681311"/>
    <w:rsid w:val="00682A73"/>
    <w:rsid w:val="0068367D"/>
    <w:rsid w:val="00683BF9"/>
    <w:rsid w:val="00683FAF"/>
    <w:rsid w:val="00684AE0"/>
    <w:rsid w:val="00684F72"/>
    <w:rsid w:val="0068549C"/>
    <w:rsid w:val="006861A3"/>
    <w:rsid w:val="0068663A"/>
    <w:rsid w:val="006867F5"/>
    <w:rsid w:val="00687E1C"/>
    <w:rsid w:val="00690C73"/>
    <w:rsid w:val="00691B4A"/>
    <w:rsid w:val="00691EDC"/>
    <w:rsid w:val="00691F16"/>
    <w:rsid w:val="00692541"/>
    <w:rsid w:val="00693A07"/>
    <w:rsid w:val="00693BAD"/>
    <w:rsid w:val="00693BEC"/>
    <w:rsid w:val="00695F5C"/>
    <w:rsid w:val="00695FAE"/>
    <w:rsid w:val="00696327"/>
    <w:rsid w:val="00696516"/>
    <w:rsid w:val="006966E5"/>
    <w:rsid w:val="006967BC"/>
    <w:rsid w:val="00696AC3"/>
    <w:rsid w:val="00696E61"/>
    <w:rsid w:val="006A03DA"/>
    <w:rsid w:val="006A1126"/>
    <w:rsid w:val="006A3CC9"/>
    <w:rsid w:val="006A4FFE"/>
    <w:rsid w:val="006A5087"/>
    <w:rsid w:val="006A5D2C"/>
    <w:rsid w:val="006A70AA"/>
    <w:rsid w:val="006A7C54"/>
    <w:rsid w:val="006A7CE6"/>
    <w:rsid w:val="006B15D0"/>
    <w:rsid w:val="006B24D2"/>
    <w:rsid w:val="006B352F"/>
    <w:rsid w:val="006B35C6"/>
    <w:rsid w:val="006B384B"/>
    <w:rsid w:val="006B3D29"/>
    <w:rsid w:val="006B4867"/>
    <w:rsid w:val="006B4908"/>
    <w:rsid w:val="006B5126"/>
    <w:rsid w:val="006B7398"/>
    <w:rsid w:val="006B780F"/>
    <w:rsid w:val="006B7D95"/>
    <w:rsid w:val="006B7FDC"/>
    <w:rsid w:val="006C1282"/>
    <w:rsid w:val="006C2DBC"/>
    <w:rsid w:val="006C2FB3"/>
    <w:rsid w:val="006C35F6"/>
    <w:rsid w:val="006C366F"/>
    <w:rsid w:val="006C3F33"/>
    <w:rsid w:val="006C4501"/>
    <w:rsid w:val="006C4543"/>
    <w:rsid w:val="006C4591"/>
    <w:rsid w:val="006C4C6A"/>
    <w:rsid w:val="006C524F"/>
    <w:rsid w:val="006C52A0"/>
    <w:rsid w:val="006C586E"/>
    <w:rsid w:val="006C608F"/>
    <w:rsid w:val="006C6432"/>
    <w:rsid w:val="006C6594"/>
    <w:rsid w:val="006C6D75"/>
    <w:rsid w:val="006C7859"/>
    <w:rsid w:val="006C7CA9"/>
    <w:rsid w:val="006C7E86"/>
    <w:rsid w:val="006D0844"/>
    <w:rsid w:val="006D15A4"/>
    <w:rsid w:val="006D16B5"/>
    <w:rsid w:val="006D2F53"/>
    <w:rsid w:val="006D31EE"/>
    <w:rsid w:val="006D41E1"/>
    <w:rsid w:val="006D49BD"/>
    <w:rsid w:val="006D4AB4"/>
    <w:rsid w:val="006D4E03"/>
    <w:rsid w:val="006D54FA"/>
    <w:rsid w:val="006D57FA"/>
    <w:rsid w:val="006D5CB4"/>
    <w:rsid w:val="006D5DBC"/>
    <w:rsid w:val="006D685D"/>
    <w:rsid w:val="006D72FD"/>
    <w:rsid w:val="006D7361"/>
    <w:rsid w:val="006D7565"/>
    <w:rsid w:val="006D7B49"/>
    <w:rsid w:val="006D7D46"/>
    <w:rsid w:val="006E060C"/>
    <w:rsid w:val="006E0A8B"/>
    <w:rsid w:val="006E0EDC"/>
    <w:rsid w:val="006E14BA"/>
    <w:rsid w:val="006E184E"/>
    <w:rsid w:val="006E1C83"/>
    <w:rsid w:val="006E2984"/>
    <w:rsid w:val="006E2B42"/>
    <w:rsid w:val="006E2DD7"/>
    <w:rsid w:val="006E2F0D"/>
    <w:rsid w:val="006E2F5F"/>
    <w:rsid w:val="006E308C"/>
    <w:rsid w:val="006E3131"/>
    <w:rsid w:val="006E355E"/>
    <w:rsid w:val="006E3984"/>
    <w:rsid w:val="006E42A7"/>
    <w:rsid w:val="006E433D"/>
    <w:rsid w:val="006E4E73"/>
    <w:rsid w:val="006E4E7D"/>
    <w:rsid w:val="006E6661"/>
    <w:rsid w:val="006E6929"/>
    <w:rsid w:val="006E6C3E"/>
    <w:rsid w:val="006E74BE"/>
    <w:rsid w:val="006E7CBD"/>
    <w:rsid w:val="006F01A7"/>
    <w:rsid w:val="006F01F4"/>
    <w:rsid w:val="006F05E7"/>
    <w:rsid w:val="006F0F11"/>
    <w:rsid w:val="006F1B53"/>
    <w:rsid w:val="006F221D"/>
    <w:rsid w:val="006F23F5"/>
    <w:rsid w:val="006F3126"/>
    <w:rsid w:val="006F4C23"/>
    <w:rsid w:val="006F58E7"/>
    <w:rsid w:val="006F5CF8"/>
    <w:rsid w:val="006F64E0"/>
    <w:rsid w:val="006F67DC"/>
    <w:rsid w:val="006F6919"/>
    <w:rsid w:val="006F6B96"/>
    <w:rsid w:val="006F772F"/>
    <w:rsid w:val="006F78FF"/>
    <w:rsid w:val="00700004"/>
    <w:rsid w:val="00700BE6"/>
    <w:rsid w:val="0070149B"/>
    <w:rsid w:val="00703310"/>
    <w:rsid w:val="00703BA3"/>
    <w:rsid w:val="007040D6"/>
    <w:rsid w:val="007049F7"/>
    <w:rsid w:val="00704EC2"/>
    <w:rsid w:val="0070584E"/>
    <w:rsid w:val="007059FD"/>
    <w:rsid w:val="00705F4D"/>
    <w:rsid w:val="007061BA"/>
    <w:rsid w:val="00706807"/>
    <w:rsid w:val="00706B33"/>
    <w:rsid w:val="0070715F"/>
    <w:rsid w:val="007071EA"/>
    <w:rsid w:val="00707676"/>
    <w:rsid w:val="007079AB"/>
    <w:rsid w:val="007079EC"/>
    <w:rsid w:val="00710798"/>
    <w:rsid w:val="0071178F"/>
    <w:rsid w:val="00711A28"/>
    <w:rsid w:val="00712643"/>
    <w:rsid w:val="00713502"/>
    <w:rsid w:val="00713BCD"/>
    <w:rsid w:val="0071433E"/>
    <w:rsid w:val="0071441C"/>
    <w:rsid w:val="00714BEB"/>
    <w:rsid w:val="00714D8B"/>
    <w:rsid w:val="007152D8"/>
    <w:rsid w:val="007153C7"/>
    <w:rsid w:val="00715E09"/>
    <w:rsid w:val="00716CF1"/>
    <w:rsid w:val="007171B9"/>
    <w:rsid w:val="0071752D"/>
    <w:rsid w:val="00717700"/>
    <w:rsid w:val="007200C1"/>
    <w:rsid w:val="007204BE"/>
    <w:rsid w:val="0072063A"/>
    <w:rsid w:val="00721C2F"/>
    <w:rsid w:val="00722B98"/>
    <w:rsid w:val="007230C3"/>
    <w:rsid w:val="0072365A"/>
    <w:rsid w:val="00723AC8"/>
    <w:rsid w:val="00723F79"/>
    <w:rsid w:val="00724923"/>
    <w:rsid w:val="007249A1"/>
    <w:rsid w:val="00724A3E"/>
    <w:rsid w:val="007255D2"/>
    <w:rsid w:val="00725942"/>
    <w:rsid w:val="00726D39"/>
    <w:rsid w:val="00726FE5"/>
    <w:rsid w:val="007274A4"/>
    <w:rsid w:val="00727E45"/>
    <w:rsid w:val="00731AAC"/>
    <w:rsid w:val="007326D8"/>
    <w:rsid w:val="00732A42"/>
    <w:rsid w:val="00732C06"/>
    <w:rsid w:val="00732E9E"/>
    <w:rsid w:val="00733993"/>
    <w:rsid w:val="00733A9B"/>
    <w:rsid w:val="00733E34"/>
    <w:rsid w:val="00733E79"/>
    <w:rsid w:val="0073492B"/>
    <w:rsid w:val="00734BCA"/>
    <w:rsid w:val="00734E12"/>
    <w:rsid w:val="00734EA3"/>
    <w:rsid w:val="007351C1"/>
    <w:rsid w:val="00736DF4"/>
    <w:rsid w:val="00737E91"/>
    <w:rsid w:val="0074017E"/>
    <w:rsid w:val="0074146F"/>
    <w:rsid w:val="00741616"/>
    <w:rsid w:val="00741E48"/>
    <w:rsid w:val="00741F16"/>
    <w:rsid w:val="00741FBB"/>
    <w:rsid w:val="00742A5C"/>
    <w:rsid w:val="00744155"/>
    <w:rsid w:val="00744F0A"/>
    <w:rsid w:val="0074584E"/>
    <w:rsid w:val="00745ACC"/>
    <w:rsid w:val="00745FBF"/>
    <w:rsid w:val="0074618D"/>
    <w:rsid w:val="00746A95"/>
    <w:rsid w:val="00746AF8"/>
    <w:rsid w:val="00751F77"/>
    <w:rsid w:val="00753167"/>
    <w:rsid w:val="00753703"/>
    <w:rsid w:val="0075405D"/>
    <w:rsid w:val="0075406A"/>
    <w:rsid w:val="0075436D"/>
    <w:rsid w:val="00754695"/>
    <w:rsid w:val="007547B5"/>
    <w:rsid w:val="00755589"/>
    <w:rsid w:val="00755925"/>
    <w:rsid w:val="00756073"/>
    <w:rsid w:val="00756BDA"/>
    <w:rsid w:val="007574E5"/>
    <w:rsid w:val="00757C00"/>
    <w:rsid w:val="00760424"/>
    <w:rsid w:val="00760BDE"/>
    <w:rsid w:val="00760CC8"/>
    <w:rsid w:val="0076110B"/>
    <w:rsid w:val="00761189"/>
    <w:rsid w:val="007629B2"/>
    <w:rsid w:val="00763362"/>
    <w:rsid w:val="0076338B"/>
    <w:rsid w:val="00764A49"/>
    <w:rsid w:val="00765457"/>
    <w:rsid w:val="00766854"/>
    <w:rsid w:val="00767CFE"/>
    <w:rsid w:val="00767D34"/>
    <w:rsid w:val="007700D5"/>
    <w:rsid w:val="007709E1"/>
    <w:rsid w:val="00770AD1"/>
    <w:rsid w:val="007710AB"/>
    <w:rsid w:val="007713E1"/>
    <w:rsid w:val="00771D9D"/>
    <w:rsid w:val="0077214F"/>
    <w:rsid w:val="0077280F"/>
    <w:rsid w:val="00772967"/>
    <w:rsid w:val="00772D11"/>
    <w:rsid w:val="00772FA6"/>
    <w:rsid w:val="0077327F"/>
    <w:rsid w:val="007736DC"/>
    <w:rsid w:val="00774746"/>
    <w:rsid w:val="007748E5"/>
    <w:rsid w:val="00774E33"/>
    <w:rsid w:val="0077563F"/>
    <w:rsid w:val="00775742"/>
    <w:rsid w:val="007758C0"/>
    <w:rsid w:val="0077678E"/>
    <w:rsid w:val="00777C7E"/>
    <w:rsid w:val="007808C6"/>
    <w:rsid w:val="00780A38"/>
    <w:rsid w:val="00781099"/>
    <w:rsid w:val="00782462"/>
    <w:rsid w:val="00782BAE"/>
    <w:rsid w:val="00783921"/>
    <w:rsid w:val="00784124"/>
    <w:rsid w:val="007842AA"/>
    <w:rsid w:val="00784D13"/>
    <w:rsid w:val="0078527B"/>
    <w:rsid w:val="00785B88"/>
    <w:rsid w:val="00785C6B"/>
    <w:rsid w:val="00785F3E"/>
    <w:rsid w:val="00786B29"/>
    <w:rsid w:val="00790544"/>
    <w:rsid w:val="007906B0"/>
    <w:rsid w:val="00791250"/>
    <w:rsid w:val="007919B5"/>
    <w:rsid w:val="00791A36"/>
    <w:rsid w:val="00792F9A"/>
    <w:rsid w:val="0079331F"/>
    <w:rsid w:val="007935BA"/>
    <w:rsid w:val="0079365E"/>
    <w:rsid w:val="00793849"/>
    <w:rsid w:val="00793AF9"/>
    <w:rsid w:val="00793BDC"/>
    <w:rsid w:val="00794161"/>
    <w:rsid w:val="007942B4"/>
    <w:rsid w:val="00796037"/>
    <w:rsid w:val="007961B8"/>
    <w:rsid w:val="00797411"/>
    <w:rsid w:val="00797677"/>
    <w:rsid w:val="00797C28"/>
    <w:rsid w:val="007A00FB"/>
    <w:rsid w:val="007A01EF"/>
    <w:rsid w:val="007A07F4"/>
    <w:rsid w:val="007A1135"/>
    <w:rsid w:val="007A2972"/>
    <w:rsid w:val="007A2ADD"/>
    <w:rsid w:val="007A2CB7"/>
    <w:rsid w:val="007A35CA"/>
    <w:rsid w:val="007A4F1C"/>
    <w:rsid w:val="007A5118"/>
    <w:rsid w:val="007A541E"/>
    <w:rsid w:val="007A7136"/>
    <w:rsid w:val="007A7717"/>
    <w:rsid w:val="007B00FC"/>
    <w:rsid w:val="007B034C"/>
    <w:rsid w:val="007B08EA"/>
    <w:rsid w:val="007B0DDE"/>
    <w:rsid w:val="007B1214"/>
    <w:rsid w:val="007B1DE1"/>
    <w:rsid w:val="007B2107"/>
    <w:rsid w:val="007B2D47"/>
    <w:rsid w:val="007B3172"/>
    <w:rsid w:val="007B4FD8"/>
    <w:rsid w:val="007B52D4"/>
    <w:rsid w:val="007B6008"/>
    <w:rsid w:val="007B6115"/>
    <w:rsid w:val="007B64FD"/>
    <w:rsid w:val="007B6C6D"/>
    <w:rsid w:val="007C032F"/>
    <w:rsid w:val="007C0522"/>
    <w:rsid w:val="007C13D5"/>
    <w:rsid w:val="007C1633"/>
    <w:rsid w:val="007C1D17"/>
    <w:rsid w:val="007C1DFC"/>
    <w:rsid w:val="007C26C8"/>
    <w:rsid w:val="007C3350"/>
    <w:rsid w:val="007C3E73"/>
    <w:rsid w:val="007C41A8"/>
    <w:rsid w:val="007C5EBC"/>
    <w:rsid w:val="007C6039"/>
    <w:rsid w:val="007C6A5E"/>
    <w:rsid w:val="007C6EA9"/>
    <w:rsid w:val="007C7203"/>
    <w:rsid w:val="007C790D"/>
    <w:rsid w:val="007C791F"/>
    <w:rsid w:val="007D069E"/>
    <w:rsid w:val="007D0704"/>
    <w:rsid w:val="007D0D59"/>
    <w:rsid w:val="007D1181"/>
    <w:rsid w:val="007D12D4"/>
    <w:rsid w:val="007D14B5"/>
    <w:rsid w:val="007D17C3"/>
    <w:rsid w:val="007D2321"/>
    <w:rsid w:val="007D24FC"/>
    <w:rsid w:val="007D28D2"/>
    <w:rsid w:val="007D2E43"/>
    <w:rsid w:val="007D382D"/>
    <w:rsid w:val="007D3AEF"/>
    <w:rsid w:val="007D427F"/>
    <w:rsid w:val="007D432B"/>
    <w:rsid w:val="007D4B32"/>
    <w:rsid w:val="007D5158"/>
    <w:rsid w:val="007D544F"/>
    <w:rsid w:val="007D64E2"/>
    <w:rsid w:val="007D7524"/>
    <w:rsid w:val="007D7889"/>
    <w:rsid w:val="007D7A5E"/>
    <w:rsid w:val="007D7F65"/>
    <w:rsid w:val="007E03C5"/>
    <w:rsid w:val="007E04D8"/>
    <w:rsid w:val="007E1337"/>
    <w:rsid w:val="007E153E"/>
    <w:rsid w:val="007E2928"/>
    <w:rsid w:val="007E32D6"/>
    <w:rsid w:val="007E3A46"/>
    <w:rsid w:val="007E3C4B"/>
    <w:rsid w:val="007E3F9C"/>
    <w:rsid w:val="007E4144"/>
    <w:rsid w:val="007E494D"/>
    <w:rsid w:val="007E5035"/>
    <w:rsid w:val="007E5869"/>
    <w:rsid w:val="007E6C87"/>
    <w:rsid w:val="007E7229"/>
    <w:rsid w:val="007E74C2"/>
    <w:rsid w:val="007E7980"/>
    <w:rsid w:val="007F04B6"/>
    <w:rsid w:val="007F04F7"/>
    <w:rsid w:val="007F066D"/>
    <w:rsid w:val="007F15C8"/>
    <w:rsid w:val="007F1D2A"/>
    <w:rsid w:val="007F2051"/>
    <w:rsid w:val="007F2A73"/>
    <w:rsid w:val="007F2F82"/>
    <w:rsid w:val="007F347D"/>
    <w:rsid w:val="007F3C13"/>
    <w:rsid w:val="007F43DB"/>
    <w:rsid w:val="007F56AC"/>
    <w:rsid w:val="007F7468"/>
    <w:rsid w:val="007F7FAC"/>
    <w:rsid w:val="008002F0"/>
    <w:rsid w:val="00800C30"/>
    <w:rsid w:val="00800C69"/>
    <w:rsid w:val="00800D71"/>
    <w:rsid w:val="0080123B"/>
    <w:rsid w:val="00801700"/>
    <w:rsid w:val="008025B3"/>
    <w:rsid w:val="00802609"/>
    <w:rsid w:val="008029B6"/>
    <w:rsid w:val="00803302"/>
    <w:rsid w:val="00803458"/>
    <w:rsid w:val="00803B06"/>
    <w:rsid w:val="008048E3"/>
    <w:rsid w:val="00804C2A"/>
    <w:rsid w:val="008050C6"/>
    <w:rsid w:val="00805308"/>
    <w:rsid w:val="00805D0F"/>
    <w:rsid w:val="00806A46"/>
    <w:rsid w:val="00807110"/>
    <w:rsid w:val="008074C1"/>
    <w:rsid w:val="0081021D"/>
    <w:rsid w:val="00810454"/>
    <w:rsid w:val="0081079D"/>
    <w:rsid w:val="00810DC1"/>
    <w:rsid w:val="008111DC"/>
    <w:rsid w:val="0081255E"/>
    <w:rsid w:val="008125D7"/>
    <w:rsid w:val="00812F9A"/>
    <w:rsid w:val="00814938"/>
    <w:rsid w:val="00814961"/>
    <w:rsid w:val="00814B47"/>
    <w:rsid w:val="008150F0"/>
    <w:rsid w:val="00815194"/>
    <w:rsid w:val="00815737"/>
    <w:rsid w:val="00815752"/>
    <w:rsid w:val="00815F60"/>
    <w:rsid w:val="00816173"/>
    <w:rsid w:val="008161F2"/>
    <w:rsid w:val="00817711"/>
    <w:rsid w:val="00817926"/>
    <w:rsid w:val="0082056B"/>
    <w:rsid w:val="008209F2"/>
    <w:rsid w:val="00820BA6"/>
    <w:rsid w:val="00820BB9"/>
    <w:rsid w:val="00820F53"/>
    <w:rsid w:val="00821237"/>
    <w:rsid w:val="00822C59"/>
    <w:rsid w:val="00822E96"/>
    <w:rsid w:val="00823014"/>
    <w:rsid w:val="008241C2"/>
    <w:rsid w:val="00824321"/>
    <w:rsid w:val="008258C1"/>
    <w:rsid w:val="00826966"/>
    <w:rsid w:val="00826F28"/>
    <w:rsid w:val="00827080"/>
    <w:rsid w:val="00827E31"/>
    <w:rsid w:val="00830D5C"/>
    <w:rsid w:val="00831C52"/>
    <w:rsid w:val="00831D33"/>
    <w:rsid w:val="00832DA3"/>
    <w:rsid w:val="0083347C"/>
    <w:rsid w:val="00833AC1"/>
    <w:rsid w:val="008348A1"/>
    <w:rsid w:val="008351F1"/>
    <w:rsid w:val="008353BF"/>
    <w:rsid w:val="0083570B"/>
    <w:rsid w:val="00835A7D"/>
    <w:rsid w:val="008377C3"/>
    <w:rsid w:val="00837985"/>
    <w:rsid w:val="00837FB7"/>
    <w:rsid w:val="0084035F"/>
    <w:rsid w:val="008407C7"/>
    <w:rsid w:val="00840DEE"/>
    <w:rsid w:val="008411F0"/>
    <w:rsid w:val="00841305"/>
    <w:rsid w:val="008416D3"/>
    <w:rsid w:val="00841CAE"/>
    <w:rsid w:val="00841F64"/>
    <w:rsid w:val="0084244D"/>
    <w:rsid w:val="00842485"/>
    <w:rsid w:val="008426DB"/>
    <w:rsid w:val="008428BC"/>
    <w:rsid w:val="008429E3"/>
    <w:rsid w:val="00842AAC"/>
    <w:rsid w:val="00842CDD"/>
    <w:rsid w:val="0084327E"/>
    <w:rsid w:val="00843C69"/>
    <w:rsid w:val="00844216"/>
    <w:rsid w:val="00844CA5"/>
    <w:rsid w:val="00844D33"/>
    <w:rsid w:val="00844E2E"/>
    <w:rsid w:val="00844F73"/>
    <w:rsid w:val="008456D9"/>
    <w:rsid w:val="0084709B"/>
    <w:rsid w:val="0084741A"/>
    <w:rsid w:val="0084772F"/>
    <w:rsid w:val="00847F59"/>
    <w:rsid w:val="008502DD"/>
    <w:rsid w:val="00850744"/>
    <w:rsid w:val="00850953"/>
    <w:rsid w:val="0085230C"/>
    <w:rsid w:val="00852AFF"/>
    <w:rsid w:val="00853A2C"/>
    <w:rsid w:val="0085462D"/>
    <w:rsid w:val="0085561A"/>
    <w:rsid w:val="008556D9"/>
    <w:rsid w:val="00855A45"/>
    <w:rsid w:val="008562FE"/>
    <w:rsid w:val="00856FD2"/>
    <w:rsid w:val="00857F59"/>
    <w:rsid w:val="0086042A"/>
    <w:rsid w:val="00860E3D"/>
    <w:rsid w:val="00860FE6"/>
    <w:rsid w:val="0086186B"/>
    <w:rsid w:val="00862E57"/>
    <w:rsid w:val="00863372"/>
    <w:rsid w:val="00863536"/>
    <w:rsid w:val="008640E9"/>
    <w:rsid w:val="0086430C"/>
    <w:rsid w:val="008650AF"/>
    <w:rsid w:val="00865647"/>
    <w:rsid w:val="00865716"/>
    <w:rsid w:val="0086592D"/>
    <w:rsid w:val="008660CF"/>
    <w:rsid w:val="00867209"/>
    <w:rsid w:val="00867EFD"/>
    <w:rsid w:val="00867F7C"/>
    <w:rsid w:val="0087014F"/>
    <w:rsid w:val="008704EE"/>
    <w:rsid w:val="0087077D"/>
    <w:rsid w:val="00870EB5"/>
    <w:rsid w:val="008710DC"/>
    <w:rsid w:val="00871A76"/>
    <w:rsid w:val="00872740"/>
    <w:rsid w:val="00872FE1"/>
    <w:rsid w:val="00873010"/>
    <w:rsid w:val="00873099"/>
    <w:rsid w:val="0087422A"/>
    <w:rsid w:val="00874B5A"/>
    <w:rsid w:val="00874C01"/>
    <w:rsid w:val="00875081"/>
    <w:rsid w:val="00875EF6"/>
    <w:rsid w:val="0087605F"/>
    <w:rsid w:val="008760E6"/>
    <w:rsid w:val="008762D8"/>
    <w:rsid w:val="008766D9"/>
    <w:rsid w:val="00876A69"/>
    <w:rsid w:val="00876AC2"/>
    <w:rsid w:val="00876BED"/>
    <w:rsid w:val="00877762"/>
    <w:rsid w:val="00877AD0"/>
    <w:rsid w:val="00877AEE"/>
    <w:rsid w:val="00877D86"/>
    <w:rsid w:val="00880210"/>
    <w:rsid w:val="008805B9"/>
    <w:rsid w:val="00880813"/>
    <w:rsid w:val="0088091C"/>
    <w:rsid w:val="00881A4C"/>
    <w:rsid w:val="00881F6E"/>
    <w:rsid w:val="0088288F"/>
    <w:rsid w:val="00882B0B"/>
    <w:rsid w:val="00883564"/>
    <w:rsid w:val="00883593"/>
    <w:rsid w:val="00883A50"/>
    <w:rsid w:val="008841E8"/>
    <w:rsid w:val="00885CCC"/>
    <w:rsid w:val="00886231"/>
    <w:rsid w:val="008862D5"/>
    <w:rsid w:val="00886F01"/>
    <w:rsid w:val="00887647"/>
    <w:rsid w:val="00887F49"/>
    <w:rsid w:val="008900EE"/>
    <w:rsid w:val="00890496"/>
    <w:rsid w:val="00890501"/>
    <w:rsid w:val="00890733"/>
    <w:rsid w:val="0089082A"/>
    <w:rsid w:val="0089099C"/>
    <w:rsid w:val="00890A0B"/>
    <w:rsid w:val="00891014"/>
    <w:rsid w:val="008912F4"/>
    <w:rsid w:val="00891409"/>
    <w:rsid w:val="00891606"/>
    <w:rsid w:val="008917BA"/>
    <w:rsid w:val="00891CBF"/>
    <w:rsid w:val="00891DA2"/>
    <w:rsid w:val="0089318B"/>
    <w:rsid w:val="00893403"/>
    <w:rsid w:val="008939B9"/>
    <w:rsid w:val="00893A47"/>
    <w:rsid w:val="00894038"/>
    <w:rsid w:val="0089433F"/>
    <w:rsid w:val="00894392"/>
    <w:rsid w:val="008943CD"/>
    <w:rsid w:val="00894D39"/>
    <w:rsid w:val="00894F9E"/>
    <w:rsid w:val="00895063"/>
    <w:rsid w:val="008957D6"/>
    <w:rsid w:val="00895970"/>
    <w:rsid w:val="00896293"/>
    <w:rsid w:val="00896A93"/>
    <w:rsid w:val="0089741B"/>
    <w:rsid w:val="008A04AC"/>
    <w:rsid w:val="008A05CE"/>
    <w:rsid w:val="008A12F4"/>
    <w:rsid w:val="008A1650"/>
    <w:rsid w:val="008A2A30"/>
    <w:rsid w:val="008A2CA9"/>
    <w:rsid w:val="008A2DF4"/>
    <w:rsid w:val="008A38E0"/>
    <w:rsid w:val="008A3B59"/>
    <w:rsid w:val="008A41B9"/>
    <w:rsid w:val="008A428F"/>
    <w:rsid w:val="008A4BCC"/>
    <w:rsid w:val="008A4F08"/>
    <w:rsid w:val="008A4F77"/>
    <w:rsid w:val="008A6229"/>
    <w:rsid w:val="008A69AC"/>
    <w:rsid w:val="008A7582"/>
    <w:rsid w:val="008A783C"/>
    <w:rsid w:val="008B1AAF"/>
    <w:rsid w:val="008B331E"/>
    <w:rsid w:val="008B34FF"/>
    <w:rsid w:val="008B481F"/>
    <w:rsid w:val="008B4E6B"/>
    <w:rsid w:val="008B53A4"/>
    <w:rsid w:val="008B6439"/>
    <w:rsid w:val="008B6778"/>
    <w:rsid w:val="008B7207"/>
    <w:rsid w:val="008B7B09"/>
    <w:rsid w:val="008C07AA"/>
    <w:rsid w:val="008C2012"/>
    <w:rsid w:val="008C2087"/>
    <w:rsid w:val="008C2EEA"/>
    <w:rsid w:val="008C3026"/>
    <w:rsid w:val="008C3060"/>
    <w:rsid w:val="008C3534"/>
    <w:rsid w:val="008C3781"/>
    <w:rsid w:val="008C3903"/>
    <w:rsid w:val="008C41CF"/>
    <w:rsid w:val="008C486F"/>
    <w:rsid w:val="008C5029"/>
    <w:rsid w:val="008C5411"/>
    <w:rsid w:val="008C5422"/>
    <w:rsid w:val="008C5B7F"/>
    <w:rsid w:val="008C6024"/>
    <w:rsid w:val="008C6115"/>
    <w:rsid w:val="008C627B"/>
    <w:rsid w:val="008C62E2"/>
    <w:rsid w:val="008C638E"/>
    <w:rsid w:val="008C6727"/>
    <w:rsid w:val="008C691D"/>
    <w:rsid w:val="008D013E"/>
    <w:rsid w:val="008D0CF6"/>
    <w:rsid w:val="008D1F51"/>
    <w:rsid w:val="008D31AB"/>
    <w:rsid w:val="008D3238"/>
    <w:rsid w:val="008D34D3"/>
    <w:rsid w:val="008D354C"/>
    <w:rsid w:val="008D4037"/>
    <w:rsid w:val="008D41FC"/>
    <w:rsid w:val="008D4306"/>
    <w:rsid w:val="008D48B9"/>
    <w:rsid w:val="008D58D1"/>
    <w:rsid w:val="008D6554"/>
    <w:rsid w:val="008D6C26"/>
    <w:rsid w:val="008D7A49"/>
    <w:rsid w:val="008D7DBA"/>
    <w:rsid w:val="008E0067"/>
    <w:rsid w:val="008E0D30"/>
    <w:rsid w:val="008E176C"/>
    <w:rsid w:val="008E17A0"/>
    <w:rsid w:val="008E1B87"/>
    <w:rsid w:val="008E20F9"/>
    <w:rsid w:val="008E2140"/>
    <w:rsid w:val="008E23B4"/>
    <w:rsid w:val="008E2B1B"/>
    <w:rsid w:val="008E2EB1"/>
    <w:rsid w:val="008E3249"/>
    <w:rsid w:val="008E3848"/>
    <w:rsid w:val="008E4B31"/>
    <w:rsid w:val="008E64A9"/>
    <w:rsid w:val="008E6F05"/>
    <w:rsid w:val="008E7022"/>
    <w:rsid w:val="008E7ADB"/>
    <w:rsid w:val="008E7B3C"/>
    <w:rsid w:val="008F0D03"/>
    <w:rsid w:val="008F11C5"/>
    <w:rsid w:val="008F139B"/>
    <w:rsid w:val="008F1C3E"/>
    <w:rsid w:val="008F2CAB"/>
    <w:rsid w:val="008F41A0"/>
    <w:rsid w:val="008F5307"/>
    <w:rsid w:val="008F5369"/>
    <w:rsid w:val="008F613F"/>
    <w:rsid w:val="008F6924"/>
    <w:rsid w:val="008F728A"/>
    <w:rsid w:val="009006A7"/>
    <w:rsid w:val="00900AAB"/>
    <w:rsid w:val="00900DE8"/>
    <w:rsid w:val="00901323"/>
    <w:rsid w:val="00902093"/>
    <w:rsid w:val="00902DEC"/>
    <w:rsid w:val="00903A25"/>
    <w:rsid w:val="009041CF"/>
    <w:rsid w:val="009047B1"/>
    <w:rsid w:val="009049F0"/>
    <w:rsid w:val="00904C2A"/>
    <w:rsid w:val="00904E47"/>
    <w:rsid w:val="00905943"/>
    <w:rsid w:val="00906090"/>
    <w:rsid w:val="009101FE"/>
    <w:rsid w:val="009105AE"/>
    <w:rsid w:val="00910864"/>
    <w:rsid w:val="00910B40"/>
    <w:rsid w:val="00911711"/>
    <w:rsid w:val="00912098"/>
    <w:rsid w:val="009126B6"/>
    <w:rsid w:val="00912EA3"/>
    <w:rsid w:val="009131EE"/>
    <w:rsid w:val="00914248"/>
    <w:rsid w:val="0091481B"/>
    <w:rsid w:val="0091523C"/>
    <w:rsid w:val="0091535D"/>
    <w:rsid w:val="009159F2"/>
    <w:rsid w:val="00915CED"/>
    <w:rsid w:val="009160F7"/>
    <w:rsid w:val="0091613D"/>
    <w:rsid w:val="00916934"/>
    <w:rsid w:val="009169F4"/>
    <w:rsid w:val="00916E2E"/>
    <w:rsid w:val="0092081E"/>
    <w:rsid w:val="00920C22"/>
    <w:rsid w:val="00921576"/>
    <w:rsid w:val="00922490"/>
    <w:rsid w:val="00922B29"/>
    <w:rsid w:val="00922B4C"/>
    <w:rsid w:val="00923496"/>
    <w:rsid w:val="009237C3"/>
    <w:rsid w:val="00923F21"/>
    <w:rsid w:val="009247DA"/>
    <w:rsid w:val="00924F1A"/>
    <w:rsid w:val="00925F37"/>
    <w:rsid w:val="0092633A"/>
    <w:rsid w:val="00926D15"/>
    <w:rsid w:val="00926F41"/>
    <w:rsid w:val="0092714F"/>
    <w:rsid w:val="00927E72"/>
    <w:rsid w:val="0093087C"/>
    <w:rsid w:val="00930D07"/>
    <w:rsid w:val="009310A0"/>
    <w:rsid w:val="00931E6E"/>
    <w:rsid w:val="00932197"/>
    <w:rsid w:val="0093237C"/>
    <w:rsid w:val="00932C34"/>
    <w:rsid w:val="00932C8F"/>
    <w:rsid w:val="00932CA2"/>
    <w:rsid w:val="0093313E"/>
    <w:rsid w:val="009334AE"/>
    <w:rsid w:val="009342E1"/>
    <w:rsid w:val="009346B3"/>
    <w:rsid w:val="009348B2"/>
    <w:rsid w:val="00935206"/>
    <w:rsid w:val="00935B20"/>
    <w:rsid w:val="009361BC"/>
    <w:rsid w:val="00936222"/>
    <w:rsid w:val="00936977"/>
    <w:rsid w:val="00936AB8"/>
    <w:rsid w:val="00936AF6"/>
    <w:rsid w:val="0093707D"/>
    <w:rsid w:val="009377F5"/>
    <w:rsid w:val="0093785A"/>
    <w:rsid w:val="00937873"/>
    <w:rsid w:val="0094003A"/>
    <w:rsid w:val="00940959"/>
    <w:rsid w:val="00940BD4"/>
    <w:rsid w:val="00941B85"/>
    <w:rsid w:val="00941FA9"/>
    <w:rsid w:val="00942DBF"/>
    <w:rsid w:val="009432EC"/>
    <w:rsid w:val="00943772"/>
    <w:rsid w:val="00943D23"/>
    <w:rsid w:val="00943F59"/>
    <w:rsid w:val="00944532"/>
    <w:rsid w:val="00944D58"/>
    <w:rsid w:val="00944E69"/>
    <w:rsid w:val="00944E8E"/>
    <w:rsid w:val="00945435"/>
    <w:rsid w:val="00945568"/>
    <w:rsid w:val="00945D86"/>
    <w:rsid w:val="00945FB9"/>
    <w:rsid w:val="00946412"/>
    <w:rsid w:val="0094649A"/>
    <w:rsid w:val="009465EA"/>
    <w:rsid w:val="0094662D"/>
    <w:rsid w:val="00950064"/>
    <w:rsid w:val="00950BE7"/>
    <w:rsid w:val="00950F04"/>
    <w:rsid w:val="0095114B"/>
    <w:rsid w:val="009517D0"/>
    <w:rsid w:val="00951AA6"/>
    <w:rsid w:val="00952C36"/>
    <w:rsid w:val="00952D58"/>
    <w:rsid w:val="00953F54"/>
    <w:rsid w:val="009547F7"/>
    <w:rsid w:val="00954867"/>
    <w:rsid w:val="0095546A"/>
    <w:rsid w:val="009557BC"/>
    <w:rsid w:val="00956F49"/>
    <w:rsid w:val="0095726F"/>
    <w:rsid w:val="009575CF"/>
    <w:rsid w:val="00957761"/>
    <w:rsid w:val="00960420"/>
    <w:rsid w:val="009605AA"/>
    <w:rsid w:val="00960730"/>
    <w:rsid w:val="00960891"/>
    <w:rsid w:val="00962B85"/>
    <w:rsid w:val="00962BF8"/>
    <w:rsid w:val="00963050"/>
    <w:rsid w:val="009630CE"/>
    <w:rsid w:val="00964858"/>
    <w:rsid w:val="00964BAA"/>
    <w:rsid w:val="00965A2A"/>
    <w:rsid w:val="009662DF"/>
    <w:rsid w:val="009674DB"/>
    <w:rsid w:val="0096772A"/>
    <w:rsid w:val="009677B3"/>
    <w:rsid w:val="009678CE"/>
    <w:rsid w:val="00967B39"/>
    <w:rsid w:val="00967B44"/>
    <w:rsid w:val="00971C26"/>
    <w:rsid w:val="00971D57"/>
    <w:rsid w:val="0097254D"/>
    <w:rsid w:val="00972838"/>
    <w:rsid w:val="00972F77"/>
    <w:rsid w:val="00973874"/>
    <w:rsid w:val="0097565D"/>
    <w:rsid w:val="00975C6E"/>
    <w:rsid w:val="009765DA"/>
    <w:rsid w:val="00976ABA"/>
    <w:rsid w:val="009804B5"/>
    <w:rsid w:val="00980A82"/>
    <w:rsid w:val="00980F60"/>
    <w:rsid w:val="00981007"/>
    <w:rsid w:val="00981B74"/>
    <w:rsid w:val="00981E54"/>
    <w:rsid w:val="009825B6"/>
    <w:rsid w:val="0098272B"/>
    <w:rsid w:val="00982D37"/>
    <w:rsid w:val="009832E1"/>
    <w:rsid w:val="00983E5B"/>
    <w:rsid w:val="00984622"/>
    <w:rsid w:val="00984E3C"/>
    <w:rsid w:val="00985AB1"/>
    <w:rsid w:val="00986F05"/>
    <w:rsid w:val="00986FB5"/>
    <w:rsid w:val="009874D3"/>
    <w:rsid w:val="00987534"/>
    <w:rsid w:val="0098776D"/>
    <w:rsid w:val="009879D3"/>
    <w:rsid w:val="00990110"/>
    <w:rsid w:val="009913AA"/>
    <w:rsid w:val="00991C42"/>
    <w:rsid w:val="00991D65"/>
    <w:rsid w:val="0099312D"/>
    <w:rsid w:val="0099421E"/>
    <w:rsid w:val="009953EF"/>
    <w:rsid w:val="009958CE"/>
    <w:rsid w:val="00995BFF"/>
    <w:rsid w:val="00995DFC"/>
    <w:rsid w:val="00996434"/>
    <w:rsid w:val="009964D8"/>
    <w:rsid w:val="009965AE"/>
    <w:rsid w:val="0099663D"/>
    <w:rsid w:val="00996BDB"/>
    <w:rsid w:val="00996C9E"/>
    <w:rsid w:val="00996D2A"/>
    <w:rsid w:val="009A03D2"/>
    <w:rsid w:val="009A0A15"/>
    <w:rsid w:val="009A1864"/>
    <w:rsid w:val="009A2A68"/>
    <w:rsid w:val="009A388B"/>
    <w:rsid w:val="009A40DC"/>
    <w:rsid w:val="009A472B"/>
    <w:rsid w:val="009A493E"/>
    <w:rsid w:val="009A4AB6"/>
    <w:rsid w:val="009A5232"/>
    <w:rsid w:val="009A67F4"/>
    <w:rsid w:val="009A76C9"/>
    <w:rsid w:val="009B029B"/>
    <w:rsid w:val="009B0383"/>
    <w:rsid w:val="009B0CBE"/>
    <w:rsid w:val="009B15C0"/>
    <w:rsid w:val="009B1E78"/>
    <w:rsid w:val="009B2AE8"/>
    <w:rsid w:val="009B2BA3"/>
    <w:rsid w:val="009B3062"/>
    <w:rsid w:val="009B3DA8"/>
    <w:rsid w:val="009B47A5"/>
    <w:rsid w:val="009B47EC"/>
    <w:rsid w:val="009B54A1"/>
    <w:rsid w:val="009B5DD2"/>
    <w:rsid w:val="009B6252"/>
    <w:rsid w:val="009B6569"/>
    <w:rsid w:val="009B6AFD"/>
    <w:rsid w:val="009B6DF5"/>
    <w:rsid w:val="009C0624"/>
    <w:rsid w:val="009C08EF"/>
    <w:rsid w:val="009C099C"/>
    <w:rsid w:val="009C09D4"/>
    <w:rsid w:val="009C1442"/>
    <w:rsid w:val="009C2A8E"/>
    <w:rsid w:val="009C2DF9"/>
    <w:rsid w:val="009C3677"/>
    <w:rsid w:val="009C3DB6"/>
    <w:rsid w:val="009C4B0E"/>
    <w:rsid w:val="009C4CC6"/>
    <w:rsid w:val="009C4D33"/>
    <w:rsid w:val="009C5807"/>
    <w:rsid w:val="009C59F9"/>
    <w:rsid w:val="009C658A"/>
    <w:rsid w:val="009C6A5F"/>
    <w:rsid w:val="009C7293"/>
    <w:rsid w:val="009D2015"/>
    <w:rsid w:val="009D238C"/>
    <w:rsid w:val="009D28BC"/>
    <w:rsid w:val="009D2FDE"/>
    <w:rsid w:val="009D3F8A"/>
    <w:rsid w:val="009D4A96"/>
    <w:rsid w:val="009D54F9"/>
    <w:rsid w:val="009D5904"/>
    <w:rsid w:val="009D5BA5"/>
    <w:rsid w:val="009D64E5"/>
    <w:rsid w:val="009D713E"/>
    <w:rsid w:val="009D7166"/>
    <w:rsid w:val="009D7947"/>
    <w:rsid w:val="009E0465"/>
    <w:rsid w:val="009E0D90"/>
    <w:rsid w:val="009E11A2"/>
    <w:rsid w:val="009E2117"/>
    <w:rsid w:val="009E28C6"/>
    <w:rsid w:val="009E300F"/>
    <w:rsid w:val="009E3B3D"/>
    <w:rsid w:val="009E3D91"/>
    <w:rsid w:val="009E442B"/>
    <w:rsid w:val="009E44C3"/>
    <w:rsid w:val="009E51EE"/>
    <w:rsid w:val="009E5753"/>
    <w:rsid w:val="009E5CBF"/>
    <w:rsid w:val="009E60BB"/>
    <w:rsid w:val="009E6168"/>
    <w:rsid w:val="009E6BEC"/>
    <w:rsid w:val="009E6C7E"/>
    <w:rsid w:val="009E7E9B"/>
    <w:rsid w:val="009F0450"/>
    <w:rsid w:val="009F07B0"/>
    <w:rsid w:val="009F0E67"/>
    <w:rsid w:val="009F1F27"/>
    <w:rsid w:val="009F299C"/>
    <w:rsid w:val="009F2DCC"/>
    <w:rsid w:val="009F385B"/>
    <w:rsid w:val="009F3937"/>
    <w:rsid w:val="009F42BD"/>
    <w:rsid w:val="009F432D"/>
    <w:rsid w:val="009F4401"/>
    <w:rsid w:val="009F446F"/>
    <w:rsid w:val="009F5076"/>
    <w:rsid w:val="009F544D"/>
    <w:rsid w:val="009F54FB"/>
    <w:rsid w:val="009F67BE"/>
    <w:rsid w:val="009F6ED8"/>
    <w:rsid w:val="009F7066"/>
    <w:rsid w:val="009F7689"/>
    <w:rsid w:val="00A00020"/>
    <w:rsid w:val="00A003AB"/>
    <w:rsid w:val="00A004A2"/>
    <w:rsid w:val="00A00915"/>
    <w:rsid w:val="00A016BD"/>
    <w:rsid w:val="00A019B3"/>
    <w:rsid w:val="00A02517"/>
    <w:rsid w:val="00A0270A"/>
    <w:rsid w:val="00A02B11"/>
    <w:rsid w:val="00A02EEB"/>
    <w:rsid w:val="00A03095"/>
    <w:rsid w:val="00A0335D"/>
    <w:rsid w:val="00A03DC4"/>
    <w:rsid w:val="00A044C2"/>
    <w:rsid w:val="00A046ED"/>
    <w:rsid w:val="00A05819"/>
    <w:rsid w:val="00A0676C"/>
    <w:rsid w:val="00A06800"/>
    <w:rsid w:val="00A069CC"/>
    <w:rsid w:val="00A06CE8"/>
    <w:rsid w:val="00A07EA9"/>
    <w:rsid w:val="00A1012B"/>
    <w:rsid w:val="00A1035E"/>
    <w:rsid w:val="00A10929"/>
    <w:rsid w:val="00A10C1E"/>
    <w:rsid w:val="00A11547"/>
    <w:rsid w:val="00A11BA9"/>
    <w:rsid w:val="00A11C59"/>
    <w:rsid w:val="00A12157"/>
    <w:rsid w:val="00A12D6F"/>
    <w:rsid w:val="00A136BF"/>
    <w:rsid w:val="00A13C26"/>
    <w:rsid w:val="00A14252"/>
    <w:rsid w:val="00A145FC"/>
    <w:rsid w:val="00A14B08"/>
    <w:rsid w:val="00A150B9"/>
    <w:rsid w:val="00A16467"/>
    <w:rsid w:val="00A1648B"/>
    <w:rsid w:val="00A176B6"/>
    <w:rsid w:val="00A20355"/>
    <w:rsid w:val="00A2094E"/>
    <w:rsid w:val="00A2169D"/>
    <w:rsid w:val="00A21FD7"/>
    <w:rsid w:val="00A223DC"/>
    <w:rsid w:val="00A22C7C"/>
    <w:rsid w:val="00A2344F"/>
    <w:rsid w:val="00A23E78"/>
    <w:rsid w:val="00A24B7E"/>
    <w:rsid w:val="00A24C9B"/>
    <w:rsid w:val="00A25EAA"/>
    <w:rsid w:val="00A262D2"/>
    <w:rsid w:val="00A26EB2"/>
    <w:rsid w:val="00A2706E"/>
    <w:rsid w:val="00A30046"/>
    <w:rsid w:val="00A303D1"/>
    <w:rsid w:val="00A306D4"/>
    <w:rsid w:val="00A31285"/>
    <w:rsid w:val="00A33363"/>
    <w:rsid w:val="00A34010"/>
    <w:rsid w:val="00A34C67"/>
    <w:rsid w:val="00A350B4"/>
    <w:rsid w:val="00A35D7E"/>
    <w:rsid w:val="00A364F0"/>
    <w:rsid w:val="00A36502"/>
    <w:rsid w:val="00A36648"/>
    <w:rsid w:val="00A3720C"/>
    <w:rsid w:val="00A372F0"/>
    <w:rsid w:val="00A375C3"/>
    <w:rsid w:val="00A37700"/>
    <w:rsid w:val="00A37FA0"/>
    <w:rsid w:val="00A40403"/>
    <w:rsid w:val="00A40562"/>
    <w:rsid w:val="00A40F3A"/>
    <w:rsid w:val="00A41BF0"/>
    <w:rsid w:val="00A41FA6"/>
    <w:rsid w:val="00A42E11"/>
    <w:rsid w:val="00A4334E"/>
    <w:rsid w:val="00A434DD"/>
    <w:rsid w:val="00A4356D"/>
    <w:rsid w:val="00A435A5"/>
    <w:rsid w:val="00A43779"/>
    <w:rsid w:val="00A43E9F"/>
    <w:rsid w:val="00A4422A"/>
    <w:rsid w:val="00A4452F"/>
    <w:rsid w:val="00A448B9"/>
    <w:rsid w:val="00A44A25"/>
    <w:rsid w:val="00A44F0E"/>
    <w:rsid w:val="00A4523A"/>
    <w:rsid w:val="00A454FB"/>
    <w:rsid w:val="00A46826"/>
    <w:rsid w:val="00A46967"/>
    <w:rsid w:val="00A46A42"/>
    <w:rsid w:val="00A46C24"/>
    <w:rsid w:val="00A47C75"/>
    <w:rsid w:val="00A47DE2"/>
    <w:rsid w:val="00A50D31"/>
    <w:rsid w:val="00A52039"/>
    <w:rsid w:val="00A5225D"/>
    <w:rsid w:val="00A5247B"/>
    <w:rsid w:val="00A527AF"/>
    <w:rsid w:val="00A527C7"/>
    <w:rsid w:val="00A52CAD"/>
    <w:rsid w:val="00A52E10"/>
    <w:rsid w:val="00A53232"/>
    <w:rsid w:val="00A53912"/>
    <w:rsid w:val="00A547FF"/>
    <w:rsid w:val="00A54F9F"/>
    <w:rsid w:val="00A551AD"/>
    <w:rsid w:val="00A551B9"/>
    <w:rsid w:val="00A55E19"/>
    <w:rsid w:val="00A56288"/>
    <w:rsid w:val="00A56376"/>
    <w:rsid w:val="00A56762"/>
    <w:rsid w:val="00A5699C"/>
    <w:rsid w:val="00A57593"/>
    <w:rsid w:val="00A576B3"/>
    <w:rsid w:val="00A577B6"/>
    <w:rsid w:val="00A57DBA"/>
    <w:rsid w:val="00A608E5"/>
    <w:rsid w:val="00A61FD6"/>
    <w:rsid w:val="00A62039"/>
    <w:rsid w:val="00A63EE9"/>
    <w:rsid w:val="00A647B3"/>
    <w:rsid w:val="00A64B9B"/>
    <w:rsid w:val="00A6596D"/>
    <w:rsid w:val="00A66268"/>
    <w:rsid w:val="00A6637C"/>
    <w:rsid w:val="00A668D1"/>
    <w:rsid w:val="00A67252"/>
    <w:rsid w:val="00A67524"/>
    <w:rsid w:val="00A675AB"/>
    <w:rsid w:val="00A67AD3"/>
    <w:rsid w:val="00A70661"/>
    <w:rsid w:val="00A70ADF"/>
    <w:rsid w:val="00A70BDA"/>
    <w:rsid w:val="00A710C2"/>
    <w:rsid w:val="00A71902"/>
    <w:rsid w:val="00A7214A"/>
    <w:rsid w:val="00A73204"/>
    <w:rsid w:val="00A73ABF"/>
    <w:rsid w:val="00A73AD3"/>
    <w:rsid w:val="00A73B32"/>
    <w:rsid w:val="00A73CC1"/>
    <w:rsid w:val="00A747C3"/>
    <w:rsid w:val="00A748EA"/>
    <w:rsid w:val="00A756A7"/>
    <w:rsid w:val="00A765DE"/>
    <w:rsid w:val="00A775B3"/>
    <w:rsid w:val="00A77C85"/>
    <w:rsid w:val="00A80DCE"/>
    <w:rsid w:val="00A81357"/>
    <w:rsid w:val="00A81495"/>
    <w:rsid w:val="00A81EA0"/>
    <w:rsid w:val="00A825E4"/>
    <w:rsid w:val="00A828CF"/>
    <w:rsid w:val="00A829B3"/>
    <w:rsid w:val="00A82AA3"/>
    <w:rsid w:val="00A8328F"/>
    <w:rsid w:val="00A83B42"/>
    <w:rsid w:val="00A83D89"/>
    <w:rsid w:val="00A847C7"/>
    <w:rsid w:val="00A84E31"/>
    <w:rsid w:val="00A8547C"/>
    <w:rsid w:val="00A855E2"/>
    <w:rsid w:val="00A85EB8"/>
    <w:rsid w:val="00A8723E"/>
    <w:rsid w:val="00A873AA"/>
    <w:rsid w:val="00A87D15"/>
    <w:rsid w:val="00A90955"/>
    <w:rsid w:val="00A919DC"/>
    <w:rsid w:val="00A91C25"/>
    <w:rsid w:val="00A92709"/>
    <w:rsid w:val="00A92D1B"/>
    <w:rsid w:val="00A92E48"/>
    <w:rsid w:val="00A93D08"/>
    <w:rsid w:val="00A947A6"/>
    <w:rsid w:val="00A94DCB"/>
    <w:rsid w:val="00A9579F"/>
    <w:rsid w:val="00A964C2"/>
    <w:rsid w:val="00A97876"/>
    <w:rsid w:val="00AA061A"/>
    <w:rsid w:val="00AA0AB8"/>
    <w:rsid w:val="00AA12B3"/>
    <w:rsid w:val="00AA25D4"/>
    <w:rsid w:val="00AA2970"/>
    <w:rsid w:val="00AA360E"/>
    <w:rsid w:val="00AA41F3"/>
    <w:rsid w:val="00AA46D9"/>
    <w:rsid w:val="00AA4985"/>
    <w:rsid w:val="00AA54C7"/>
    <w:rsid w:val="00AA5715"/>
    <w:rsid w:val="00AA5BAD"/>
    <w:rsid w:val="00AA5D11"/>
    <w:rsid w:val="00AA67A2"/>
    <w:rsid w:val="00AA69D4"/>
    <w:rsid w:val="00AA6A15"/>
    <w:rsid w:val="00AA6E2C"/>
    <w:rsid w:val="00AA73C1"/>
    <w:rsid w:val="00AA7B82"/>
    <w:rsid w:val="00AA7D98"/>
    <w:rsid w:val="00AB0057"/>
    <w:rsid w:val="00AB0D62"/>
    <w:rsid w:val="00AB0FFC"/>
    <w:rsid w:val="00AB1198"/>
    <w:rsid w:val="00AB1B42"/>
    <w:rsid w:val="00AB2A48"/>
    <w:rsid w:val="00AB2BDE"/>
    <w:rsid w:val="00AB3141"/>
    <w:rsid w:val="00AB3A52"/>
    <w:rsid w:val="00AB3A96"/>
    <w:rsid w:val="00AB3D9E"/>
    <w:rsid w:val="00AB4166"/>
    <w:rsid w:val="00AB4300"/>
    <w:rsid w:val="00AB4D93"/>
    <w:rsid w:val="00AB5CA1"/>
    <w:rsid w:val="00AB5E70"/>
    <w:rsid w:val="00AB71A4"/>
    <w:rsid w:val="00AB73D6"/>
    <w:rsid w:val="00AB73FB"/>
    <w:rsid w:val="00AB7E3A"/>
    <w:rsid w:val="00AC0307"/>
    <w:rsid w:val="00AC0488"/>
    <w:rsid w:val="00AC0F61"/>
    <w:rsid w:val="00AC1480"/>
    <w:rsid w:val="00AC15BF"/>
    <w:rsid w:val="00AC1B6C"/>
    <w:rsid w:val="00AC1C9D"/>
    <w:rsid w:val="00AC1E7B"/>
    <w:rsid w:val="00AC3A0F"/>
    <w:rsid w:val="00AC41C5"/>
    <w:rsid w:val="00AC505D"/>
    <w:rsid w:val="00AC58A1"/>
    <w:rsid w:val="00AC5BDE"/>
    <w:rsid w:val="00AC5F76"/>
    <w:rsid w:val="00AC6006"/>
    <w:rsid w:val="00AC6043"/>
    <w:rsid w:val="00AC6B67"/>
    <w:rsid w:val="00AC6E0A"/>
    <w:rsid w:val="00AC78A5"/>
    <w:rsid w:val="00AC7F7F"/>
    <w:rsid w:val="00AD0569"/>
    <w:rsid w:val="00AD0913"/>
    <w:rsid w:val="00AD0F82"/>
    <w:rsid w:val="00AD16B1"/>
    <w:rsid w:val="00AD17EF"/>
    <w:rsid w:val="00AD27DF"/>
    <w:rsid w:val="00AD2ABD"/>
    <w:rsid w:val="00AD2D95"/>
    <w:rsid w:val="00AD3742"/>
    <w:rsid w:val="00AD3F7C"/>
    <w:rsid w:val="00AD428A"/>
    <w:rsid w:val="00AD4A03"/>
    <w:rsid w:val="00AD52F2"/>
    <w:rsid w:val="00AD5701"/>
    <w:rsid w:val="00AD5962"/>
    <w:rsid w:val="00AD5C9D"/>
    <w:rsid w:val="00AD699C"/>
    <w:rsid w:val="00AD73FD"/>
    <w:rsid w:val="00AE052F"/>
    <w:rsid w:val="00AE07B4"/>
    <w:rsid w:val="00AE0FAB"/>
    <w:rsid w:val="00AE16E6"/>
    <w:rsid w:val="00AE16FB"/>
    <w:rsid w:val="00AE2D8B"/>
    <w:rsid w:val="00AE3086"/>
    <w:rsid w:val="00AE3B2A"/>
    <w:rsid w:val="00AE493E"/>
    <w:rsid w:val="00AE63D7"/>
    <w:rsid w:val="00AE70BB"/>
    <w:rsid w:val="00AE715A"/>
    <w:rsid w:val="00AF034C"/>
    <w:rsid w:val="00AF14B2"/>
    <w:rsid w:val="00AF1C93"/>
    <w:rsid w:val="00AF2354"/>
    <w:rsid w:val="00AF2412"/>
    <w:rsid w:val="00AF504A"/>
    <w:rsid w:val="00AF537F"/>
    <w:rsid w:val="00AF5531"/>
    <w:rsid w:val="00AF5682"/>
    <w:rsid w:val="00AF6222"/>
    <w:rsid w:val="00AF63B8"/>
    <w:rsid w:val="00AF65FB"/>
    <w:rsid w:val="00AF6763"/>
    <w:rsid w:val="00AF6D02"/>
    <w:rsid w:val="00AF74FD"/>
    <w:rsid w:val="00AF77C0"/>
    <w:rsid w:val="00AF79E4"/>
    <w:rsid w:val="00B01728"/>
    <w:rsid w:val="00B01C63"/>
    <w:rsid w:val="00B0246D"/>
    <w:rsid w:val="00B03395"/>
    <w:rsid w:val="00B04827"/>
    <w:rsid w:val="00B0519C"/>
    <w:rsid w:val="00B05674"/>
    <w:rsid w:val="00B058D6"/>
    <w:rsid w:val="00B05E11"/>
    <w:rsid w:val="00B1019C"/>
    <w:rsid w:val="00B11831"/>
    <w:rsid w:val="00B11A54"/>
    <w:rsid w:val="00B12EB0"/>
    <w:rsid w:val="00B13187"/>
    <w:rsid w:val="00B132A3"/>
    <w:rsid w:val="00B14059"/>
    <w:rsid w:val="00B14410"/>
    <w:rsid w:val="00B1527B"/>
    <w:rsid w:val="00B1539E"/>
    <w:rsid w:val="00B15B5C"/>
    <w:rsid w:val="00B168F3"/>
    <w:rsid w:val="00B16DC5"/>
    <w:rsid w:val="00B1742C"/>
    <w:rsid w:val="00B17BAE"/>
    <w:rsid w:val="00B209D4"/>
    <w:rsid w:val="00B214BC"/>
    <w:rsid w:val="00B2157A"/>
    <w:rsid w:val="00B21BEF"/>
    <w:rsid w:val="00B21F40"/>
    <w:rsid w:val="00B22A2D"/>
    <w:rsid w:val="00B24332"/>
    <w:rsid w:val="00B2487C"/>
    <w:rsid w:val="00B25C08"/>
    <w:rsid w:val="00B26E1C"/>
    <w:rsid w:val="00B26EB5"/>
    <w:rsid w:val="00B30B99"/>
    <w:rsid w:val="00B30BF4"/>
    <w:rsid w:val="00B312CE"/>
    <w:rsid w:val="00B314AA"/>
    <w:rsid w:val="00B33146"/>
    <w:rsid w:val="00B33A56"/>
    <w:rsid w:val="00B33B78"/>
    <w:rsid w:val="00B351CA"/>
    <w:rsid w:val="00B3677C"/>
    <w:rsid w:val="00B36BE3"/>
    <w:rsid w:val="00B373B4"/>
    <w:rsid w:val="00B405D5"/>
    <w:rsid w:val="00B40739"/>
    <w:rsid w:val="00B409C8"/>
    <w:rsid w:val="00B4115D"/>
    <w:rsid w:val="00B41218"/>
    <w:rsid w:val="00B429F0"/>
    <w:rsid w:val="00B43BBB"/>
    <w:rsid w:val="00B43DB2"/>
    <w:rsid w:val="00B44327"/>
    <w:rsid w:val="00B44560"/>
    <w:rsid w:val="00B458B1"/>
    <w:rsid w:val="00B45B2F"/>
    <w:rsid w:val="00B45F98"/>
    <w:rsid w:val="00B46623"/>
    <w:rsid w:val="00B46AAF"/>
    <w:rsid w:val="00B46B7C"/>
    <w:rsid w:val="00B475A7"/>
    <w:rsid w:val="00B479E0"/>
    <w:rsid w:val="00B47CA6"/>
    <w:rsid w:val="00B5052A"/>
    <w:rsid w:val="00B513B4"/>
    <w:rsid w:val="00B5186B"/>
    <w:rsid w:val="00B5298F"/>
    <w:rsid w:val="00B52AC0"/>
    <w:rsid w:val="00B53203"/>
    <w:rsid w:val="00B53F6D"/>
    <w:rsid w:val="00B5427A"/>
    <w:rsid w:val="00B555BA"/>
    <w:rsid w:val="00B56C8B"/>
    <w:rsid w:val="00B602B6"/>
    <w:rsid w:val="00B60DFA"/>
    <w:rsid w:val="00B614F3"/>
    <w:rsid w:val="00B629FB"/>
    <w:rsid w:val="00B62C83"/>
    <w:rsid w:val="00B63113"/>
    <w:rsid w:val="00B63600"/>
    <w:rsid w:val="00B64024"/>
    <w:rsid w:val="00B64702"/>
    <w:rsid w:val="00B653F8"/>
    <w:rsid w:val="00B663D1"/>
    <w:rsid w:val="00B666C9"/>
    <w:rsid w:val="00B667D6"/>
    <w:rsid w:val="00B6683E"/>
    <w:rsid w:val="00B67921"/>
    <w:rsid w:val="00B67FB6"/>
    <w:rsid w:val="00B7000D"/>
    <w:rsid w:val="00B70323"/>
    <w:rsid w:val="00B70713"/>
    <w:rsid w:val="00B70721"/>
    <w:rsid w:val="00B708D4"/>
    <w:rsid w:val="00B70ECD"/>
    <w:rsid w:val="00B710E0"/>
    <w:rsid w:val="00B71C46"/>
    <w:rsid w:val="00B722EC"/>
    <w:rsid w:val="00B7260A"/>
    <w:rsid w:val="00B72692"/>
    <w:rsid w:val="00B727AD"/>
    <w:rsid w:val="00B72FE7"/>
    <w:rsid w:val="00B73305"/>
    <w:rsid w:val="00B73CC0"/>
    <w:rsid w:val="00B7488E"/>
    <w:rsid w:val="00B75A3A"/>
    <w:rsid w:val="00B75AB1"/>
    <w:rsid w:val="00B75DEA"/>
    <w:rsid w:val="00B76DC5"/>
    <w:rsid w:val="00B773ED"/>
    <w:rsid w:val="00B77662"/>
    <w:rsid w:val="00B77871"/>
    <w:rsid w:val="00B77934"/>
    <w:rsid w:val="00B77C32"/>
    <w:rsid w:val="00B8082D"/>
    <w:rsid w:val="00B809DC"/>
    <w:rsid w:val="00B80B1F"/>
    <w:rsid w:val="00B8120E"/>
    <w:rsid w:val="00B812C2"/>
    <w:rsid w:val="00B81AEC"/>
    <w:rsid w:val="00B81AF5"/>
    <w:rsid w:val="00B82322"/>
    <w:rsid w:val="00B8340E"/>
    <w:rsid w:val="00B8356B"/>
    <w:rsid w:val="00B83E7C"/>
    <w:rsid w:val="00B84000"/>
    <w:rsid w:val="00B858C7"/>
    <w:rsid w:val="00B86070"/>
    <w:rsid w:val="00B8615A"/>
    <w:rsid w:val="00B86755"/>
    <w:rsid w:val="00B86F8C"/>
    <w:rsid w:val="00B87803"/>
    <w:rsid w:val="00B87812"/>
    <w:rsid w:val="00B903FA"/>
    <w:rsid w:val="00B909E9"/>
    <w:rsid w:val="00B90B00"/>
    <w:rsid w:val="00B90D58"/>
    <w:rsid w:val="00B91BE3"/>
    <w:rsid w:val="00B9201A"/>
    <w:rsid w:val="00B9229F"/>
    <w:rsid w:val="00B923C3"/>
    <w:rsid w:val="00B9270B"/>
    <w:rsid w:val="00B92980"/>
    <w:rsid w:val="00B929D7"/>
    <w:rsid w:val="00B92AC3"/>
    <w:rsid w:val="00B92BAE"/>
    <w:rsid w:val="00B92E95"/>
    <w:rsid w:val="00B93968"/>
    <w:rsid w:val="00B93B75"/>
    <w:rsid w:val="00B93E89"/>
    <w:rsid w:val="00B9412E"/>
    <w:rsid w:val="00B94F15"/>
    <w:rsid w:val="00B95819"/>
    <w:rsid w:val="00B95A1A"/>
    <w:rsid w:val="00B973A0"/>
    <w:rsid w:val="00B97754"/>
    <w:rsid w:val="00B97A31"/>
    <w:rsid w:val="00BA09C5"/>
    <w:rsid w:val="00BA0BF0"/>
    <w:rsid w:val="00BA200B"/>
    <w:rsid w:val="00BA263D"/>
    <w:rsid w:val="00BA2A62"/>
    <w:rsid w:val="00BA2C90"/>
    <w:rsid w:val="00BA3461"/>
    <w:rsid w:val="00BA3484"/>
    <w:rsid w:val="00BA398D"/>
    <w:rsid w:val="00BA4638"/>
    <w:rsid w:val="00BA50A8"/>
    <w:rsid w:val="00BA537A"/>
    <w:rsid w:val="00BA6341"/>
    <w:rsid w:val="00BA680E"/>
    <w:rsid w:val="00BA6DB4"/>
    <w:rsid w:val="00BA743A"/>
    <w:rsid w:val="00BA74F3"/>
    <w:rsid w:val="00BA7733"/>
    <w:rsid w:val="00BA7D0A"/>
    <w:rsid w:val="00BA7DAB"/>
    <w:rsid w:val="00BB03B9"/>
    <w:rsid w:val="00BB0892"/>
    <w:rsid w:val="00BB0CD3"/>
    <w:rsid w:val="00BB0D28"/>
    <w:rsid w:val="00BB0D9E"/>
    <w:rsid w:val="00BB15E2"/>
    <w:rsid w:val="00BB1F04"/>
    <w:rsid w:val="00BB2353"/>
    <w:rsid w:val="00BB2E53"/>
    <w:rsid w:val="00BB30C2"/>
    <w:rsid w:val="00BB3B20"/>
    <w:rsid w:val="00BB41C4"/>
    <w:rsid w:val="00BB51F0"/>
    <w:rsid w:val="00BB5EE0"/>
    <w:rsid w:val="00BB636C"/>
    <w:rsid w:val="00BB65FB"/>
    <w:rsid w:val="00BB674B"/>
    <w:rsid w:val="00BB6939"/>
    <w:rsid w:val="00BB6EF2"/>
    <w:rsid w:val="00BB769E"/>
    <w:rsid w:val="00BB7BB5"/>
    <w:rsid w:val="00BB7C1B"/>
    <w:rsid w:val="00BC08BB"/>
    <w:rsid w:val="00BC0DDD"/>
    <w:rsid w:val="00BC0E32"/>
    <w:rsid w:val="00BC177F"/>
    <w:rsid w:val="00BC1EB2"/>
    <w:rsid w:val="00BC227D"/>
    <w:rsid w:val="00BC2380"/>
    <w:rsid w:val="00BC2D57"/>
    <w:rsid w:val="00BC315D"/>
    <w:rsid w:val="00BC33B5"/>
    <w:rsid w:val="00BC3AE0"/>
    <w:rsid w:val="00BC3DA5"/>
    <w:rsid w:val="00BC52DB"/>
    <w:rsid w:val="00BC56B7"/>
    <w:rsid w:val="00BC64CC"/>
    <w:rsid w:val="00BC729B"/>
    <w:rsid w:val="00BC76A2"/>
    <w:rsid w:val="00BC7740"/>
    <w:rsid w:val="00BD07DC"/>
    <w:rsid w:val="00BD08F6"/>
    <w:rsid w:val="00BD0AA0"/>
    <w:rsid w:val="00BD14C8"/>
    <w:rsid w:val="00BD163C"/>
    <w:rsid w:val="00BD1763"/>
    <w:rsid w:val="00BD2352"/>
    <w:rsid w:val="00BD30F5"/>
    <w:rsid w:val="00BD3A87"/>
    <w:rsid w:val="00BD4065"/>
    <w:rsid w:val="00BD4309"/>
    <w:rsid w:val="00BD46CE"/>
    <w:rsid w:val="00BD4DE0"/>
    <w:rsid w:val="00BD5967"/>
    <w:rsid w:val="00BD662D"/>
    <w:rsid w:val="00BD69B5"/>
    <w:rsid w:val="00BD6AC3"/>
    <w:rsid w:val="00BD6B03"/>
    <w:rsid w:val="00BD7125"/>
    <w:rsid w:val="00BD753F"/>
    <w:rsid w:val="00BD76A2"/>
    <w:rsid w:val="00BD7BE2"/>
    <w:rsid w:val="00BD7D6A"/>
    <w:rsid w:val="00BD7EA2"/>
    <w:rsid w:val="00BE1062"/>
    <w:rsid w:val="00BE19F3"/>
    <w:rsid w:val="00BE1C87"/>
    <w:rsid w:val="00BE1DA7"/>
    <w:rsid w:val="00BE327E"/>
    <w:rsid w:val="00BE5007"/>
    <w:rsid w:val="00BE545C"/>
    <w:rsid w:val="00BE613C"/>
    <w:rsid w:val="00BE6563"/>
    <w:rsid w:val="00BE6879"/>
    <w:rsid w:val="00BE6B49"/>
    <w:rsid w:val="00BE7F51"/>
    <w:rsid w:val="00BF008E"/>
    <w:rsid w:val="00BF00A3"/>
    <w:rsid w:val="00BF0F49"/>
    <w:rsid w:val="00BF10F5"/>
    <w:rsid w:val="00BF166D"/>
    <w:rsid w:val="00BF243B"/>
    <w:rsid w:val="00BF245E"/>
    <w:rsid w:val="00BF3C9C"/>
    <w:rsid w:val="00BF43CD"/>
    <w:rsid w:val="00BF44B8"/>
    <w:rsid w:val="00BF4C9D"/>
    <w:rsid w:val="00BF4CED"/>
    <w:rsid w:val="00BF5CC1"/>
    <w:rsid w:val="00BF6F79"/>
    <w:rsid w:val="00BF7448"/>
    <w:rsid w:val="00BF7A34"/>
    <w:rsid w:val="00BF7BA9"/>
    <w:rsid w:val="00BF7C2C"/>
    <w:rsid w:val="00BF7D77"/>
    <w:rsid w:val="00C009A8"/>
    <w:rsid w:val="00C00AD0"/>
    <w:rsid w:val="00C00E9B"/>
    <w:rsid w:val="00C0126F"/>
    <w:rsid w:val="00C02060"/>
    <w:rsid w:val="00C02526"/>
    <w:rsid w:val="00C025A4"/>
    <w:rsid w:val="00C02A57"/>
    <w:rsid w:val="00C03799"/>
    <w:rsid w:val="00C03EFD"/>
    <w:rsid w:val="00C04390"/>
    <w:rsid w:val="00C043BF"/>
    <w:rsid w:val="00C04509"/>
    <w:rsid w:val="00C054CF"/>
    <w:rsid w:val="00C056D6"/>
    <w:rsid w:val="00C0617F"/>
    <w:rsid w:val="00C0638D"/>
    <w:rsid w:val="00C063C6"/>
    <w:rsid w:val="00C063DE"/>
    <w:rsid w:val="00C06B39"/>
    <w:rsid w:val="00C06BE7"/>
    <w:rsid w:val="00C06E7D"/>
    <w:rsid w:val="00C074C4"/>
    <w:rsid w:val="00C103F4"/>
    <w:rsid w:val="00C11241"/>
    <w:rsid w:val="00C115CE"/>
    <w:rsid w:val="00C11A64"/>
    <w:rsid w:val="00C1334C"/>
    <w:rsid w:val="00C13471"/>
    <w:rsid w:val="00C13686"/>
    <w:rsid w:val="00C13FED"/>
    <w:rsid w:val="00C14A05"/>
    <w:rsid w:val="00C14A9B"/>
    <w:rsid w:val="00C14A9C"/>
    <w:rsid w:val="00C14CAA"/>
    <w:rsid w:val="00C16070"/>
    <w:rsid w:val="00C1688C"/>
    <w:rsid w:val="00C16F11"/>
    <w:rsid w:val="00C17AE8"/>
    <w:rsid w:val="00C17C60"/>
    <w:rsid w:val="00C20759"/>
    <w:rsid w:val="00C20CAC"/>
    <w:rsid w:val="00C20DAB"/>
    <w:rsid w:val="00C21083"/>
    <w:rsid w:val="00C21C38"/>
    <w:rsid w:val="00C22807"/>
    <w:rsid w:val="00C229E6"/>
    <w:rsid w:val="00C2312A"/>
    <w:rsid w:val="00C23C3C"/>
    <w:rsid w:val="00C24CA0"/>
    <w:rsid w:val="00C25A20"/>
    <w:rsid w:val="00C27E70"/>
    <w:rsid w:val="00C30289"/>
    <w:rsid w:val="00C30514"/>
    <w:rsid w:val="00C31243"/>
    <w:rsid w:val="00C318F4"/>
    <w:rsid w:val="00C31AE1"/>
    <w:rsid w:val="00C31CC4"/>
    <w:rsid w:val="00C3218E"/>
    <w:rsid w:val="00C3267F"/>
    <w:rsid w:val="00C32AE5"/>
    <w:rsid w:val="00C334E7"/>
    <w:rsid w:val="00C33EB2"/>
    <w:rsid w:val="00C345B3"/>
    <w:rsid w:val="00C36353"/>
    <w:rsid w:val="00C366E1"/>
    <w:rsid w:val="00C379DB"/>
    <w:rsid w:val="00C37B44"/>
    <w:rsid w:val="00C40646"/>
    <w:rsid w:val="00C40B21"/>
    <w:rsid w:val="00C40E10"/>
    <w:rsid w:val="00C41399"/>
    <w:rsid w:val="00C41BB0"/>
    <w:rsid w:val="00C41C58"/>
    <w:rsid w:val="00C42883"/>
    <w:rsid w:val="00C42FD9"/>
    <w:rsid w:val="00C4379D"/>
    <w:rsid w:val="00C4420E"/>
    <w:rsid w:val="00C44FA1"/>
    <w:rsid w:val="00C45684"/>
    <w:rsid w:val="00C45772"/>
    <w:rsid w:val="00C45DD7"/>
    <w:rsid w:val="00C471B6"/>
    <w:rsid w:val="00C500B7"/>
    <w:rsid w:val="00C50551"/>
    <w:rsid w:val="00C50C5A"/>
    <w:rsid w:val="00C51167"/>
    <w:rsid w:val="00C511A5"/>
    <w:rsid w:val="00C51FBE"/>
    <w:rsid w:val="00C52231"/>
    <w:rsid w:val="00C52304"/>
    <w:rsid w:val="00C52D55"/>
    <w:rsid w:val="00C53035"/>
    <w:rsid w:val="00C5472B"/>
    <w:rsid w:val="00C54EC7"/>
    <w:rsid w:val="00C54F3C"/>
    <w:rsid w:val="00C558DF"/>
    <w:rsid w:val="00C56101"/>
    <w:rsid w:val="00C5656E"/>
    <w:rsid w:val="00C56F09"/>
    <w:rsid w:val="00C56F92"/>
    <w:rsid w:val="00C57A87"/>
    <w:rsid w:val="00C6035C"/>
    <w:rsid w:val="00C60465"/>
    <w:rsid w:val="00C60686"/>
    <w:rsid w:val="00C6094A"/>
    <w:rsid w:val="00C60DA3"/>
    <w:rsid w:val="00C61232"/>
    <w:rsid w:val="00C6146E"/>
    <w:rsid w:val="00C61BC9"/>
    <w:rsid w:val="00C64248"/>
    <w:rsid w:val="00C64BD1"/>
    <w:rsid w:val="00C6515F"/>
    <w:rsid w:val="00C65304"/>
    <w:rsid w:val="00C65999"/>
    <w:rsid w:val="00C65A26"/>
    <w:rsid w:val="00C65FF1"/>
    <w:rsid w:val="00C66E12"/>
    <w:rsid w:val="00C67B3D"/>
    <w:rsid w:val="00C67BDD"/>
    <w:rsid w:val="00C7083B"/>
    <w:rsid w:val="00C70F42"/>
    <w:rsid w:val="00C72025"/>
    <w:rsid w:val="00C72B30"/>
    <w:rsid w:val="00C72B79"/>
    <w:rsid w:val="00C72BA1"/>
    <w:rsid w:val="00C72EE2"/>
    <w:rsid w:val="00C734A2"/>
    <w:rsid w:val="00C73F10"/>
    <w:rsid w:val="00C75DB5"/>
    <w:rsid w:val="00C75EFB"/>
    <w:rsid w:val="00C77200"/>
    <w:rsid w:val="00C80020"/>
    <w:rsid w:val="00C801C5"/>
    <w:rsid w:val="00C8054B"/>
    <w:rsid w:val="00C80B58"/>
    <w:rsid w:val="00C80F2D"/>
    <w:rsid w:val="00C819DE"/>
    <w:rsid w:val="00C820E5"/>
    <w:rsid w:val="00C8339D"/>
    <w:rsid w:val="00C835FF"/>
    <w:rsid w:val="00C84683"/>
    <w:rsid w:val="00C846B7"/>
    <w:rsid w:val="00C85DF5"/>
    <w:rsid w:val="00C869CE"/>
    <w:rsid w:val="00C86AA5"/>
    <w:rsid w:val="00C87765"/>
    <w:rsid w:val="00C87960"/>
    <w:rsid w:val="00C901BB"/>
    <w:rsid w:val="00C90289"/>
    <w:rsid w:val="00C907BB"/>
    <w:rsid w:val="00C90B5A"/>
    <w:rsid w:val="00C90D1C"/>
    <w:rsid w:val="00C91820"/>
    <w:rsid w:val="00C9183C"/>
    <w:rsid w:val="00C91D40"/>
    <w:rsid w:val="00C92244"/>
    <w:rsid w:val="00C92705"/>
    <w:rsid w:val="00C93182"/>
    <w:rsid w:val="00C9319B"/>
    <w:rsid w:val="00C947F8"/>
    <w:rsid w:val="00C94C85"/>
    <w:rsid w:val="00C951EF"/>
    <w:rsid w:val="00C95EB2"/>
    <w:rsid w:val="00C9656D"/>
    <w:rsid w:val="00C96B3F"/>
    <w:rsid w:val="00C97551"/>
    <w:rsid w:val="00C97764"/>
    <w:rsid w:val="00CA0919"/>
    <w:rsid w:val="00CA0931"/>
    <w:rsid w:val="00CA0BBD"/>
    <w:rsid w:val="00CA0D38"/>
    <w:rsid w:val="00CA2B38"/>
    <w:rsid w:val="00CA324E"/>
    <w:rsid w:val="00CA3B7C"/>
    <w:rsid w:val="00CA3BAE"/>
    <w:rsid w:val="00CA51F5"/>
    <w:rsid w:val="00CA524C"/>
    <w:rsid w:val="00CA5C0F"/>
    <w:rsid w:val="00CA67DF"/>
    <w:rsid w:val="00CA69C6"/>
    <w:rsid w:val="00CA7160"/>
    <w:rsid w:val="00CA783B"/>
    <w:rsid w:val="00CB00E8"/>
    <w:rsid w:val="00CB0652"/>
    <w:rsid w:val="00CB086C"/>
    <w:rsid w:val="00CB12E6"/>
    <w:rsid w:val="00CB1E9E"/>
    <w:rsid w:val="00CB2012"/>
    <w:rsid w:val="00CB2DBC"/>
    <w:rsid w:val="00CB405D"/>
    <w:rsid w:val="00CB42A6"/>
    <w:rsid w:val="00CB506D"/>
    <w:rsid w:val="00CB524C"/>
    <w:rsid w:val="00CB557E"/>
    <w:rsid w:val="00CB5CEE"/>
    <w:rsid w:val="00CB6170"/>
    <w:rsid w:val="00CB6624"/>
    <w:rsid w:val="00CB6A9D"/>
    <w:rsid w:val="00CB6F1A"/>
    <w:rsid w:val="00CB72CC"/>
    <w:rsid w:val="00CB7B3E"/>
    <w:rsid w:val="00CB7FC9"/>
    <w:rsid w:val="00CC0649"/>
    <w:rsid w:val="00CC1553"/>
    <w:rsid w:val="00CC2AFE"/>
    <w:rsid w:val="00CC2B7F"/>
    <w:rsid w:val="00CC379D"/>
    <w:rsid w:val="00CC40BB"/>
    <w:rsid w:val="00CC4433"/>
    <w:rsid w:val="00CC5DA9"/>
    <w:rsid w:val="00CC5EEF"/>
    <w:rsid w:val="00CC70E5"/>
    <w:rsid w:val="00CC76C0"/>
    <w:rsid w:val="00CC7D91"/>
    <w:rsid w:val="00CD040D"/>
    <w:rsid w:val="00CD06C4"/>
    <w:rsid w:val="00CD0926"/>
    <w:rsid w:val="00CD0CCE"/>
    <w:rsid w:val="00CD1784"/>
    <w:rsid w:val="00CD1A83"/>
    <w:rsid w:val="00CD1E29"/>
    <w:rsid w:val="00CD2ADD"/>
    <w:rsid w:val="00CD312F"/>
    <w:rsid w:val="00CD430E"/>
    <w:rsid w:val="00CD46A5"/>
    <w:rsid w:val="00CD475D"/>
    <w:rsid w:val="00CD4A9F"/>
    <w:rsid w:val="00CD4C41"/>
    <w:rsid w:val="00CD4CE0"/>
    <w:rsid w:val="00CD50C5"/>
    <w:rsid w:val="00CD5D84"/>
    <w:rsid w:val="00CD67C1"/>
    <w:rsid w:val="00CD6BEE"/>
    <w:rsid w:val="00CD70F7"/>
    <w:rsid w:val="00CD74A2"/>
    <w:rsid w:val="00CD7CA5"/>
    <w:rsid w:val="00CE00F5"/>
    <w:rsid w:val="00CE0F40"/>
    <w:rsid w:val="00CE1812"/>
    <w:rsid w:val="00CE1A0E"/>
    <w:rsid w:val="00CE30EA"/>
    <w:rsid w:val="00CE3A66"/>
    <w:rsid w:val="00CE4266"/>
    <w:rsid w:val="00CE4A91"/>
    <w:rsid w:val="00CE52B8"/>
    <w:rsid w:val="00CE59E2"/>
    <w:rsid w:val="00CE61BF"/>
    <w:rsid w:val="00CE6468"/>
    <w:rsid w:val="00CE6544"/>
    <w:rsid w:val="00CE6CD9"/>
    <w:rsid w:val="00CE7B68"/>
    <w:rsid w:val="00CF066D"/>
    <w:rsid w:val="00CF0CC3"/>
    <w:rsid w:val="00CF1294"/>
    <w:rsid w:val="00CF1353"/>
    <w:rsid w:val="00CF18D6"/>
    <w:rsid w:val="00CF21EA"/>
    <w:rsid w:val="00CF2A87"/>
    <w:rsid w:val="00CF3448"/>
    <w:rsid w:val="00CF3648"/>
    <w:rsid w:val="00CF49D3"/>
    <w:rsid w:val="00CF5B92"/>
    <w:rsid w:val="00CF5D20"/>
    <w:rsid w:val="00CF684D"/>
    <w:rsid w:val="00CF698C"/>
    <w:rsid w:val="00CF6E8F"/>
    <w:rsid w:val="00CF794E"/>
    <w:rsid w:val="00D0084A"/>
    <w:rsid w:val="00D00DAE"/>
    <w:rsid w:val="00D01027"/>
    <w:rsid w:val="00D025C3"/>
    <w:rsid w:val="00D02740"/>
    <w:rsid w:val="00D02885"/>
    <w:rsid w:val="00D02CAA"/>
    <w:rsid w:val="00D0334B"/>
    <w:rsid w:val="00D0351F"/>
    <w:rsid w:val="00D03EA7"/>
    <w:rsid w:val="00D03EFC"/>
    <w:rsid w:val="00D04CBE"/>
    <w:rsid w:val="00D0504C"/>
    <w:rsid w:val="00D05929"/>
    <w:rsid w:val="00D05C9C"/>
    <w:rsid w:val="00D062A1"/>
    <w:rsid w:val="00D066D3"/>
    <w:rsid w:val="00D06BB9"/>
    <w:rsid w:val="00D0709D"/>
    <w:rsid w:val="00D105BF"/>
    <w:rsid w:val="00D10D45"/>
    <w:rsid w:val="00D1113F"/>
    <w:rsid w:val="00D111E7"/>
    <w:rsid w:val="00D11684"/>
    <w:rsid w:val="00D12A07"/>
    <w:rsid w:val="00D12E2C"/>
    <w:rsid w:val="00D13691"/>
    <w:rsid w:val="00D14A43"/>
    <w:rsid w:val="00D1514A"/>
    <w:rsid w:val="00D169E1"/>
    <w:rsid w:val="00D169EF"/>
    <w:rsid w:val="00D17C2A"/>
    <w:rsid w:val="00D202FB"/>
    <w:rsid w:val="00D20A85"/>
    <w:rsid w:val="00D20B61"/>
    <w:rsid w:val="00D2225A"/>
    <w:rsid w:val="00D228BA"/>
    <w:rsid w:val="00D22D44"/>
    <w:rsid w:val="00D23253"/>
    <w:rsid w:val="00D23A7A"/>
    <w:rsid w:val="00D23ADC"/>
    <w:rsid w:val="00D23EB6"/>
    <w:rsid w:val="00D23F72"/>
    <w:rsid w:val="00D23FC9"/>
    <w:rsid w:val="00D24131"/>
    <w:rsid w:val="00D2437F"/>
    <w:rsid w:val="00D256F5"/>
    <w:rsid w:val="00D25870"/>
    <w:rsid w:val="00D258AF"/>
    <w:rsid w:val="00D25906"/>
    <w:rsid w:val="00D264BA"/>
    <w:rsid w:val="00D267B5"/>
    <w:rsid w:val="00D275D2"/>
    <w:rsid w:val="00D278A9"/>
    <w:rsid w:val="00D27EB0"/>
    <w:rsid w:val="00D313F9"/>
    <w:rsid w:val="00D314F6"/>
    <w:rsid w:val="00D31784"/>
    <w:rsid w:val="00D3179E"/>
    <w:rsid w:val="00D31AD1"/>
    <w:rsid w:val="00D321DB"/>
    <w:rsid w:val="00D323FC"/>
    <w:rsid w:val="00D32937"/>
    <w:rsid w:val="00D32BC9"/>
    <w:rsid w:val="00D331F3"/>
    <w:rsid w:val="00D3354B"/>
    <w:rsid w:val="00D338B1"/>
    <w:rsid w:val="00D33DAD"/>
    <w:rsid w:val="00D33FC6"/>
    <w:rsid w:val="00D34B81"/>
    <w:rsid w:val="00D34C6B"/>
    <w:rsid w:val="00D35942"/>
    <w:rsid w:val="00D35E2A"/>
    <w:rsid w:val="00D362B9"/>
    <w:rsid w:val="00D36677"/>
    <w:rsid w:val="00D367A5"/>
    <w:rsid w:val="00D367C1"/>
    <w:rsid w:val="00D37689"/>
    <w:rsid w:val="00D37766"/>
    <w:rsid w:val="00D37C66"/>
    <w:rsid w:val="00D41780"/>
    <w:rsid w:val="00D41F2F"/>
    <w:rsid w:val="00D42377"/>
    <w:rsid w:val="00D424DB"/>
    <w:rsid w:val="00D43255"/>
    <w:rsid w:val="00D43885"/>
    <w:rsid w:val="00D441A8"/>
    <w:rsid w:val="00D44362"/>
    <w:rsid w:val="00D44448"/>
    <w:rsid w:val="00D4483B"/>
    <w:rsid w:val="00D44F47"/>
    <w:rsid w:val="00D45514"/>
    <w:rsid w:val="00D457A8"/>
    <w:rsid w:val="00D45E92"/>
    <w:rsid w:val="00D45F9C"/>
    <w:rsid w:val="00D45FF2"/>
    <w:rsid w:val="00D467D3"/>
    <w:rsid w:val="00D46BD4"/>
    <w:rsid w:val="00D46D08"/>
    <w:rsid w:val="00D46F64"/>
    <w:rsid w:val="00D47514"/>
    <w:rsid w:val="00D4796D"/>
    <w:rsid w:val="00D5070C"/>
    <w:rsid w:val="00D521F4"/>
    <w:rsid w:val="00D528E9"/>
    <w:rsid w:val="00D52FA3"/>
    <w:rsid w:val="00D530C2"/>
    <w:rsid w:val="00D5369A"/>
    <w:rsid w:val="00D541E7"/>
    <w:rsid w:val="00D5423D"/>
    <w:rsid w:val="00D545E3"/>
    <w:rsid w:val="00D54B7D"/>
    <w:rsid w:val="00D5502D"/>
    <w:rsid w:val="00D558B6"/>
    <w:rsid w:val="00D558C1"/>
    <w:rsid w:val="00D559A3"/>
    <w:rsid w:val="00D55AC4"/>
    <w:rsid w:val="00D55CFE"/>
    <w:rsid w:val="00D57412"/>
    <w:rsid w:val="00D57DA0"/>
    <w:rsid w:val="00D60505"/>
    <w:rsid w:val="00D6056B"/>
    <w:rsid w:val="00D6264A"/>
    <w:rsid w:val="00D62C3B"/>
    <w:rsid w:val="00D6358A"/>
    <w:rsid w:val="00D63646"/>
    <w:rsid w:val="00D63CBC"/>
    <w:rsid w:val="00D63D54"/>
    <w:rsid w:val="00D63DCF"/>
    <w:rsid w:val="00D64C19"/>
    <w:rsid w:val="00D65862"/>
    <w:rsid w:val="00D65CB3"/>
    <w:rsid w:val="00D65E0D"/>
    <w:rsid w:val="00D661FE"/>
    <w:rsid w:val="00D66261"/>
    <w:rsid w:val="00D671B1"/>
    <w:rsid w:val="00D67F98"/>
    <w:rsid w:val="00D702F8"/>
    <w:rsid w:val="00D709F1"/>
    <w:rsid w:val="00D71110"/>
    <w:rsid w:val="00D72E26"/>
    <w:rsid w:val="00D730C9"/>
    <w:rsid w:val="00D73ACB"/>
    <w:rsid w:val="00D74023"/>
    <w:rsid w:val="00D74741"/>
    <w:rsid w:val="00D7480A"/>
    <w:rsid w:val="00D74E27"/>
    <w:rsid w:val="00D75790"/>
    <w:rsid w:val="00D76DA0"/>
    <w:rsid w:val="00D76EFD"/>
    <w:rsid w:val="00D76F0F"/>
    <w:rsid w:val="00D77B82"/>
    <w:rsid w:val="00D80E53"/>
    <w:rsid w:val="00D815C8"/>
    <w:rsid w:val="00D818F2"/>
    <w:rsid w:val="00D84240"/>
    <w:rsid w:val="00D8454A"/>
    <w:rsid w:val="00D84A48"/>
    <w:rsid w:val="00D8508A"/>
    <w:rsid w:val="00D85409"/>
    <w:rsid w:val="00D85E12"/>
    <w:rsid w:val="00D86611"/>
    <w:rsid w:val="00D8739E"/>
    <w:rsid w:val="00D901B8"/>
    <w:rsid w:val="00D90DD9"/>
    <w:rsid w:val="00D9322E"/>
    <w:rsid w:val="00D93C8A"/>
    <w:rsid w:val="00D94028"/>
    <w:rsid w:val="00D94C0D"/>
    <w:rsid w:val="00D95020"/>
    <w:rsid w:val="00D95FA1"/>
    <w:rsid w:val="00D9723D"/>
    <w:rsid w:val="00D97290"/>
    <w:rsid w:val="00D97F15"/>
    <w:rsid w:val="00DA1FB7"/>
    <w:rsid w:val="00DA27F6"/>
    <w:rsid w:val="00DA2900"/>
    <w:rsid w:val="00DA2DDE"/>
    <w:rsid w:val="00DA2E38"/>
    <w:rsid w:val="00DA37FE"/>
    <w:rsid w:val="00DA3A38"/>
    <w:rsid w:val="00DA469A"/>
    <w:rsid w:val="00DA4889"/>
    <w:rsid w:val="00DA5543"/>
    <w:rsid w:val="00DA596D"/>
    <w:rsid w:val="00DA62EE"/>
    <w:rsid w:val="00DA6339"/>
    <w:rsid w:val="00DA641C"/>
    <w:rsid w:val="00DA6A96"/>
    <w:rsid w:val="00DA7265"/>
    <w:rsid w:val="00DA73B9"/>
    <w:rsid w:val="00DA7D8D"/>
    <w:rsid w:val="00DB01E3"/>
    <w:rsid w:val="00DB0DAD"/>
    <w:rsid w:val="00DB0E8E"/>
    <w:rsid w:val="00DB3584"/>
    <w:rsid w:val="00DB3B4F"/>
    <w:rsid w:val="00DB3D18"/>
    <w:rsid w:val="00DB5438"/>
    <w:rsid w:val="00DB5631"/>
    <w:rsid w:val="00DB58A1"/>
    <w:rsid w:val="00DB71CC"/>
    <w:rsid w:val="00DB7C37"/>
    <w:rsid w:val="00DB7FB2"/>
    <w:rsid w:val="00DC0964"/>
    <w:rsid w:val="00DC0C82"/>
    <w:rsid w:val="00DC110A"/>
    <w:rsid w:val="00DC2E5D"/>
    <w:rsid w:val="00DC3007"/>
    <w:rsid w:val="00DC3837"/>
    <w:rsid w:val="00DC3E05"/>
    <w:rsid w:val="00DC50BE"/>
    <w:rsid w:val="00DC59A4"/>
    <w:rsid w:val="00DC5A29"/>
    <w:rsid w:val="00DC698E"/>
    <w:rsid w:val="00DC6DBD"/>
    <w:rsid w:val="00DC78A2"/>
    <w:rsid w:val="00DC7B72"/>
    <w:rsid w:val="00DD0010"/>
    <w:rsid w:val="00DD0A6E"/>
    <w:rsid w:val="00DD10C2"/>
    <w:rsid w:val="00DD397C"/>
    <w:rsid w:val="00DD3BCF"/>
    <w:rsid w:val="00DD3D78"/>
    <w:rsid w:val="00DD4B03"/>
    <w:rsid w:val="00DD645A"/>
    <w:rsid w:val="00DD7BDA"/>
    <w:rsid w:val="00DE01FA"/>
    <w:rsid w:val="00DE0939"/>
    <w:rsid w:val="00DE0AA1"/>
    <w:rsid w:val="00DE1137"/>
    <w:rsid w:val="00DE1A14"/>
    <w:rsid w:val="00DE1D5D"/>
    <w:rsid w:val="00DE1E37"/>
    <w:rsid w:val="00DE2342"/>
    <w:rsid w:val="00DE25C9"/>
    <w:rsid w:val="00DE261B"/>
    <w:rsid w:val="00DE2A8A"/>
    <w:rsid w:val="00DE2D4E"/>
    <w:rsid w:val="00DE2DB6"/>
    <w:rsid w:val="00DE3505"/>
    <w:rsid w:val="00DE49AA"/>
    <w:rsid w:val="00DE5BCD"/>
    <w:rsid w:val="00DE6440"/>
    <w:rsid w:val="00DE64C5"/>
    <w:rsid w:val="00DE6BB7"/>
    <w:rsid w:val="00DE7BC0"/>
    <w:rsid w:val="00DE7C31"/>
    <w:rsid w:val="00DF1048"/>
    <w:rsid w:val="00DF1144"/>
    <w:rsid w:val="00DF2BFB"/>
    <w:rsid w:val="00DF3257"/>
    <w:rsid w:val="00DF36A9"/>
    <w:rsid w:val="00DF3712"/>
    <w:rsid w:val="00DF4175"/>
    <w:rsid w:val="00DF4418"/>
    <w:rsid w:val="00DF53E8"/>
    <w:rsid w:val="00DF5879"/>
    <w:rsid w:val="00DF5E12"/>
    <w:rsid w:val="00DF7A51"/>
    <w:rsid w:val="00DF7E02"/>
    <w:rsid w:val="00E001D9"/>
    <w:rsid w:val="00E0073A"/>
    <w:rsid w:val="00E009DC"/>
    <w:rsid w:val="00E00AFB"/>
    <w:rsid w:val="00E0192E"/>
    <w:rsid w:val="00E020ED"/>
    <w:rsid w:val="00E0224E"/>
    <w:rsid w:val="00E04A85"/>
    <w:rsid w:val="00E04C57"/>
    <w:rsid w:val="00E0562A"/>
    <w:rsid w:val="00E05B58"/>
    <w:rsid w:val="00E05CB5"/>
    <w:rsid w:val="00E05D63"/>
    <w:rsid w:val="00E05F29"/>
    <w:rsid w:val="00E06939"/>
    <w:rsid w:val="00E06A38"/>
    <w:rsid w:val="00E06B70"/>
    <w:rsid w:val="00E07435"/>
    <w:rsid w:val="00E07F91"/>
    <w:rsid w:val="00E112DE"/>
    <w:rsid w:val="00E11915"/>
    <w:rsid w:val="00E132D4"/>
    <w:rsid w:val="00E141E7"/>
    <w:rsid w:val="00E1468B"/>
    <w:rsid w:val="00E14793"/>
    <w:rsid w:val="00E14DE0"/>
    <w:rsid w:val="00E154AC"/>
    <w:rsid w:val="00E15E98"/>
    <w:rsid w:val="00E15EA4"/>
    <w:rsid w:val="00E1608B"/>
    <w:rsid w:val="00E16562"/>
    <w:rsid w:val="00E16591"/>
    <w:rsid w:val="00E16B9B"/>
    <w:rsid w:val="00E1777B"/>
    <w:rsid w:val="00E2040C"/>
    <w:rsid w:val="00E204AE"/>
    <w:rsid w:val="00E206DE"/>
    <w:rsid w:val="00E20D6B"/>
    <w:rsid w:val="00E21203"/>
    <w:rsid w:val="00E22E2C"/>
    <w:rsid w:val="00E22EB7"/>
    <w:rsid w:val="00E22EC7"/>
    <w:rsid w:val="00E22F02"/>
    <w:rsid w:val="00E2325B"/>
    <w:rsid w:val="00E23636"/>
    <w:rsid w:val="00E237B3"/>
    <w:rsid w:val="00E23AF0"/>
    <w:rsid w:val="00E23BB8"/>
    <w:rsid w:val="00E25D00"/>
    <w:rsid w:val="00E25D43"/>
    <w:rsid w:val="00E25D6B"/>
    <w:rsid w:val="00E25D8D"/>
    <w:rsid w:val="00E26759"/>
    <w:rsid w:val="00E26E4A"/>
    <w:rsid w:val="00E27713"/>
    <w:rsid w:val="00E30BA2"/>
    <w:rsid w:val="00E30D6E"/>
    <w:rsid w:val="00E31144"/>
    <w:rsid w:val="00E31A94"/>
    <w:rsid w:val="00E31D3B"/>
    <w:rsid w:val="00E31DD8"/>
    <w:rsid w:val="00E31FC2"/>
    <w:rsid w:val="00E32223"/>
    <w:rsid w:val="00E323D4"/>
    <w:rsid w:val="00E324B2"/>
    <w:rsid w:val="00E328B9"/>
    <w:rsid w:val="00E32DDC"/>
    <w:rsid w:val="00E3322A"/>
    <w:rsid w:val="00E33B00"/>
    <w:rsid w:val="00E34570"/>
    <w:rsid w:val="00E34EB8"/>
    <w:rsid w:val="00E36B71"/>
    <w:rsid w:val="00E36CA4"/>
    <w:rsid w:val="00E36FF2"/>
    <w:rsid w:val="00E3707F"/>
    <w:rsid w:val="00E37202"/>
    <w:rsid w:val="00E377B2"/>
    <w:rsid w:val="00E37EF0"/>
    <w:rsid w:val="00E40969"/>
    <w:rsid w:val="00E415C0"/>
    <w:rsid w:val="00E41AD2"/>
    <w:rsid w:val="00E41AD8"/>
    <w:rsid w:val="00E41C36"/>
    <w:rsid w:val="00E41F2D"/>
    <w:rsid w:val="00E42437"/>
    <w:rsid w:val="00E43192"/>
    <w:rsid w:val="00E43691"/>
    <w:rsid w:val="00E442EE"/>
    <w:rsid w:val="00E444F4"/>
    <w:rsid w:val="00E44A93"/>
    <w:rsid w:val="00E4521F"/>
    <w:rsid w:val="00E457DD"/>
    <w:rsid w:val="00E45FF0"/>
    <w:rsid w:val="00E46614"/>
    <w:rsid w:val="00E50741"/>
    <w:rsid w:val="00E52483"/>
    <w:rsid w:val="00E52B3A"/>
    <w:rsid w:val="00E52CF9"/>
    <w:rsid w:val="00E52E8C"/>
    <w:rsid w:val="00E52F3D"/>
    <w:rsid w:val="00E53711"/>
    <w:rsid w:val="00E53938"/>
    <w:rsid w:val="00E53B01"/>
    <w:rsid w:val="00E54E24"/>
    <w:rsid w:val="00E552A5"/>
    <w:rsid w:val="00E5539A"/>
    <w:rsid w:val="00E55C04"/>
    <w:rsid w:val="00E55E77"/>
    <w:rsid w:val="00E5626E"/>
    <w:rsid w:val="00E5728A"/>
    <w:rsid w:val="00E57ABD"/>
    <w:rsid w:val="00E60917"/>
    <w:rsid w:val="00E60CAD"/>
    <w:rsid w:val="00E61380"/>
    <w:rsid w:val="00E61626"/>
    <w:rsid w:val="00E61BE1"/>
    <w:rsid w:val="00E63243"/>
    <w:rsid w:val="00E64EAE"/>
    <w:rsid w:val="00E64FF7"/>
    <w:rsid w:val="00E65A4D"/>
    <w:rsid w:val="00E65B8C"/>
    <w:rsid w:val="00E66716"/>
    <w:rsid w:val="00E6725D"/>
    <w:rsid w:val="00E70762"/>
    <w:rsid w:val="00E70A4A"/>
    <w:rsid w:val="00E70B3F"/>
    <w:rsid w:val="00E7184E"/>
    <w:rsid w:val="00E720CC"/>
    <w:rsid w:val="00E721D7"/>
    <w:rsid w:val="00E73EC9"/>
    <w:rsid w:val="00E74047"/>
    <w:rsid w:val="00E7530F"/>
    <w:rsid w:val="00E75B9D"/>
    <w:rsid w:val="00E75C1D"/>
    <w:rsid w:val="00E7619E"/>
    <w:rsid w:val="00E767A8"/>
    <w:rsid w:val="00E76996"/>
    <w:rsid w:val="00E76FC0"/>
    <w:rsid w:val="00E775B2"/>
    <w:rsid w:val="00E80611"/>
    <w:rsid w:val="00E80A88"/>
    <w:rsid w:val="00E81531"/>
    <w:rsid w:val="00E818F0"/>
    <w:rsid w:val="00E81C18"/>
    <w:rsid w:val="00E81EE6"/>
    <w:rsid w:val="00E81FEA"/>
    <w:rsid w:val="00E824D2"/>
    <w:rsid w:val="00E83315"/>
    <w:rsid w:val="00E83332"/>
    <w:rsid w:val="00E83491"/>
    <w:rsid w:val="00E83DEE"/>
    <w:rsid w:val="00E84310"/>
    <w:rsid w:val="00E85BBC"/>
    <w:rsid w:val="00E8666E"/>
    <w:rsid w:val="00E867A5"/>
    <w:rsid w:val="00E8683A"/>
    <w:rsid w:val="00E86B03"/>
    <w:rsid w:val="00E87366"/>
    <w:rsid w:val="00E87B2E"/>
    <w:rsid w:val="00E90155"/>
    <w:rsid w:val="00E906D7"/>
    <w:rsid w:val="00E90B9A"/>
    <w:rsid w:val="00E923F3"/>
    <w:rsid w:val="00E933AC"/>
    <w:rsid w:val="00E93760"/>
    <w:rsid w:val="00E939CE"/>
    <w:rsid w:val="00E93C9A"/>
    <w:rsid w:val="00E93FA1"/>
    <w:rsid w:val="00E95161"/>
    <w:rsid w:val="00E960CE"/>
    <w:rsid w:val="00E96D31"/>
    <w:rsid w:val="00E9727C"/>
    <w:rsid w:val="00E979CB"/>
    <w:rsid w:val="00E97D55"/>
    <w:rsid w:val="00EA0105"/>
    <w:rsid w:val="00EA0688"/>
    <w:rsid w:val="00EA074C"/>
    <w:rsid w:val="00EA0A09"/>
    <w:rsid w:val="00EA0AFF"/>
    <w:rsid w:val="00EA0D98"/>
    <w:rsid w:val="00EA230E"/>
    <w:rsid w:val="00EA245B"/>
    <w:rsid w:val="00EA279C"/>
    <w:rsid w:val="00EA32F6"/>
    <w:rsid w:val="00EA3CC0"/>
    <w:rsid w:val="00EA5802"/>
    <w:rsid w:val="00EA5F55"/>
    <w:rsid w:val="00EA61E4"/>
    <w:rsid w:val="00EA6C2B"/>
    <w:rsid w:val="00EA7F49"/>
    <w:rsid w:val="00EA7F84"/>
    <w:rsid w:val="00EB05D1"/>
    <w:rsid w:val="00EB16B5"/>
    <w:rsid w:val="00EB1E4D"/>
    <w:rsid w:val="00EB1FED"/>
    <w:rsid w:val="00EB2051"/>
    <w:rsid w:val="00EB2196"/>
    <w:rsid w:val="00EB2838"/>
    <w:rsid w:val="00EB2F6B"/>
    <w:rsid w:val="00EB41EF"/>
    <w:rsid w:val="00EB4871"/>
    <w:rsid w:val="00EB4EAE"/>
    <w:rsid w:val="00EB752B"/>
    <w:rsid w:val="00EB7F4D"/>
    <w:rsid w:val="00EC16EE"/>
    <w:rsid w:val="00EC1890"/>
    <w:rsid w:val="00EC1B25"/>
    <w:rsid w:val="00EC22A3"/>
    <w:rsid w:val="00EC26E1"/>
    <w:rsid w:val="00EC379F"/>
    <w:rsid w:val="00EC4A64"/>
    <w:rsid w:val="00EC4CFE"/>
    <w:rsid w:val="00EC5420"/>
    <w:rsid w:val="00EC62D5"/>
    <w:rsid w:val="00EC680D"/>
    <w:rsid w:val="00EC7681"/>
    <w:rsid w:val="00ED011D"/>
    <w:rsid w:val="00ED031A"/>
    <w:rsid w:val="00ED0ADC"/>
    <w:rsid w:val="00ED0BC0"/>
    <w:rsid w:val="00ED0D86"/>
    <w:rsid w:val="00ED0E9A"/>
    <w:rsid w:val="00ED23D7"/>
    <w:rsid w:val="00ED27A6"/>
    <w:rsid w:val="00ED2B05"/>
    <w:rsid w:val="00ED3141"/>
    <w:rsid w:val="00ED332C"/>
    <w:rsid w:val="00ED3592"/>
    <w:rsid w:val="00ED3B57"/>
    <w:rsid w:val="00ED3F07"/>
    <w:rsid w:val="00ED3FCF"/>
    <w:rsid w:val="00ED4346"/>
    <w:rsid w:val="00ED44EB"/>
    <w:rsid w:val="00ED4FFC"/>
    <w:rsid w:val="00ED571C"/>
    <w:rsid w:val="00ED5BC2"/>
    <w:rsid w:val="00ED6A34"/>
    <w:rsid w:val="00ED7716"/>
    <w:rsid w:val="00ED78D6"/>
    <w:rsid w:val="00ED7D34"/>
    <w:rsid w:val="00ED7D4D"/>
    <w:rsid w:val="00ED7FF0"/>
    <w:rsid w:val="00EE09CE"/>
    <w:rsid w:val="00EE2054"/>
    <w:rsid w:val="00EE2B69"/>
    <w:rsid w:val="00EE3321"/>
    <w:rsid w:val="00EE33D9"/>
    <w:rsid w:val="00EE37F8"/>
    <w:rsid w:val="00EE39E3"/>
    <w:rsid w:val="00EE3A7A"/>
    <w:rsid w:val="00EE415D"/>
    <w:rsid w:val="00EE4E2F"/>
    <w:rsid w:val="00EE55AC"/>
    <w:rsid w:val="00EE5EFB"/>
    <w:rsid w:val="00EE5F6E"/>
    <w:rsid w:val="00EE6153"/>
    <w:rsid w:val="00EE63AE"/>
    <w:rsid w:val="00EE6C44"/>
    <w:rsid w:val="00EE6D25"/>
    <w:rsid w:val="00EE7226"/>
    <w:rsid w:val="00EE75D7"/>
    <w:rsid w:val="00EE7BDD"/>
    <w:rsid w:val="00EE7D22"/>
    <w:rsid w:val="00EF0320"/>
    <w:rsid w:val="00EF0B86"/>
    <w:rsid w:val="00EF0F22"/>
    <w:rsid w:val="00EF1CED"/>
    <w:rsid w:val="00EF3AB9"/>
    <w:rsid w:val="00EF3C50"/>
    <w:rsid w:val="00EF3FE5"/>
    <w:rsid w:val="00EF5105"/>
    <w:rsid w:val="00EF6A72"/>
    <w:rsid w:val="00EF7169"/>
    <w:rsid w:val="00F00B16"/>
    <w:rsid w:val="00F00B22"/>
    <w:rsid w:val="00F0124D"/>
    <w:rsid w:val="00F01C93"/>
    <w:rsid w:val="00F023A9"/>
    <w:rsid w:val="00F026F9"/>
    <w:rsid w:val="00F0296C"/>
    <w:rsid w:val="00F02DE7"/>
    <w:rsid w:val="00F02FA9"/>
    <w:rsid w:val="00F03031"/>
    <w:rsid w:val="00F034F1"/>
    <w:rsid w:val="00F040E9"/>
    <w:rsid w:val="00F04568"/>
    <w:rsid w:val="00F0488D"/>
    <w:rsid w:val="00F04F5E"/>
    <w:rsid w:val="00F05C68"/>
    <w:rsid w:val="00F06095"/>
    <w:rsid w:val="00F06C5F"/>
    <w:rsid w:val="00F073D3"/>
    <w:rsid w:val="00F077EF"/>
    <w:rsid w:val="00F079BE"/>
    <w:rsid w:val="00F111A8"/>
    <w:rsid w:val="00F127B4"/>
    <w:rsid w:val="00F12969"/>
    <w:rsid w:val="00F12E27"/>
    <w:rsid w:val="00F136D7"/>
    <w:rsid w:val="00F13BB8"/>
    <w:rsid w:val="00F14E36"/>
    <w:rsid w:val="00F15ACD"/>
    <w:rsid w:val="00F15AFF"/>
    <w:rsid w:val="00F15D25"/>
    <w:rsid w:val="00F1653F"/>
    <w:rsid w:val="00F16A38"/>
    <w:rsid w:val="00F16DBD"/>
    <w:rsid w:val="00F17101"/>
    <w:rsid w:val="00F213F4"/>
    <w:rsid w:val="00F21910"/>
    <w:rsid w:val="00F21B6A"/>
    <w:rsid w:val="00F21C21"/>
    <w:rsid w:val="00F21E22"/>
    <w:rsid w:val="00F22474"/>
    <w:rsid w:val="00F22658"/>
    <w:rsid w:val="00F23202"/>
    <w:rsid w:val="00F233A2"/>
    <w:rsid w:val="00F239FA"/>
    <w:rsid w:val="00F23CA1"/>
    <w:rsid w:val="00F250C7"/>
    <w:rsid w:val="00F254B2"/>
    <w:rsid w:val="00F2661C"/>
    <w:rsid w:val="00F2681A"/>
    <w:rsid w:val="00F27556"/>
    <w:rsid w:val="00F310FA"/>
    <w:rsid w:val="00F31613"/>
    <w:rsid w:val="00F3198D"/>
    <w:rsid w:val="00F31BF8"/>
    <w:rsid w:val="00F31E11"/>
    <w:rsid w:val="00F3215A"/>
    <w:rsid w:val="00F33785"/>
    <w:rsid w:val="00F33ED3"/>
    <w:rsid w:val="00F342FD"/>
    <w:rsid w:val="00F37432"/>
    <w:rsid w:val="00F40FF4"/>
    <w:rsid w:val="00F41066"/>
    <w:rsid w:val="00F41B25"/>
    <w:rsid w:val="00F41D81"/>
    <w:rsid w:val="00F42D65"/>
    <w:rsid w:val="00F4329F"/>
    <w:rsid w:val="00F437EF"/>
    <w:rsid w:val="00F43E3D"/>
    <w:rsid w:val="00F43FA0"/>
    <w:rsid w:val="00F45055"/>
    <w:rsid w:val="00F453B0"/>
    <w:rsid w:val="00F4576C"/>
    <w:rsid w:val="00F4582D"/>
    <w:rsid w:val="00F458DC"/>
    <w:rsid w:val="00F45C89"/>
    <w:rsid w:val="00F463CB"/>
    <w:rsid w:val="00F4663C"/>
    <w:rsid w:val="00F476E0"/>
    <w:rsid w:val="00F47C4C"/>
    <w:rsid w:val="00F47C95"/>
    <w:rsid w:val="00F501F1"/>
    <w:rsid w:val="00F515C9"/>
    <w:rsid w:val="00F520CE"/>
    <w:rsid w:val="00F52C5C"/>
    <w:rsid w:val="00F52D14"/>
    <w:rsid w:val="00F54DBD"/>
    <w:rsid w:val="00F551A8"/>
    <w:rsid w:val="00F5671B"/>
    <w:rsid w:val="00F57746"/>
    <w:rsid w:val="00F60229"/>
    <w:rsid w:val="00F607CE"/>
    <w:rsid w:val="00F6099D"/>
    <w:rsid w:val="00F610E9"/>
    <w:rsid w:val="00F612D5"/>
    <w:rsid w:val="00F62110"/>
    <w:rsid w:val="00F62480"/>
    <w:rsid w:val="00F638B0"/>
    <w:rsid w:val="00F63B85"/>
    <w:rsid w:val="00F63C58"/>
    <w:rsid w:val="00F63E05"/>
    <w:rsid w:val="00F653BC"/>
    <w:rsid w:val="00F6658C"/>
    <w:rsid w:val="00F669E7"/>
    <w:rsid w:val="00F673F6"/>
    <w:rsid w:val="00F70004"/>
    <w:rsid w:val="00F7010F"/>
    <w:rsid w:val="00F7044E"/>
    <w:rsid w:val="00F7060C"/>
    <w:rsid w:val="00F70FCE"/>
    <w:rsid w:val="00F71C61"/>
    <w:rsid w:val="00F71E08"/>
    <w:rsid w:val="00F72581"/>
    <w:rsid w:val="00F72AA7"/>
    <w:rsid w:val="00F72FAC"/>
    <w:rsid w:val="00F7300A"/>
    <w:rsid w:val="00F7349B"/>
    <w:rsid w:val="00F7379A"/>
    <w:rsid w:val="00F7433B"/>
    <w:rsid w:val="00F743CC"/>
    <w:rsid w:val="00F747F0"/>
    <w:rsid w:val="00F74876"/>
    <w:rsid w:val="00F74B3D"/>
    <w:rsid w:val="00F75273"/>
    <w:rsid w:val="00F75554"/>
    <w:rsid w:val="00F75FBB"/>
    <w:rsid w:val="00F7617B"/>
    <w:rsid w:val="00F763D2"/>
    <w:rsid w:val="00F76577"/>
    <w:rsid w:val="00F80109"/>
    <w:rsid w:val="00F80294"/>
    <w:rsid w:val="00F812FD"/>
    <w:rsid w:val="00F81957"/>
    <w:rsid w:val="00F81A01"/>
    <w:rsid w:val="00F81B0E"/>
    <w:rsid w:val="00F82579"/>
    <w:rsid w:val="00F830C2"/>
    <w:rsid w:val="00F84596"/>
    <w:rsid w:val="00F84A53"/>
    <w:rsid w:val="00F85873"/>
    <w:rsid w:val="00F87185"/>
    <w:rsid w:val="00F873D2"/>
    <w:rsid w:val="00F87922"/>
    <w:rsid w:val="00F8798B"/>
    <w:rsid w:val="00F87BE3"/>
    <w:rsid w:val="00F90A5A"/>
    <w:rsid w:val="00F9117D"/>
    <w:rsid w:val="00F9120C"/>
    <w:rsid w:val="00F91EFD"/>
    <w:rsid w:val="00F91F70"/>
    <w:rsid w:val="00F9294A"/>
    <w:rsid w:val="00F92CDF"/>
    <w:rsid w:val="00F938A4"/>
    <w:rsid w:val="00F93A39"/>
    <w:rsid w:val="00F943CF"/>
    <w:rsid w:val="00F95230"/>
    <w:rsid w:val="00F95969"/>
    <w:rsid w:val="00F95B63"/>
    <w:rsid w:val="00F96860"/>
    <w:rsid w:val="00F96AA3"/>
    <w:rsid w:val="00F972A2"/>
    <w:rsid w:val="00F97D76"/>
    <w:rsid w:val="00FA0045"/>
    <w:rsid w:val="00FA02F6"/>
    <w:rsid w:val="00FA0A15"/>
    <w:rsid w:val="00FA0A27"/>
    <w:rsid w:val="00FA1455"/>
    <w:rsid w:val="00FA2A4F"/>
    <w:rsid w:val="00FA3B47"/>
    <w:rsid w:val="00FA4065"/>
    <w:rsid w:val="00FA4287"/>
    <w:rsid w:val="00FA4457"/>
    <w:rsid w:val="00FA5486"/>
    <w:rsid w:val="00FA586E"/>
    <w:rsid w:val="00FA5CDC"/>
    <w:rsid w:val="00FA5E89"/>
    <w:rsid w:val="00FA6F88"/>
    <w:rsid w:val="00FA76F3"/>
    <w:rsid w:val="00FA7BC6"/>
    <w:rsid w:val="00FA7F7A"/>
    <w:rsid w:val="00FB0B18"/>
    <w:rsid w:val="00FB0FBC"/>
    <w:rsid w:val="00FB125A"/>
    <w:rsid w:val="00FB1E24"/>
    <w:rsid w:val="00FB205D"/>
    <w:rsid w:val="00FB3203"/>
    <w:rsid w:val="00FB346E"/>
    <w:rsid w:val="00FB4B81"/>
    <w:rsid w:val="00FB502E"/>
    <w:rsid w:val="00FB6D94"/>
    <w:rsid w:val="00FB6F46"/>
    <w:rsid w:val="00FB7FBA"/>
    <w:rsid w:val="00FC03CA"/>
    <w:rsid w:val="00FC0A32"/>
    <w:rsid w:val="00FC1095"/>
    <w:rsid w:val="00FC11BC"/>
    <w:rsid w:val="00FC2AA9"/>
    <w:rsid w:val="00FC3114"/>
    <w:rsid w:val="00FC3B64"/>
    <w:rsid w:val="00FC44D9"/>
    <w:rsid w:val="00FC482F"/>
    <w:rsid w:val="00FC4E27"/>
    <w:rsid w:val="00FC4F84"/>
    <w:rsid w:val="00FC500B"/>
    <w:rsid w:val="00FC5E81"/>
    <w:rsid w:val="00FC6B43"/>
    <w:rsid w:val="00FC6E14"/>
    <w:rsid w:val="00FC6ED4"/>
    <w:rsid w:val="00FC7659"/>
    <w:rsid w:val="00FD029E"/>
    <w:rsid w:val="00FD0737"/>
    <w:rsid w:val="00FD14F6"/>
    <w:rsid w:val="00FD26A3"/>
    <w:rsid w:val="00FD3309"/>
    <w:rsid w:val="00FD364A"/>
    <w:rsid w:val="00FD3D5E"/>
    <w:rsid w:val="00FD3E45"/>
    <w:rsid w:val="00FD5659"/>
    <w:rsid w:val="00FD591B"/>
    <w:rsid w:val="00FD6133"/>
    <w:rsid w:val="00FD656A"/>
    <w:rsid w:val="00FD6BA9"/>
    <w:rsid w:val="00FD6C40"/>
    <w:rsid w:val="00FD6DC8"/>
    <w:rsid w:val="00FD6ED2"/>
    <w:rsid w:val="00FD6F50"/>
    <w:rsid w:val="00FD757F"/>
    <w:rsid w:val="00FE019D"/>
    <w:rsid w:val="00FE0823"/>
    <w:rsid w:val="00FE0E01"/>
    <w:rsid w:val="00FE0FDA"/>
    <w:rsid w:val="00FE104A"/>
    <w:rsid w:val="00FE1489"/>
    <w:rsid w:val="00FE3A33"/>
    <w:rsid w:val="00FE4138"/>
    <w:rsid w:val="00FE4681"/>
    <w:rsid w:val="00FE5B44"/>
    <w:rsid w:val="00FE6B99"/>
    <w:rsid w:val="00FE6FFB"/>
    <w:rsid w:val="00FE70E8"/>
    <w:rsid w:val="00FE76E2"/>
    <w:rsid w:val="00FE771A"/>
    <w:rsid w:val="00FF1A7A"/>
    <w:rsid w:val="00FF1E92"/>
    <w:rsid w:val="00FF2490"/>
    <w:rsid w:val="00FF27C5"/>
    <w:rsid w:val="00FF3893"/>
    <w:rsid w:val="00FF50AC"/>
    <w:rsid w:val="00FF653B"/>
    <w:rsid w:val="00FF6B65"/>
    <w:rsid w:val="00FF6F96"/>
    <w:rsid w:val="00FF7032"/>
    <w:rsid w:val="00FF7305"/>
    <w:rsid w:val="00FF7546"/>
    <w:rsid w:val="00FF762D"/>
    <w:rsid w:val="00FF7E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9EF2DD"/>
  <w15:docId w15:val="{9E49AC45-24F4-413A-BAE1-61340896D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DC4"/>
  </w:style>
  <w:style w:type="paragraph" w:styleId="Heading1">
    <w:name w:val="heading 1"/>
    <w:basedOn w:val="ListParagraph"/>
    <w:next w:val="Normal"/>
    <w:link w:val="Heading1Char"/>
    <w:uiPriority w:val="9"/>
    <w:qFormat/>
    <w:rsid w:val="0062279D"/>
    <w:pPr>
      <w:numPr>
        <w:numId w:val="30"/>
      </w:numPr>
      <w:spacing w:after="0" w:line="240" w:lineRule="auto"/>
      <w:ind w:right="1444"/>
      <w:jc w:val="both"/>
      <w:outlineLvl w:val="0"/>
    </w:pPr>
    <w:rPr>
      <w:rFonts w:ascii="Verdana" w:hAnsi="Verdana" w:cs="Verdana"/>
      <w:b/>
      <w:sz w:val="20"/>
      <w:szCs w:val="20"/>
      <w:lang w:val="es-ES"/>
    </w:rPr>
  </w:style>
  <w:style w:type="paragraph" w:styleId="Heading2">
    <w:name w:val="heading 2"/>
    <w:basedOn w:val="Normal"/>
    <w:next w:val="Normal"/>
    <w:link w:val="Heading2Char"/>
    <w:uiPriority w:val="9"/>
    <w:unhideWhenUsed/>
    <w:qFormat/>
    <w:rsid w:val="00AD5701"/>
    <w:pPr>
      <w:spacing w:after="0" w:line="240" w:lineRule="auto"/>
      <w:ind w:left="360" w:right="1444" w:firstLine="360"/>
      <w:contextualSpacing/>
      <w:jc w:val="both"/>
      <w:outlineLvl w:val="1"/>
    </w:pPr>
    <w:rPr>
      <w:rFonts w:ascii="Verdana" w:hAnsi="Verdana" w:cs="Verdana"/>
      <w:i/>
      <w:sz w:val="20"/>
      <w:szCs w:val="20"/>
      <w:lang w:val="es-ES"/>
    </w:rPr>
  </w:style>
  <w:style w:type="paragraph" w:styleId="Heading3">
    <w:name w:val="heading 3"/>
    <w:basedOn w:val="ListParagraph"/>
    <w:next w:val="Normal"/>
    <w:link w:val="Heading3Char"/>
    <w:uiPriority w:val="9"/>
    <w:unhideWhenUsed/>
    <w:qFormat/>
    <w:rsid w:val="00AD5701"/>
    <w:pPr>
      <w:numPr>
        <w:numId w:val="39"/>
      </w:numPr>
      <w:spacing w:after="0" w:line="240" w:lineRule="auto"/>
      <w:ind w:right="1444" w:hanging="360"/>
      <w:jc w:val="both"/>
      <w:outlineLvl w:val="2"/>
    </w:pPr>
    <w:rPr>
      <w:rFonts w:ascii="Verdana" w:hAnsi="Verdana"/>
      <w:sz w:val="20"/>
      <w:szCs w:val="20"/>
      <w:u w:val="single"/>
      <w:lang w:val="es-CR"/>
    </w:rPr>
  </w:style>
  <w:style w:type="paragraph" w:styleId="Heading4">
    <w:name w:val="heading 4"/>
    <w:basedOn w:val="Heading3"/>
    <w:next w:val="Normal"/>
    <w:link w:val="Heading4Char"/>
    <w:uiPriority w:val="9"/>
    <w:unhideWhenUsed/>
    <w:qFormat/>
    <w:rsid w:val="0016079C"/>
    <w:pPr>
      <w:numPr>
        <w:ilvl w:val="1"/>
      </w:numPr>
      <w:outlineLvl w:val="3"/>
    </w:pPr>
    <w:rPr>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Texto de nota al pie,Footnotes refss,Appel note de bas de page,Footnote number,referencia nota al pie,BVI fnr,f,4_G,16 Point,Superscript 6 Point,Texto nota al pie,Footnote Reference Char3,Footnote Reference Char1 Char,Ref. de nota al"/>
    <w:basedOn w:val="DefaultParagraphFont"/>
    <w:qFormat/>
    <w:rsid w:val="0052428B"/>
    <w:rPr>
      <w:vertAlign w:val="superscript"/>
    </w:rPr>
  </w:style>
  <w:style w:type="paragraph" w:styleId="NoSpacing">
    <w:name w:val="No Spacing"/>
    <w:uiPriority w:val="1"/>
    <w:qFormat/>
    <w:rsid w:val="0052428B"/>
    <w:pPr>
      <w:spacing w:after="0" w:line="240" w:lineRule="auto"/>
    </w:pPr>
  </w:style>
  <w:style w:type="paragraph" w:styleId="ListParagraph">
    <w:name w:val="List Paragraph"/>
    <w:aliases w:val="Footnote"/>
    <w:basedOn w:val="Normal"/>
    <w:link w:val="ListParagraphChar"/>
    <w:uiPriority w:val="34"/>
    <w:qFormat/>
    <w:rsid w:val="0052428B"/>
    <w:pPr>
      <w:ind w:left="720"/>
      <w:contextualSpacing/>
    </w:pPr>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FootnoteTextChar"/>
    <w:qFormat/>
    <w:rsid w:val="0052428B"/>
    <w:pPr>
      <w:spacing w:after="0" w:line="240" w:lineRule="auto"/>
    </w:pPr>
    <w:rPr>
      <w:rFonts w:ascii="Times" w:eastAsia="Times" w:hAnsi="Times" w:cs="Times New Roman"/>
      <w:sz w:val="24"/>
      <w:szCs w:val="20"/>
      <w:lang w:val="es-ES_tradnl"/>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C Char"/>
    <w:basedOn w:val="DefaultParagraphFont"/>
    <w:link w:val="FootnoteText"/>
    <w:rsid w:val="0052428B"/>
    <w:rPr>
      <w:rFonts w:ascii="Times" w:eastAsia="Times" w:hAnsi="Times" w:cs="Times New Roman"/>
      <w:sz w:val="24"/>
      <w:szCs w:val="20"/>
      <w:lang w:val="es-ES_tradnl"/>
    </w:rPr>
  </w:style>
  <w:style w:type="character" w:customStyle="1" w:styleId="ListParagraphChar">
    <w:name w:val="List Paragraph Char"/>
    <w:aliases w:val="Footnote Char"/>
    <w:link w:val="ListParagraph"/>
    <w:uiPriority w:val="34"/>
    <w:rsid w:val="0052428B"/>
  </w:style>
  <w:style w:type="paragraph" w:styleId="BalloonText">
    <w:name w:val="Balloon Text"/>
    <w:basedOn w:val="Normal"/>
    <w:link w:val="BalloonTextChar"/>
    <w:uiPriority w:val="99"/>
    <w:semiHidden/>
    <w:unhideWhenUsed/>
    <w:rsid w:val="00D448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483B"/>
    <w:rPr>
      <w:rFonts w:ascii="Tahoma" w:hAnsi="Tahoma" w:cs="Tahoma"/>
      <w:sz w:val="16"/>
      <w:szCs w:val="16"/>
    </w:rPr>
  </w:style>
  <w:style w:type="paragraph" w:styleId="DocumentMap">
    <w:name w:val="Document Map"/>
    <w:basedOn w:val="Normal"/>
    <w:link w:val="DocumentMapChar"/>
    <w:uiPriority w:val="99"/>
    <w:semiHidden/>
    <w:unhideWhenUsed/>
    <w:rsid w:val="0062598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25989"/>
    <w:rPr>
      <w:rFonts w:ascii="Tahoma" w:hAnsi="Tahoma" w:cs="Tahoma"/>
      <w:sz w:val="16"/>
      <w:szCs w:val="16"/>
    </w:rPr>
  </w:style>
  <w:style w:type="character" w:styleId="CommentReference">
    <w:name w:val="annotation reference"/>
    <w:basedOn w:val="DefaultParagraphFont"/>
    <w:uiPriority w:val="99"/>
    <w:semiHidden/>
    <w:unhideWhenUsed/>
    <w:rsid w:val="009D5904"/>
    <w:rPr>
      <w:sz w:val="16"/>
      <w:szCs w:val="16"/>
    </w:rPr>
  </w:style>
  <w:style w:type="paragraph" w:styleId="CommentText">
    <w:name w:val="annotation text"/>
    <w:basedOn w:val="Normal"/>
    <w:link w:val="CommentTextChar"/>
    <w:uiPriority w:val="99"/>
    <w:unhideWhenUsed/>
    <w:rsid w:val="009D5904"/>
    <w:pPr>
      <w:spacing w:line="240" w:lineRule="auto"/>
    </w:pPr>
    <w:rPr>
      <w:sz w:val="20"/>
      <w:szCs w:val="20"/>
    </w:rPr>
  </w:style>
  <w:style w:type="character" w:customStyle="1" w:styleId="CommentTextChar">
    <w:name w:val="Comment Text Char"/>
    <w:basedOn w:val="DefaultParagraphFont"/>
    <w:link w:val="CommentText"/>
    <w:uiPriority w:val="99"/>
    <w:rsid w:val="009D5904"/>
    <w:rPr>
      <w:sz w:val="20"/>
      <w:szCs w:val="20"/>
    </w:rPr>
  </w:style>
  <w:style w:type="paragraph" w:styleId="CommentSubject">
    <w:name w:val="annotation subject"/>
    <w:basedOn w:val="CommentText"/>
    <w:next w:val="CommentText"/>
    <w:link w:val="CommentSubjectChar"/>
    <w:uiPriority w:val="99"/>
    <w:semiHidden/>
    <w:unhideWhenUsed/>
    <w:rsid w:val="009D5904"/>
    <w:rPr>
      <w:b/>
      <w:bCs/>
    </w:rPr>
  </w:style>
  <w:style w:type="character" w:customStyle="1" w:styleId="CommentSubjectChar">
    <w:name w:val="Comment Subject Char"/>
    <w:basedOn w:val="CommentTextChar"/>
    <w:link w:val="CommentSubject"/>
    <w:uiPriority w:val="99"/>
    <w:semiHidden/>
    <w:rsid w:val="009D5904"/>
    <w:rPr>
      <w:b/>
      <w:bCs/>
      <w:sz w:val="20"/>
      <w:szCs w:val="20"/>
    </w:rPr>
  </w:style>
  <w:style w:type="paragraph" w:styleId="Revision">
    <w:name w:val="Revision"/>
    <w:hidden/>
    <w:uiPriority w:val="99"/>
    <w:semiHidden/>
    <w:rsid w:val="009D5904"/>
    <w:pPr>
      <w:spacing w:after="0" w:line="240" w:lineRule="auto"/>
    </w:pPr>
  </w:style>
  <w:style w:type="paragraph" w:styleId="Header">
    <w:name w:val="header"/>
    <w:basedOn w:val="Normal"/>
    <w:link w:val="HeaderChar"/>
    <w:uiPriority w:val="99"/>
    <w:unhideWhenUsed/>
    <w:rsid w:val="00E112DE"/>
    <w:pPr>
      <w:tabs>
        <w:tab w:val="center" w:pos="4419"/>
        <w:tab w:val="right" w:pos="8838"/>
      </w:tabs>
      <w:spacing w:after="0" w:line="240" w:lineRule="auto"/>
    </w:pPr>
  </w:style>
  <w:style w:type="character" w:customStyle="1" w:styleId="HeaderChar">
    <w:name w:val="Header Char"/>
    <w:basedOn w:val="DefaultParagraphFont"/>
    <w:link w:val="Header"/>
    <w:uiPriority w:val="99"/>
    <w:rsid w:val="00E112DE"/>
  </w:style>
  <w:style w:type="paragraph" w:styleId="Footer">
    <w:name w:val="footer"/>
    <w:basedOn w:val="Normal"/>
    <w:link w:val="FooterChar"/>
    <w:uiPriority w:val="99"/>
    <w:unhideWhenUsed/>
    <w:rsid w:val="00E112DE"/>
    <w:pPr>
      <w:tabs>
        <w:tab w:val="center" w:pos="4419"/>
        <w:tab w:val="right" w:pos="8838"/>
      </w:tabs>
      <w:spacing w:after="0" w:line="240" w:lineRule="auto"/>
    </w:pPr>
  </w:style>
  <w:style w:type="character" w:customStyle="1" w:styleId="FooterChar">
    <w:name w:val="Footer Char"/>
    <w:basedOn w:val="DefaultParagraphFont"/>
    <w:link w:val="Footer"/>
    <w:uiPriority w:val="99"/>
    <w:rsid w:val="00E112DE"/>
  </w:style>
  <w:style w:type="character" w:styleId="Hyperlink">
    <w:name w:val="Hyperlink"/>
    <w:basedOn w:val="DefaultParagraphFont"/>
    <w:uiPriority w:val="99"/>
    <w:unhideWhenUsed/>
    <w:rsid w:val="00E25D8D"/>
    <w:rPr>
      <w:color w:val="0000FF" w:themeColor="hyperlink"/>
      <w:u w:val="single"/>
    </w:rPr>
  </w:style>
  <w:style w:type="paragraph" w:styleId="BodyText2">
    <w:name w:val="Body Text 2"/>
    <w:basedOn w:val="Normal"/>
    <w:link w:val="BodyText2Char"/>
    <w:rsid w:val="00653CF4"/>
    <w:pPr>
      <w:spacing w:after="0" w:line="240" w:lineRule="auto"/>
      <w:jc w:val="both"/>
    </w:pPr>
    <w:rPr>
      <w:rFonts w:ascii="Verdana" w:eastAsia="Times" w:hAnsi="Verdana" w:cs="Times New Roman"/>
      <w:sz w:val="20"/>
      <w:szCs w:val="20"/>
      <w:lang w:val="es-ES_tradnl"/>
    </w:rPr>
  </w:style>
  <w:style w:type="character" w:customStyle="1" w:styleId="BodyText2Char">
    <w:name w:val="Body Text 2 Char"/>
    <w:basedOn w:val="DefaultParagraphFont"/>
    <w:link w:val="BodyText2"/>
    <w:rsid w:val="00653CF4"/>
    <w:rPr>
      <w:rFonts w:ascii="Verdana" w:eastAsia="Times" w:hAnsi="Verdana" w:cs="Times New Roman"/>
      <w:sz w:val="20"/>
      <w:szCs w:val="20"/>
      <w:lang w:val="es-ES_tradnl"/>
    </w:rPr>
  </w:style>
  <w:style w:type="character" w:customStyle="1" w:styleId="Heading1Char">
    <w:name w:val="Heading 1 Char"/>
    <w:basedOn w:val="DefaultParagraphFont"/>
    <w:link w:val="Heading1"/>
    <w:uiPriority w:val="9"/>
    <w:rsid w:val="0062279D"/>
    <w:rPr>
      <w:rFonts w:ascii="Verdana" w:hAnsi="Verdana" w:cs="Verdana"/>
      <w:b/>
      <w:sz w:val="20"/>
      <w:szCs w:val="20"/>
      <w:lang w:val="es-ES"/>
    </w:rPr>
  </w:style>
  <w:style w:type="paragraph" w:styleId="TOCHeading">
    <w:name w:val="TOC Heading"/>
    <w:basedOn w:val="Heading1"/>
    <w:next w:val="Normal"/>
    <w:uiPriority w:val="39"/>
    <w:unhideWhenUsed/>
    <w:qFormat/>
    <w:rsid w:val="005D325A"/>
    <w:pPr>
      <w:outlineLvl w:val="9"/>
    </w:pPr>
  </w:style>
  <w:style w:type="paragraph" w:styleId="TOC1">
    <w:name w:val="toc 1"/>
    <w:basedOn w:val="Normal"/>
    <w:next w:val="Normal"/>
    <w:autoRedefine/>
    <w:uiPriority w:val="39"/>
    <w:unhideWhenUsed/>
    <w:rsid w:val="006D4E03"/>
    <w:pPr>
      <w:tabs>
        <w:tab w:val="left" w:pos="660"/>
        <w:tab w:val="right" w:leader="dot" w:pos="9350"/>
      </w:tabs>
      <w:spacing w:after="100"/>
      <w:ind w:left="180" w:right="1444"/>
      <w:jc w:val="both"/>
    </w:pPr>
    <w:rPr>
      <w:rFonts w:ascii="Verdana" w:hAnsi="Verdana"/>
      <w:b/>
      <w:noProof/>
      <w:sz w:val="20"/>
      <w:szCs w:val="20"/>
    </w:rPr>
  </w:style>
  <w:style w:type="character" w:styleId="LineNumber">
    <w:name w:val="line number"/>
    <w:basedOn w:val="DefaultParagraphFont"/>
    <w:uiPriority w:val="99"/>
    <w:semiHidden/>
    <w:unhideWhenUsed/>
    <w:rsid w:val="00D362B9"/>
  </w:style>
  <w:style w:type="character" w:styleId="Strong">
    <w:name w:val="Strong"/>
    <w:basedOn w:val="DefaultParagraphFont"/>
    <w:uiPriority w:val="22"/>
    <w:qFormat/>
    <w:rsid w:val="00C14CAA"/>
    <w:rPr>
      <w:b/>
      <w:bCs/>
    </w:rPr>
  </w:style>
  <w:style w:type="character" w:customStyle="1" w:styleId="Heading2Char">
    <w:name w:val="Heading 2 Char"/>
    <w:basedOn w:val="DefaultParagraphFont"/>
    <w:link w:val="Heading2"/>
    <w:uiPriority w:val="9"/>
    <w:rsid w:val="00AD5701"/>
    <w:rPr>
      <w:rFonts w:ascii="Verdana" w:hAnsi="Verdana" w:cs="Verdana"/>
      <w:i/>
      <w:sz w:val="20"/>
      <w:szCs w:val="20"/>
      <w:lang w:val="es-ES"/>
    </w:rPr>
  </w:style>
  <w:style w:type="paragraph" w:styleId="TOC2">
    <w:name w:val="toc 2"/>
    <w:basedOn w:val="Normal"/>
    <w:next w:val="Normal"/>
    <w:autoRedefine/>
    <w:uiPriority w:val="39"/>
    <w:unhideWhenUsed/>
    <w:rsid w:val="00CF3448"/>
    <w:pPr>
      <w:tabs>
        <w:tab w:val="left" w:pos="660"/>
        <w:tab w:val="right" w:leader="dot" w:pos="9450"/>
      </w:tabs>
      <w:spacing w:after="100"/>
      <w:ind w:left="220" w:right="1350"/>
    </w:pPr>
  </w:style>
  <w:style w:type="character" w:customStyle="1" w:styleId="ListParagraphChar1">
    <w:name w:val="List Paragraph Char1"/>
    <w:aliases w:val="Footnote Char1"/>
    <w:basedOn w:val="DefaultParagraphFont"/>
    <w:uiPriority w:val="34"/>
    <w:locked/>
    <w:rsid w:val="00F5671B"/>
  </w:style>
  <w:style w:type="character" w:customStyle="1" w:styleId="Heading3Char">
    <w:name w:val="Heading 3 Char"/>
    <w:basedOn w:val="DefaultParagraphFont"/>
    <w:link w:val="Heading3"/>
    <w:uiPriority w:val="9"/>
    <w:rsid w:val="00AD5701"/>
    <w:rPr>
      <w:rFonts w:ascii="Verdana" w:hAnsi="Verdana"/>
      <w:sz w:val="20"/>
      <w:szCs w:val="20"/>
      <w:u w:val="single"/>
      <w:lang w:val="es-CR"/>
    </w:rPr>
  </w:style>
  <w:style w:type="paragraph" w:styleId="TOC3">
    <w:name w:val="toc 3"/>
    <w:basedOn w:val="Normal"/>
    <w:next w:val="Normal"/>
    <w:autoRedefine/>
    <w:uiPriority w:val="39"/>
    <w:unhideWhenUsed/>
    <w:rsid w:val="009E442B"/>
    <w:pPr>
      <w:tabs>
        <w:tab w:val="left" w:pos="880"/>
        <w:tab w:val="right" w:leader="dot" w:pos="9356"/>
      </w:tabs>
      <w:spacing w:after="100"/>
      <w:ind w:left="440"/>
    </w:pPr>
  </w:style>
  <w:style w:type="character" w:customStyle="1" w:styleId="Heading4Char">
    <w:name w:val="Heading 4 Char"/>
    <w:basedOn w:val="DefaultParagraphFont"/>
    <w:link w:val="Heading4"/>
    <w:uiPriority w:val="9"/>
    <w:rsid w:val="0016079C"/>
    <w:rPr>
      <w:rFonts w:ascii="Verdana" w:hAnsi="Verdana"/>
      <w:sz w:val="20"/>
      <w:szCs w:val="20"/>
      <w:lang w:val="es-CR"/>
    </w:rPr>
  </w:style>
  <w:style w:type="character" w:styleId="FollowedHyperlink">
    <w:name w:val="FollowedHyperlink"/>
    <w:basedOn w:val="DefaultParagraphFont"/>
    <w:uiPriority w:val="99"/>
    <w:semiHidden/>
    <w:unhideWhenUsed/>
    <w:rsid w:val="006F0F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836">
      <w:bodyDiv w:val="1"/>
      <w:marLeft w:val="0"/>
      <w:marRight w:val="0"/>
      <w:marTop w:val="0"/>
      <w:marBottom w:val="0"/>
      <w:divBdr>
        <w:top w:val="none" w:sz="0" w:space="0" w:color="auto"/>
        <w:left w:val="none" w:sz="0" w:space="0" w:color="auto"/>
        <w:bottom w:val="none" w:sz="0" w:space="0" w:color="auto"/>
        <w:right w:val="none" w:sz="0" w:space="0" w:color="auto"/>
      </w:divBdr>
    </w:div>
    <w:div w:id="750666126">
      <w:bodyDiv w:val="1"/>
      <w:marLeft w:val="0"/>
      <w:marRight w:val="0"/>
      <w:marTop w:val="0"/>
      <w:marBottom w:val="0"/>
      <w:divBdr>
        <w:top w:val="none" w:sz="0" w:space="0" w:color="auto"/>
        <w:left w:val="none" w:sz="0" w:space="0" w:color="auto"/>
        <w:bottom w:val="none" w:sz="0" w:space="0" w:color="auto"/>
        <w:right w:val="none" w:sz="0" w:space="0" w:color="auto"/>
      </w:divBdr>
    </w:div>
    <w:div w:id="1049114054">
      <w:bodyDiv w:val="1"/>
      <w:marLeft w:val="0"/>
      <w:marRight w:val="0"/>
      <w:marTop w:val="0"/>
      <w:marBottom w:val="0"/>
      <w:divBdr>
        <w:top w:val="none" w:sz="0" w:space="0" w:color="auto"/>
        <w:left w:val="none" w:sz="0" w:space="0" w:color="auto"/>
        <w:bottom w:val="none" w:sz="0" w:space="0" w:color="auto"/>
        <w:right w:val="none" w:sz="0" w:space="0" w:color="auto"/>
      </w:divBdr>
    </w:div>
    <w:div w:id="1099182880">
      <w:bodyDiv w:val="1"/>
      <w:marLeft w:val="0"/>
      <w:marRight w:val="0"/>
      <w:marTop w:val="0"/>
      <w:marBottom w:val="0"/>
      <w:divBdr>
        <w:top w:val="none" w:sz="0" w:space="0" w:color="auto"/>
        <w:left w:val="none" w:sz="0" w:space="0" w:color="auto"/>
        <w:bottom w:val="none" w:sz="0" w:space="0" w:color="auto"/>
        <w:right w:val="none" w:sz="0" w:space="0" w:color="auto"/>
      </w:divBdr>
    </w:div>
    <w:div w:id="1283535139">
      <w:bodyDiv w:val="1"/>
      <w:marLeft w:val="0"/>
      <w:marRight w:val="0"/>
      <w:marTop w:val="0"/>
      <w:marBottom w:val="0"/>
      <w:divBdr>
        <w:top w:val="none" w:sz="0" w:space="0" w:color="auto"/>
        <w:left w:val="none" w:sz="0" w:space="0" w:color="auto"/>
        <w:bottom w:val="none" w:sz="0" w:space="0" w:color="auto"/>
        <w:right w:val="none" w:sz="0" w:space="0" w:color="auto"/>
      </w:divBdr>
    </w:div>
    <w:div w:id="1309550747">
      <w:bodyDiv w:val="1"/>
      <w:marLeft w:val="0"/>
      <w:marRight w:val="0"/>
      <w:marTop w:val="0"/>
      <w:marBottom w:val="0"/>
      <w:divBdr>
        <w:top w:val="none" w:sz="0" w:space="0" w:color="auto"/>
        <w:left w:val="none" w:sz="0" w:space="0" w:color="auto"/>
        <w:bottom w:val="none" w:sz="0" w:space="0" w:color="auto"/>
        <w:right w:val="none" w:sz="0" w:space="0" w:color="auto"/>
      </w:divBdr>
    </w:div>
    <w:div w:id="1419869882">
      <w:bodyDiv w:val="1"/>
      <w:marLeft w:val="0"/>
      <w:marRight w:val="0"/>
      <w:marTop w:val="0"/>
      <w:marBottom w:val="0"/>
      <w:divBdr>
        <w:top w:val="none" w:sz="0" w:space="0" w:color="auto"/>
        <w:left w:val="none" w:sz="0" w:space="0" w:color="auto"/>
        <w:bottom w:val="none" w:sz="0" w:space="0" w:color="auto"/>
        <w:right w:val="none" w:sz="0" w:space="0" w:color="auto"/>
      </w:divBdr>
    </w:div>
    <w:div w:id="1474055447">
      <w:bodyDiv w:val="1"/>
      <w:marLeft w:val="0"/>
      <w:marRight w:val="0"/>
      <w:marTop w:val="0"/>
      <w:marBottom w:val="0"/>
      <w:divBdr>
        <w:top w:val="none" w:sz="0" w:space="0" w:color="auto"/>
        <w:left w:val="none" w:sz="0" w:space="0" w:color="auto"/>
        <w:bottom w:val="none" w:sz="0" w:space="0" w:color="auto"/>
        <w:right w:val="none" w:sz="0" w:space="0" w:color="auto"/>
      </w:divBdr>
    </w:div>
    <w:div w:id="1531188702">
      <w:bodyDiv w:val="1"/>
      <w:marLeft w:val="0"/>
      <w:marRight w:val="0"/>
      <w:marTop w:val="0"/>
      <w:marBottom w:val="0"/>
      <w:divBdr>
        <w:top w:val="none" w:sz="0" w:space="0" w:color="auto"/>
        <w:left w:val="none" w:sz="0" w:space="0" w:color="auto"/>
        <w:bottom w:val="none" w:sz="0" w:space="0" w:color="auto"/>
        <w:right w:val="none" w:sz="0" w:space="0" w:color="auto"/>
      </w:divBdr>
    </w:div>
    <w:div w:id="1581787283">
      <w:bodyDiv w:val="1"/>
      <w:marLeft w:val="0"/>
      <w:marRight w:val="0"/>
      <w:marTop w:val="0"/>
      <w:marBottom w:val="0"/>
      <w:divBdr>
        <w:top w:val="none" w:sz="0" w:space="0" w:color="auto"/>
        <w:left w:val="none" w:sz="0" w:space="0" w:color="auto"/>
        <w:bottom w:val="none" w:sz="0" w:space="0" w:color="auto"/>
        <w:right w:val="none" w:sz="0" w:space="0" w:color="auto"/>
      </w:divBdr>
    </w:div>
    <w:div w:id="1785533834">
      <w:bodyDiv w:val="1"/>
      <w:marLeft w:val="0"/>
      <w:marRight w:val="0"/>
      <w:marTop w:val="0"/>
      <w:marBottom w:val="0"/>
      <w:divBdr>
        <w:top w:val="none" w:sz="0" w:space="0" w:color="auto"/>
        <w:left w:val="none" w:sz="0" w:space="0" w:color="auto"/>
        <w:bottom w:val="none" w:sz="0" w:space="0" w:color="auto"/>
        <w:right w:val="none" w:sz="0" w:space="0" w:color="auto"/>
      </w:divBdr>
    </w:div>
    <w:div w:id="2110536927">
      <w:bodyDiv w:val="1"/>
      <w:marLeft w:val="0"/>
      <w:marRight w:val="0"/>
      <w:marTop w:val="0"/>
      <w:marBottom w:val="0"/>
      <w:divBdr>
        <w:top w:val="none" w:sz="0" w:space="0" w:color="auto"/>
        <w:left w:val="none" w:sz="0" w:space="0" w:color="auto"/>
        <w:bottom w:val="none" w:sz="0" w:space="0" w:color="auto"/>
        <w:right w:val="none" w:sz="0" w:space="0" w:color="auto"/>
      </w:divBdr>
    </w:div>
    <w:div w:id="211170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joomla.corteidh.or.cr:8080/joomla/es/jurisprudencia-oc-avanzado/38-jurisprudencia/1980-corte-idh-caso-apitz-barbera-y-otros-qcorte-primera-de-lo-contencioso-administrativoq-vs-venezuela-supervision-de-cumplimiento-de-sentencia-resolucion-de-la-corte-interamericana-de-derechos-humanos-de-23-de-noviembre-de-2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EFF79D-B19A-482B-BCC8-4C98E0D3D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26963</Words>
  <Characters>153692</Characters>
  <Application>Microsoft Office Word</Application>
  <DocSecurity>4</DocSecurity>
  <Lines>1280</Lines>
  <Paragraphs>360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180295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Biblioteca</cp:lastModifiedBy>
  <cp:revision>4</cp:revision>
  <cp:lastPrinted>2015-12-30T22:54:00Z</cp:lastPrinted>
  <dcterms:created xsi:type="dcterms:W3CDTF">2015-12-30T22:52:00Z</dcterms:created>
  <dcterms:modified xsi:type="dcterms:W3CDTF">2015-12-30T23:00:00Z</dcterms:modified>
</cp:coreProperties>
</file>