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F3D9" w14:textId="3845E236" w:rsidR="006555F3" w:rsidRDefault="006555F3" w:rsidP="006555F3">
      <w:pPr>
        <w:jc w:val="center"/>
        <w:rPr>
          <w:rFonts w:ascii="Verdana" w:hAnsi="Verdana"/>
          <w:b/>
          <w:u w:val="single"/>
          <w:lang w:val="es-MX"/>
        </w:rPr>
      </w:pPr>
      <w:r w:rsidRPr="006555F3">
        <w:rPr>
          <w:rFonts w:ascii="Verdana" w:hAnsi="Verdana"/>
          <w:b/>
          <w:u w:val="single"/>
          <w:lang w:val="es-MX"/>
        </w:rPr>
        <w:t xml:space="preserve">Caso </w:t>
      </w:r>
      <w:r w:rsidR="006526F9">
        <w:rPr>
          <w:rFonts w:ascii="Verdana" w:hAnsi="Verdana"/>
          <w:b/>
          <w:u w:val="single"/>
          <w:lang w:val="es-MX"/>
        </w:rPr>
        <w:t>Fernández Prieto y Tumbeiro</w:t>
      </w:r>
      <w:r w:rsidRPr="006555F3">
        <w:rPr>
          <w:rFonts w:ascii="Verdana" w:hAnsi="Verdana"/>
          <w:b/>
          <w:u w:val="single"/>
          <w:lang w:val="es-MX"/>
        </w:rPr>
        <w:t xml:space="preserve"> </w:t>
      </w:r>
      <w:r w:rsidRPr="006555F3">
        <w:rPr>
          <w:rFonts w:ascii="Verdana" w:hAnsi="Verdana"/>
          <w:b/>
          <w:i/>
          <w:u w:val="single"/>
          <w:lang w:val="es-MX"/>
        </w:rPr>
        <w:t>Vs.</w:t>
      </w:r>
      <w:r w:rsidRPr="006555F3">
        <w:rPr>
          <w:rFonts w:ascii="Verdana" w:hAnsi="Verdana"/>
          <w:b/>
          <w:u w:val="single"/>
          <w:lang w:val="es-MX"/>
        </w:rPr>
        <w:t xml:space="preserve"> Argentina: reparaciones </w:t>
      </w:r>
      <w:r w:rsidR="006E2A33">
        <w:rPr>
          <w:rFonts w:ascii="Verdana" w:hAnsi="Verdana"/>
          <w:b/>
          <w:u w:val="single"/>
          <w:lang w:val="es-MX"/>
        </w:rPr>
        <w:t>cumplidas</w:t>
      </w:r>
    </w:p>
    <w:p w14:paraId="6DECB038" w14:textId="77777777" w:rsidR="00671470" w:rsidRPr="00994E85" w:rsidRDefault="00671470" w:rsidP="00671470">
      <w:pPr>
        <w:spacing w:after="0" w:line="240" w:lineRule="auto"/>
        <w:rPr>
          <w:rFonts w:ascii="Verdana" w:hAnsi="Verdana"/>
          <w:b/>
          <w:sz w:val="20"/>
          <w:szCs w:val="20"/>
          <w:u w:val="single"/>
          <w:lang w:val="es-MX"/>
        </w:rPr>
      </w:pPr>
    </w:p>
    <w:p w14:paraId="0C6EE618" w14:textId="25957129" w:rsidR="004424DF" w:rsidRPr="004424DF" w:rsidRDefault="004424DF" w:rsidP="004424DF">
      <w:pPr>
        <w:pStyle w:val="Prrafodelista"/>
        <w:numPr>
          <w:ilvl w:val="0"/>
          <w:numId w:val="1"/>
        </w:numPr>
        <w:spacing w:after="0" w:line="240" w:lineRule="auto"/>
        <w:ind w:left="360"/>
        <w:contextualSpacing w:val="0"/>
        <w:jc w:val="both"/>
        <w:rPr>
          <w:rFonts w:ascii="Verdana" w:hAnsi="Verdana"/>
          <w:sz w:val="20"/>
          <w:szCs w:val="20"/>
          <w:lang w:val="es-CR"/>
        </w:rPr>
      </w:pPr>
      <w:r w:rsidRPr="004424DF">
        <w:rPr>
          <w:rFonts w:ascii="Verdana" w:hAnsi="Verdana"/>
          <w:sz w:val="20"/>
          <w:szCs w:val="20"/>
          <w:lang w:val="es-CR"/>
        </w:rPr>
        <w:t>Realizar las publicaciones de la Sentencia y de su resumen oficial, indicadas en el párrafo 117 de la misma.</w:t>
      </w:r>
    </w:p>
    <w:p w14:paraId="63F6F179" w14:textId="77777777" w:rsidR="004424DF" w:rsidRPr="004424DF" w:rsidRDefault="004424DF" w:rsidP="004424DF">
      <w:pPr>
        <w:spacing w:after="0" w:line="240" w:lineRule="auto"/>
        <w:jc w:val="both"/>
        <w:rPr>
          <w:rFonts w:ascii="Verdana" w:hAnsi="Verdana"/>
          <w:sz w:val="20"/>
          <w:szCs w:val="20"/>
          <w:lang w:val="es-CR"/>
        </w:rPr>
      </w:pPr>
    </w:p>
    <w:p w14:paraId="06B06676" w14:textId="2D9FE680" w:rsidR="004424DF" w:rsidRPr="004424DF" w:rsidRDefault="004424DF" w:rsidP="004424DF">
      <w:pPr>
        <w:spacing w:after="0" w:line="240" w:lineRule="auto"/>
        <w:jc w:val="both"/>
        <w:rPr>
          <w:rFonts w:ascii="Verdana" w:hAnsi="Verdana"/>
          <w:b/>
          <w:bCs/>
          <w:sz w:val="20"/>
          <w:szCs w:val="20"/>
          <w:u w:val="single"/>
          <w:lang w:val="es-CR"/>
        </w:rPr>
      </w:pPr>
      <w:r w:rsidRPr="004424DF">
        <w:rPr>
          <w:rFonts w:ascii="Verdana" w:hAnsi="Verdana"/>
          <w:b/>
          <w:bCs/>
          <w:sz w:val="20"/>
          <w:szCs w:val="20"/>
          <w:u w:val="single"/>
          <w:lang w:val="es-CR"/>
        </w:rPr>
        <w:t>Cumplimiento parcial:</w:t>
      </w:r>
    </w:p>
    <w:p w14:paraId="30E1924C" w14:textId="77777777" w:rsidR="004424DF" w:rsidRPr="004424DF" w:rsidRDefault="004424DF" w:rsidP="004424DF">
      <w:pPr>
        <w:spacing w:after="0" w:line="240" w:lineRule="auto"/>
        <w:jc w:val="both"/>
        <w:rPr>
          <w:rFonts w:ascii="Verdana" w:hAnsi="Verdana"/>
          <w:sz w:val="20"/>
          <w:szCs w:val="20"/>
          <w:lang w:val="es-CR"/>
        </w:rPr>
      </w:pPr>
    </w:p>
    <w:p w14:paraId="10C7F654" w14:textId="30B43239" w:rsidR="004424DF" w:rsidRDefault="004424DF" w:rsidP="004424DF">
      <w:pPr>
        <w:pStyle w:val="Prrafodelista"/>
        <w:numPr>
          <w:ilvl w:val="0"/>
          <w:numId w:val="1"/>
        </w:numPr>
        <w:spacing w:after="0" w:line="240" w:lineRule="auto"/>
        <w:ind w:left="360"/>
        <w:contextualSpacing w:val="0"/>
        <w:jc w:val="both"/>
        <w:rPr>
          <w:rFonts w:ascii="Verdana" w:hAnsi="Verdana"/>
          <w:sz w:val="20"/>
          <w:szCs w:val="20"/>
          <w:lang w:val="es-CR"/>
        </w:rPr>
      </w:pPr>
      <w:r w:rsidRPr="004424DF">
        <w:rPr>
          <w:rFonts w:ascii="Verdana" w:hAnsi="Verdana"/>
          <w:sz w:val="20"/>
          <w:szCs w:val="20"/>
          <w:lang w:val="es-CR"/>
        </w:rPr>
        <w:t>Pagar las cantidades fijadas en los párrafos 132, 133 y 139 de la presente Sentencia, por concepto de indemnizaciones por daño material e inmaterial.</w:t>
      </w:r>
    </w:p>
    <w:p w14:paraId="671A91C8" w14:textId="77777777" w:rsidR="004424DF" w:rsidRDefault="004424DF" w:rsidP="004424DF">
      <w:pPr>
        <w:spacing w:after="0" w:line="240" w:lineRule="auto"/>
        <w:jc w:val="both"/>
        <w:rPr>
          <w:rFonts w:ascii="Verdana" w:hAnsi="Verdana"/>
          <w:sz w:val="20"/>
          <w:szCs w:val="20"/>
          <w:lang w:val="es-CR"/>
        </w:rPr>
      </w:pPr>
    </w:p>
    <w:p w14:paraId="716D1EF0" w14:textId="38895AD7" w:rsidR="004424DF" w:rsidRDefault="004424DF" w:rsidP="004424DF">
      <w:pPr>
        <w:spacing w:after="0" w:line="240" w:lineRule="auto"/>
        <w:jc w:val="both"/>
        <w:rPr>
          <w:rFonts w:ascii="Verdana" w:hAnsi="Verdana"/>
          <w:sz w:val="20"/>
          <w:szCs w:val="20"/>
          <w:lang w:val="es-CR"/>
        </w:rPr>
      </w:pPr>
      <w:r>
        <w:rPr>
          <w:rFonts w:ascii="Verdana" w:hAnsi="Verdana"/>
          <w:sz w:val="20"/>
          <w:szCs w:val="20"/>
          <w:lang w:val="es-CR"/>
        </w:rPr>
        <w:t>En el Considerando 8 de la Resolución de 4 de octubre de 2022 la Corte dispuso lo siguiente:</w:t>
      </w:r>
    </w:p>
    <w:p w14:paraId="1D76C00B" w14:textId="77777777" w:rsidR="004424DF" w:rsidRDefault="004424DF" w:rsidP="004424DF">
      <w:pPr>
        <w:spacing w:after="0" w:line="240" w:lineRule="auto"/>
        <w:jc w:val="both"/>
        <w:rPr>
          <w:rFonts w:ascii="Verdana" w:hAnsi="Verdana"/>
          <w:sz w:val="20"/>
          <w:szCs w:val="20"/>
          <w:lang w:val="es-CR"/>
        </w:rPr>
      </w:pPr>
    </w:p>
    <w:p w14:paraId="21CC82FF" w14:textId="2D3F14DF" w:rsidR="004424DF" w:rsidRPr="004424DF" w:rsidRDefault="004424DF" w:rsidP="004424DF">
      <w:pPr>
        <w:spacing w:after="0" w:line="240" w:lineRule="auto"/>
        <w:ind w:left="284" w:right="288"/>
        <w:jc w:val="both"/>
        <w:rPr>
          <w:rFonts w:ascii="Verdana" w:hAnsi="Verdana"/>
          <w:sz w:val="16"/>
          <w:szCs w:val="16"/>
          <w:lang w:val="es-CR"/>
        </w:rPr>
      </w:pPr>
      <w:r w:rsidRPr="004424DF">
        <w:rPr>
          <w:rFonts w:ascii="Verdana" w:hAnsi="Verdana"/>
          <w:sz w:val="16"/>
          <w:szCs w:val="16"/>
          <w:lang w:val="es-CR"/>
        </w:rPr>
        <w:t>8. En virtud de lo anterior, la Corte declara que Argentina ha dado cumplimiento parcial a la medida ordenada en el punto resolutivo décimo de la Sentencia, en el tanto cumplió con el pago de las indemnizaciones ordenadas en la Sentencia por los daños sufridos por el señor Tumbeiro, quedando pendiente de cumplimiento que se realice el pago de las indemnizaciones fijadas por los daños al señor Fernández Prieto, una vez que se declaren sus derechohabientes.</w:t>
      </w:r>
    </w:p>
    <w:sectPr w:rsidR="004424DF" w:rsidRPr="004424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E9F2" w14:textId="77777777" w:rsidR="00D65821" w:rsidRDefault="00D65821" w:rsidP="00A11B5B">
      <w:pPr>
        <w:spacing w:after="0" w:line="240" w:lineRule="auto"/>
      </w:pPr>
      <w:r>
        <w:separator/>
      </w:r>
    </w:p>
  </w:endnote>
  <w:endnote w:type="continuationSeparator" w:id="0">
    <w:p w14:paraId="01ABCF03" w14:textId="77777777" w:rsidR="00D65821" w:rsidRDefault="00D65821"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F3CD" w14:textId="77777777" w:rsidR="00D65821" w:rsidRDefault="00D65821" w:rsidP="00A11B5B">
      <w:pPr>
        <w:spacing w:after="0" w:line="240" w:lineRule="auto"/>
      </w:pPr>
      <w:r>
        <w:separator/>
      </w:r>
    </w:p>
  </w:footnote>
  <w:footnote w:type="continuationSeparator" w:id="0">
    <w:p w14:paraId="765456F2" w14:textId="77777777" w:rsidR="00D65821" w:rsidRDefault="00D65821"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0"/>
  </w:num>
  <w:num w:numId="2" w16cid:durableId="406152255">
    <w:abstractNumId w:val="1"/>
  </w:num>
  <w:num w:numId="3" w16cid:durableId="1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97428"/>
    <w:rsid w:val="001F7893"/>
    <w:rsid w:val="0023513D"/>
    <w:rsid w:val="002A6F19"/>
    <w:rsid w:val="002C4B73"/>
    <w:rsid w:val="003327FA"/>
    <w:rsid w:val="00382096"/>
    <w:rsid w:val="003A7E5E"/>
    <w:rsid w:val="004424DF"/>
    <w:rsid w:val="006526F9"/>
    <w:rsid w:val="006555F3"/>
    <w:rsid w:val="00671470"/>
    <w:rsid w:val="006B6CC4"/>
    <w:rsid w:val="006E2A33"/>
    <w:rsid w:val="006F57CF"/>
    <w:rsid w:val="00883983"/>
    <w:rsid w:val="009832C0"/>
    <w:rsid w:val="00994E85"/>
    <w:rsid w:val="009B27A9"/>
    <w:rsid w:val="00A11B5B"/>
    <w:rsid w:val="00A2459A"/>
    <w:rsid w:val="00C1019E"/>
    <w:rsid w:val="00C962B6"/>
    <w:rsid w:val="00CA6B4C"/>
    <w:rsid w:val="00D65821"/>
    <w:rsid w:val="00DD4A99"/>
    <w:rsid w:val="00E9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770</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4</cp:revision>
  <dcterms:created xsi:type="dcterms:W3CDTF">2023-08-31T18:13:00Z</dcterms:created>
  <dcterms:modified xsi:type="dcterms:W3CDTF">2023-08-31T18:17:00Z</dcterms:modified>
</cp:coreProperties>
</file>