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E36E" w14:textId="77777777" w:rsidR="00E87F8F" w:rsidRPr="003D5631" w:rsidRDefault="00E87F8F" w:rsidP="00E87F8F">
      <w:pPr>
        <w:jc w:val="center"/>
        <w:rPr>
          <w:b/>
          <w:sz w:val="22"/>
          <w:szCs w:val="22"/>
          <w:u w:val="single"/>
          <w:lang w:val="it-IT"/>
        </w:rPr>
      </w:pPr>
      <w:r w:rsidRPr="003D5631">
        <w:rPr>
          <w:b/>
          <w:sz w:val="22"/>
          <w:szCs w:val="22"/>
          <w:u w:val="single"/>
          <w:lang w:val="it-IT"/>
        </w:rPr>
        <w:t xml:space="preserve">Caso Fontevecchia y D’Amico </w:t>
      </w:r>
      <w:r w:rsidRPr="003D5631">
        <w:rPr>
          <w:b/>
          <w:i/>
          <w:sz w:val="22"/>
          <w:szCs w:val="22"/>
          <w:u w:val="single"/>
          <w:lang w:val="it-IT"/>
        </w:rPr>
        <w:t>Vs</w:t>
      </w:r>
      <w:r w:rsidRPr="003D5631">
        <w:rPr>
          <w:b/>
          <w:sz w:val="22"/>
          <w:szCs w:val="22"/>
          <w:u w:val="single"/>
          <w:lang w:val="it-IT"/>
        </w:rPr>
        <w:t xml:space="preserve">. Argentina: reparaciones </w:t>
      </w:r>
      <w:r w:rsidR="003D5631" w:rsidRPr="003D5631">
        <w:rPr>
          <w:b/>
          <w:sz w:val="22"/>
          <w:szCs w:val="22"/>
          <w:u w:val="single"/>
          <w:lang w:val="it-IT"/>
        </w:rPr>
        <w:t>d</w:t>
      </w:r>
      <w:r w:rsidR="003D5631">
        <w:rPr>
          <w:b/>
          <w:sz w:val="22"/>
          <w:szCs w:val="22"/>
          <w:u w:val="single"/>
          <w:lang w:val="it-IT"/>
        </w:rPr>
        <w:t>eclaradas cumplidas</w:t>
      </w:r>
    </w:p>
    <w:p w14:paraId="2371EED2" w14:textId="77777777" w:rsidR="000E1D98" w:rsidRDefault="000E1D98"/>
    <w:p w14:paraId="4528A0E6" w14:textId="77777777" w:rsidR="000E1D98" w:rsidRPr="00F22D6C" w:rsidRDefault="000E1D98" w:rsidP="000E1D98">
      <w:pPr>
        <w:pStyle w:val="Default"/>
        <w:jc w:val="both"/>
      </w:pPr>
      <w:r w:rsidRPr="004B642A">
        <w:t xml:space="preserve"> </w:t>
      </w:r>
    </w:p>
    <w:p w14:paraId="42B176B7" w14:textId="30789F61" w:rsidR="000E1D98" w:rsidRDefault="000E1D98" w:rsidP="000E1D98">
      <w:pPr>
        <w:pStyle w:val="Default"/>
        <w:numPr>
          <w:ilvl w:val="0"/>
          <w:numId w:val="2"/>
        </w:numPr>
        <w:jc w:val="both"/>
        <w:rPr>
          <w:sz w:val="20"/>
          <w:szCs w:val="20"/>
        </w:rPr>
      </w:pPr>
      <w:r w:rsidRPr="00D71BE6">
        <w:rPr>
          <w:sz w:val="20"/>
          <w:szCs w:val="20"/>
          <w:lang w:val="es-ES_tradnl"/>
        </w:rPr>
        <w:t>Realizar las publicaciones dispuestas en la Sentencia, de conformidad con lo establecido en el párrafo 108 de la misma.</w:t>
      </w:r>
    </w:p>
    <w:p w14:paraId="2D24182F" w14:textId="77777777" w:rsidR="000E1D98" w:rsidRDefault="000E1D98" w:rsidP="000E1D98">
      <w:pPr>
        <w:pStyle w:val="Default"/>
        <w:ind w:left="363"/>
        <w:jc w:val="both"/>
        <w:rPr>
          <w:sz w:val="20"/>
          <w:szCs w:val="20"/>
        </w:rPr>
      </w:pPr>
    </w:p>
    <w:p w14:paraId="5CC08469" w14:textId="77777777" w:rsidR="000E1D98" w:rsidRDefault="000E1D98" w:rsidP="000E1D98">
      <w:pPr>
        <w:pStyle w:val="Default"/>
        <w:numPr>
          <w:ilvl w:val="0"/>
          <w:numId w:val="2"/>
        </w:numPr>
        <w:jc w:val="both"/>
        <w:rPr>
          <w:sz w:val="20"/>
          <w:szCs w:val="20"/>
        </w:rPr>
      </w:pPr>
      <w:r>
        <w:rPr>
          <w:sz w:val="20"/>
          <w:szCs w:val="20"/>
          <w:lang w:val="es-ES_tradnl"/>
        </w:rPr>
        <w:t>R</w:t>
      </w:r>
      <w:r w:rsidRPr="00027F81">
        <w:rPr>
          <w:sz w:val="20"/>
          <w:szCs w:val="20"/>
          <w:lang w:val="es-ES_tradnl"/>
        </w:rPr>
        <w:t>ealizar el pago de los montos fijados en los párrafos 128 y 129 de la misma por concepto de reintegro de costas y gastos</w:t>
      </w:r>
      <w:r>
        <w:rPr>
          <w:sz w:val="20"/>
          <w:szCs w:val="20"/>
        </w:rPr>
        <w:t>.</w:t>
      </w:r>
    </w:p>
    <w:p w14:paraId="60A498F8" w14:textId="77777777" w:rsidR="000E1D98" w:rsidRPr="0063307C" w:rsidRDefault="000E1D98" w:rsidP="000E1D98">
      <w:pPr>
        <w:pStyle w:val="Default"/>
        <w:jc w:val="both"/>
        <w:rPr>
          <w:sz w:val="20"/>
          <w:szCs w:val="20"/>
        </w:rPr>
      </w:pPr>
    </w:p>
    <w:p w14:paraId="258D405B" w14:textId="77777777" w:rsidR="000E1D98" w:rsidRPr="0063307C" w:rsidRDefault="000E1D98" w:rsidP="000E1D98">
      <w:pPr>
        <w:pStyle w:val="Default"/>
        <w:jc w:val="both"/>
        <w:rPr>
          <w:b/>
          <w:sz w:val="20"/>
          <w:szCs w:val="20"/>
          <w:u w:val="single"/>
        </w:rPr>
      </w:pPr>
      <w:bookmarkStart w:id="0" w:name="_Hlk144371104"/>
      <w:r>
        <w:rPr>
          <w:b/>
          <w:sz w:val="20"/>
          <w:szCs w:val="20"/>
          <w:u w:val="single"/>
        </w:rPr>
        <w:t>Cumplimiento parcial</w:t>
      </w:r>
    </w:p>
    <w:p w14:paraId="36EAA9DE" w14:textId="77777777" w:rsidR="000E1D98" w:rsidRPr="0063307C" w:rsidRDefault="000E1D98" w:rsidP="000E1D98">
      <w:pPr>
        <w:pStyle w:val="Default"/>
        <w:jc w:val="both"/>
        <w:rPr>
          <w:sz w:val="20"/>
          <w:szCs w:val="20"/>
        </w:rPr>
      </w:pPr>
    </w:p>
    <w:p w14:paraId="63837613" w14:textId="77777777" w:rsidR="000E1D98" w:rsidRDefault="000E1D98" w:rsidP="000E1D98">
      <w:pPr>
        <w:pStyle w:val="Default"/>
        <w:numPr>
          <w:ilvl w:val="0"/>
          <w:numId w:val="3"/>
        </w:numPr>
        <w:jc w:val="both"/>
        <w:rPr>
          <w:sz w:val="20"/>
          <w:szCs w:val="20"/>
        </w:rPr>
      </w:pPr>
      <w:r w:rsidRPr="00BF3B77">
        <w:rPr>
          <w:sz w:val="20"/>
          <w:szCs w:val="20"/>
          <w:lang w:val="es-ES_tradnl"/>
        </w:rPr>
        <w:t xml:space="preserve">Dejar sin efecto la condena civil impuesta a los señores Jorge Fontevecchia y </w:t>
      </w:r>
      <w:proofErr w:type="spellStart"/>
      <w:r w:rsidRPr="00BF3B77">
        <w:rPr>
          <w:sz w:val="20"/>
          <w:szCs w:val="20"/>
          <w:lang w:val="es-ES_tradnl"/>
        </w:rPr>
        <w:t>Hector</w:t>
      </w:r>
      <w:proofErr w:type="spellEnd"/>
      <w:r w:rsidRPr="00BF3B77">
        <w:rPr>
          <w:sz w:val="20"/>
          <w:szCs w:val="20"/>
          <w:lang w:val="es-ES_tradnl"/>
        </w:rPr>
        <w:t xml:space="preserve"> D’Amico así como todas sus consecuencias, en el plazo de un año contado a partir de la notificación de la presente Sentencia, en los términos del párrafo 105 de la misma.</w:t>
      </w:r>
    </w:p>
    <w:p w14:paraId="45559B3B" w14:textId="77777777" w:rsidR="000E1D98" w:rsidRPr="00BF3B77" w:rsidRDefault="000E1D98" w:rsidP="000E1D98">
      <w:pPr>
        <w:pStyle w:val="Default"/>
        <w:ind w:left="363"/>
        <w:jc w:val="both"/>
        <w:rPr>
          <w:sz w:val="20"/>
          <w:szCs w:val="20"/>
        </w:rPr>
      </w:pPr>
    </w:p>
    <w:p w14:paraId="00310898" w14:textId="77777777" w:rsidR="000E1D98" w:rsidRDefault="000E1D98" w:rsidP="000E1D98">
      <w:pPr>
        <w:pStyle w:val="Default"/>
        <w:jc w:val="both"/>
        <w:rPr>
          <w:sz w:val="20"/>
          <w:szCs w:val="20"/>
        </w:rPr>
      </w:pPr>
      <w:r>
        <w:rPr>
          <w:sz w:val="20"/>
          <w:szCs w:val="20"/>
        </w:rPr>
        <w:t>En el Considerando 17</w:t>
      </w:r>
      <w:r w:rsidRPr="0063307C">
        <w:rPr>
          <w:sz w:val="20"/>
          <w:szCs w:val="20"/>
        </w:rPr>
        <w:t xml:space="preserve"> de la Resolución de la Corte de </w:t>
      </w:r>
      <w:r>
        <w:rPr>
          <w:sz w:val="20"/>
          <w:szCs w:val="20"/>
        </w:rPr>
        <w:t>19 de abril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742360BE" w14:textId="77777777" w:rsidR="000E1D98" w:rsidRPr="00683F7B" w:rsidRDefault="000E1D98" w:rsidP="000E1D98"/>
    <w:p w14:paraId="0C435BB4" w14:textId="77777777" w:rsidR="000E1D98" w:rsidRPr="002A5E8D" w:rsidRDefault="000E1D98" w:rsidP="000E1D98">
      <w:pPr>
        <w:pStyle w:val="Prrafodelista"/>
        <w:ind w:left="426" w:right="571"/>
        <w:rPr>
          <w:sz w:val="16"/>
        </w:rPr>
      </w:pPr>
      <w:r w:rsidRPr="002416EA">
        <w:rPr>
          <w:sz w:val="16"/>
        </w:rPr>
        <w:t>17. De conformidad con lo anterior, para dar cumplimiento total a esta reparación, Argentina deberá pagar a la organización representante de las víctimas $9.000.000</w:t>
      </w:r>
      <w:r>
        <w:rPr>
          <w:sz w:val="16"/>
        </w:rPr>
        <w:t xml:space="preserve"> </w:t>
      </w:r>
      <w:r w:rsidRPr="00D92A57">
        <w:rPr>
          <w:sz w:val="16"/>
        </w:rPr>
        <w:t>(nueve millones de pesos argentinos), más los intereses moratorios que correspondan desde el vencimiento del plazo de un año dispuesto en la Sentencia de la Corte33 hasta la fecha más cercana al pago. Los intereses moratorios se pagarán conforme a lo dispuesto en el párrafo 136 de la Sentencia34 y la práctica usual del Estado en la etapa de supervisión de cumplimiento de Sentencias. El Estado deberá realizar dicho pago en el plazo de seis meses, contado a partir de la notificación de esta Resolución</w:t>
      </w:r>
      <w:r>
        <w:rPr>
          <w:sz w:val="16"/>
        </w:rPr>
        <w:t>.</w:t>
      </w:r>
    </w:p>
    <w:bookmarkEnd w:id="0"/>
    <w:p w14:paraId="1FFA098E" w14:textId="77777777" w:rsidR="00A64B3A" w:rsidRPr="000E1D98" w:rsidRDefault="00A64B3A" w:rsidP="00A5141E">
      <w:pPr>
        <w:rPr>
          <w:rFonts w:cs="Verdana"/>
          <w:szCs w:val="20"/>
        </w:rPr>
      </w:pPr>
    </w:p>
    <w:sectPr w:rsidR="00A64B3A" w:rsidRPr="000E1D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9268" w14:textId="77777777" w:rsidR="00A62FB1" w:rsidRDefault="00A62FB1" w:rsidP="006D17F9">
      <w:r>
        <w:separator/>
      </w:r>
    </w:p>
  </w:endnote>
  <w:endnote w:type="continuationSeparator" w:id="0">
    <w:p w14:paraId="6100E306" w14:textId="77777777" w:rsidR="00A62FB1" w:rsidRDefault="00A62FB1" w:rsidP="006D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5E9F" w14:textId="77777777" w:rsidR="00AC30E9" w:rsidRDefault="00AC30E9" w:rsidP="00AC30E9">
    <w:pPr>
      <w:rPr>
        <w:bCs/>
        <w:sz w:val="16"/>
        <w:szCs w:val="16"/>
        <w:lang w:val="es-MX"/>
      </w:rPr>
    </w:pPr>
    <w:r>
      <w:rPr>
        <w:bCs/>
        <w:sz w:val="16"/>
        <w:szCs w:val="16"/>
        <w:lang w:val="es-MX"/>
      </w:rPr>
      <w:t xml:space="preserve">La presente sistematización de información fue </w:t>
    </w:r>
    <w:r w:rsidR="006A0867">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5C5CBBB" w14:textId="77777777" w:rsidR="006D17F9" w:rsidRPr="006D17F9" w:rsidRDefault="006D17F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99AE" w14:textId="77777777" w:rsidR="00A62FB1" w:rsidRDefault="00A62FB1" w:rsidP="006D17F9">
      <w:r>
        <w:separator/>
      </w:r>
    </w:p>
  </w:footnote>
  <w:footnote w:type="continuationSeparator" w:id="0">
    <w:p w14:paraId="34DAA877" w14:textId="77777777" w:rsidR="00A62FB1" w:rsidRDefault="00A62FB1" w:rsidP="006D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Cs w:val="20"/>
      </w:rPr>
    </w:sdtEndPr>
    <w:sdtContent>
      <w:p w14:paraId="2AF78868" w14:textId="77777777" w:rsidR="00A96CF1" w:rsidRPr="00675FE7" w:rsidRDefault="00A96CF1" w:rsidP="00A96CF1">
        <w:pPr>
          <w:pStyle w:val="Encabezado"/>
          <w:jc w:val="right"/>
          <w:rPr>
            <w:szCs w:val="20"/>
          </w:rPr>
        </w:pPr>
        <w:r w:rsidRPr="00675FE7">
          <w:rPr>
            <w:szCs w:val="20"/>
          </w:rPr>
          <w:fldChar w:fldCharType="begin"/>
        </w:r>
        <w:r w:rsidRPr="00675FE7">
          <w:rPr>
            <w:szCs w:val="20"/>
          </w:rPr>
          <w:instrText xml:space="preserve"> PAGE   \* MERGEFORMAT </w:instrText>
        </w:r>
        <w:r w:rsidRPr="00675FE7">
          <w:rPr>
            <w:szCs w:val="20"/>
          </w:rPr>
          <w:fldChar w:fldCharType="separate"/>
        </w:r>
        <w:r w:rsidR="003D5631">
          <w:rPr>
            <w:noProof/>
            <w:szCs w:val="20"/>
          </w:rPr>
          <w:t>1</w:t>
        </w:r>
        <w:r w:rsidRPr="00675FE7">
          <w:rPr>
            <w:noProof/>
            <w:szCs w:val="20"/>
          </w:rPr>
          <w:fldChar w:fldCharType="end"/>
        </w:r>
      </w:p>
    </w:sdtContent>
  </w:sdt>
  <w:p w14:paraId="7538D85E" w14:textId="77777777" w:rsidR="00A96CF1" w:rsidRDefault="00A96C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256"/>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 w15:restartNumberingAfterBreak="0">
    <w:nsid w:val="1B7D3C48"/>
    <w:multiLevelType w:val="hybridMultilevel"/>
    <w:tmpl w:val="9966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052183">
    <w:abstractNumId w:val="2"/>
  </w:num>
  <w:num w:numId="2" w16cid:durableId="939144412">
    <w:abstractNumId w:val="1"/>
  </w:num>
  <w:num w:numId="3" w16cid:durableId="34675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8F"/>
    <w:rsid w:val="000E1D98"/>
    <w:rsid w:val="003A7E5E"/>
    <w:rsid w:val="003D5631"/>
    <w:rsid w:val="0056606C"/>
    <w:rsid w:val="005F2056"/>
    <w:rsid w:val="006A0867"/>
    <w:rsid w:val="006D17F9"/>
    <w:rsid w:val="008C2924"/>
    <w:rsid w:val="008D7657"/>
    <w:rsid w:val="00940BAF"/>
    <w:rsid w:val="009832C0"/>
    <w:rsid w:val="00A5141E"/>
    <w:rsid w:val="00A62FB1"/>
    <w:rsid w:val="00A64B3A"/>
    <w:rsid w:val="00A96CF1"/>
    <w:rsid w:val="00AC30E9"/>
    <w:rsid w:val="00E8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AFAE"/>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F8F"/>
    <w:pPr>
      <w:spacing w:after="0" w:line="240" w:lineRule="auto"/>
      <w:jc w:val="both"/>
    </w:pPr>
    <w:rPr>
      <w:rFonts w:ascii="Verdana" w:eastAsia="Batang" w:hAnsi="Verdana" w:cs="Times"/>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4B3A"/>
    <w:pPr>
      <w:ind w:left="720"/>
      <w:contextualSpacing/>
    </w:pPr>
  </w:style>
  <w:style w:type="paragraph" w:styleId="Encabezado">
    <w:name w:val="header"/>
    <w:basedOn w:val="Normal"/>
    <w:link w:val="EncabezadoCar"/>
    <w:uiPriority w:val="99"/>
    <w:unhideWhenUsed/>
    <w:rsid w:val="006D17F9"/>
    <w:pPr>
      <w:tabs>
        <w:tab w:val="center" w:pos="4680"/>
        <w:tab w:val="right" w:pos="9360"/>
      </w:tabs>
    </w:pPr>
  </w:style>
  <w:style w:type="character" w:customStyle="1" w:styleId="EncabezadoCar">
    <w:name w:val="Encabezado Car"/>
    <w:basedOn w:val="Fuentedeprrafopredeter"/>
    <w:link w:val="Encabezado"/>
    <w:uiPriority w:val="99"/>
    <w:rsid w:val="006D17F9"/>
    <w:rPr>
      <w:rFonts w:ascii="Verdana" w:eastAsia="Batang" w:hAnsi="Verdana" w:cs="Times"/>
      <w:sz w:val="20"/>
      <w:szCs w:val="24"/>
      <w:lang w:val="es-ES_tradnl"/>
    </w:rPr>
  </w:style>
  <w:style w:type="paragraph" w:styleId="Piedepgina">
    <w:name w:val="footer"/>
    <w:basedOn w:val="Normal"/>
    <w:link w:val="PiedepginaCar"/>
    <w:uiPriority w:val="99"/>
    <w:unhideWhenUsed/>
    <w:rsid w:val="006D17F9"/>
    <w:pPr>
      <w:tabs>
        <w:tab w:val="center" w:pos="4680"/>
        <w:tab w:val="right" w:pos="9360"/>
      </w:tabs>
    </w:pPr>
  </w:style>
  <w:style w:type="character" w:customStyle="1" w:styleId="PiedepginaCar">
    <w:name w:val="Pie de página Car"/>
    <w:basedOn w:val="Fuentedeprrafopredeter"/>
    <w:link w:val="Piedepgina"/>
    <w:uiPriority w:val="99"/>
    <w:rsid w:val="006D17F9"/>
    <w:rPr>
      <w:rFonts w:ascii="Verdana" w:eastAsia="Batang" w:hAnsi="Verdana" w:cs="Times"/>
      <w:sz w:val="20"/>
      <w:szCs w:val="24"/>
      <w:lang w:val="es-ES_tradnl"/>
    </w:rPr>
  </w:style>
  <w:style w:type="paragraph" w:customStyle="1" w:styleId="Default">
    <w:name w:val="Default"/>
    <w:rsid w:val="000E1D98"/>
    <w:pPr>
      <w:autoSpaceDE w:val="0"/>
      <w:autoSpaceDN w:val="0"/>
      <w:adjustRightInd w:val="0"/>
      <w:spacing w:after="0" w:line="240" w:lineRule="auto"/>
    </w:pPr>
    <w:rPr>
      <w:rFonts w:ascii="Verdana" w:hAnsi="Verdana" w:cs="Verdana"/>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4</cp:revision>
  <dcterms:created xsi:type="dcterms:W3CDTF">2017-06-28T19:34:00Z</dcterms:created>
  <dcterms:modified xsi:type="dcterms:W3CDTF">2023-08-31T16:45:00Z</dcterms:modified>
</cp:coreProperties>
</file>