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35B" w14:textId="77777777" w:rsidR="007C4394" w:rsidRPr="00CA1E27" w:rsidRDefault="007C4394" w:rsidP="00CA1E27">
      <w:pPr>
        <w:jc w:val="center"/>
        <w:rPr>
          <w:b/>
          <w:sz w:val="22"/>
          <w:szCs w:val="22"/>
          <w:u w:val="single"/>
        </w:rPr>
      </w:pPr>
    </w:p>
    <w:p w14:paraId="79325AFA" w14:textId="77777777" w:rsidR="00CA1E27" w:rsidRDefault="00CA1E27" w:rsidP="00CA1E27">
      <w:pPr>
        <w:jc w:val="center"/>
        <w:rPr>
          <w:b/>
          <w:sz w:val="22"/>
          <w:szCs w:val="22"/>
          <w:u w:val="single"/>
        </w:rPr>
      </w:pPr>
      <w:r>
        <w:rPr>
          <w:b/>
          <w:sz w:val="22"/>
          <w:szCs w:val="22"/>
          <w:u w:val="single"/>
        </w:rPr>
        <w:t>Caso Furla</w:t>
      </w:r>
      <w:r w:rsidRPr="00CA1E27">
        <w:rPr>
          <w:b/>
          <w:sz w:val="22"/>
          <w:szCs w:val="22"/>
          <w:u w:val="single"/>
        </w:rPr>
        <w:t xml:space="preserve">n y Familiares </w:t>
      </w:r>
      <w:r w:rsidRPr="00CA1E27">
        <w:rPr>
          <w:b/>
          <w:i/>
          <w:sz w:val="22"/>
          <w:szCs w:val="22"/>
          <w:u w:val="single"/>
        </w:rPr>
        <w:t>Vs.</w:t>
      </w:r>
      <w:r w:rsidRPr="00CA1E27">
        <w:rPr>
          <w:b/>
          <w:sz w:val="22"/>
          <w:szCs w:val="22"/>
          <w:u w:val="single"/>
        </w:rPr>
        <w:t xml:space="preserve"> Argentina: reparaciones declaradas cumplidas</w:t>
      </w:r>
    </w:p>
    <w:p w14:paraId="1BD92F9E" w14:textId="77777777" w:rsidR="00FA5137" w:rsidRDefault="00FA5137" w:rsidP="00FA5137">
      <w:pPr>
        <w:rPr>
          <w:b/>
          <w:sz w:val="22"/>
          <w:szCs w:val="22"/>
          <w:u w:val="single"/>
        </w:rPr>
      </w:pPr>
    </w:p>
    <w:p w14:paraId="7604918B" w14:textId="77777777" w:rsidR="00FA5137" w:rsidRDefault="00FA5137" w:rsidP="00FA5137">
      <w:pPr>
        <w:rPr>
          <w:b/>
          <w:sz w:val="22"/>
          <w:szCs w:val="22"/>
          <w:u w:val="single"/>
        </w:rPr>
      </w:pPr>
    </w:p>
    <w:p w14:paraId="285076D6" w14:textId="77777777" w:rsidR="003B792B" w:rsidRPr="003B792B" w:rsidRDefault="003B792B" w:rsidP="003B792B">
      <w:pPr>
        <w:pStyle w:val="Prrafodelista"/>
        <w:numPr>
          <w:ilvl w:val="0"/>
          <w:numId w:val="1"/>
        </w:numPr>
        <w:ind w:left="360" w:hanging="360"/>
        <w:jc w:val="both"/>
        <w:rPr>
          <w:lang w:val="es-CR"/>
        </w:rPr>
      </w:pPr>
      <w:r w:rsidRPr="003B792B">
        <w:rPr>
          <w:lang w:val="es-CR"/>
        </w:rPr>
        <w:t>Realizar las publicaciones indicadas en el párrafo 290 de la presente Sentencia, en el plazo de seis meses contado a partir de la notificación de la misma.</w:t>
      </w:r>
    </w:p>
    <w:p w14:paraId="31EBB49A" w14:textId="77777777" w:rsidR="003B792B" w:rsidRDefault="003B792B" w:rsidP="003B792B">
      <w:pPr>
        <w:pStyle w:val="Prrafodelista"/>
        <w:ind w:left="360"/>
        <w:jc w:val="both"/>
        <w:rPr>
          <w:lang w:val="es-CR"/>
        </w:rPr>
      </w:pPr>
    </w:p>
    <w:p w14:paraId="3A7C4F03" w14:textId="77777777" w:rsidR="003B792B" w:rsidRPr="00DD46E6" w:rsidRDefault="003B792B" w:rsidP="003B792B">
      <w:pPr>
        <w:pStyle w:val="Prrafodelista"/>
        <w:numPr>
          <w:ilvl w:val="0"/>
          <w:numId w:val="1"/>
        </w:numPr>
        <w:ind w:left="360" w:hanging="360"/>
        <w:jc w:val="both"/>
        <w:rPr>
          <w:lang w:val="es-CR"/>
        </w:rPr>
      </w:pPr>
      <w:r w:rsidRPr="00DD46E6">
        <w:rPr>
          <w:lang w:val="es-CR"/>
        </w:rPr>
        <w:t>Pagar las cantidades fijadas en los párrafos 316, 321 y 325 de la presente Sentencia, por concepto de indemnizaciones por daños materiales e inmateriales, y por el reintegro de costas y gastos, en los térm</w:t>
      </w:r>
      <w:r>
        <w:rPr>
          <w:lang w:val="es-CR"/>
        </w:rPr>
        <w:t>inos de los referidos párrafos.</w:t>
      </w:r>
    </w:p>
    <w:p w14:paraId="75234505" w14:textId="77777777" w:rsidR="003B792B" w:rsidRPr="003B792B" w:rsidRDefault="003B792B" w:rsidP="003B792B">
      <w:pPr>
        <w:pStyle w:val="Prrafodelista"/>
        <w:rPr>
          <w:lang w:val="es-CR"/>
        </w:rPr>
      </w:pPr>
    </w:p>
    <w:p w14:paraId="651BD224" w14:textId="77777777" w:rsidR="003B792B" w:rsidRDefault="003B792B" w:rsidP="003B792B">
      <w:pPr>
        <w:rPr>
          <w:b/>
          <w:sz w:val="22"/>
          <w:szCs w:val="22"/>
          <w:u w:val="single"/>
          <w:lang w:val="es-CR"/>
        </w:rPr>
      </w:pPr>
    </w:p>
    <w:p w14:paraId="77599CB2" w14:textId="77777777" w:rsidR="003B792B" w:rsidRDefault="003B792B" w:rsidP="003B792B">
      <w:pPr>
        <w:rPr>
          <w:b/>
          <w:sz w:val="22"/>
          <w:szCs w:val="22"/>
          <w:u w:val="single"/>
          <w:lang w:val="es-CR"/>
        </w:rPr>
      </w:pPr>
      <w:r>
        <w:rPr>
          <w:b/>
          <w:sz w:val="22"/>
          <w:szCs w:val="22"/>
          <w:u w:val="single"/>
          <w:lang w:val="es-CR"/>
        </w:rPr>
        <w:t>Cumplimiento parcial:</w:t>
      </w:r>
    </w:p>
    <w:p w14:paraId="43DD4EE7" w14:textId="77777777" w:rsidR="003B792B" w:rsidRPr="003B792B" w:rsidRDefault="003B792B" w:rsidP="003B792B">
      <w:pPr>
        <w:pStyle w:val="Prrafodelista"/>
        <w:ind w:left="360"/>
        <w:jc w:val="both"/>
        <w:rPr>
          <w:lang w:val="es-CR"/>
        </w:rPr>
      </w:pPr>
    </w:p>
    <w:p w14:paraId="1C28BFAC" w14:textId="77777777" w:rsidR="003B792B" w:rsidRPr="00235AEB" w:rsidRDefault="003B792B" w:rsidP="003B792B">
      <w:pPr>
        <w:pStyle w:val="Prrafodelista"/>
        <w:numPr>
          <w:ilvl w:val="0"/>
          <w:numId w:val="1"/>
        </w:numPr>
        <w:ind w:left="360" w:hanging="360"/>
        <w:jc w:val="both"/>
        <w:rPr>
          <w:lang w:val="es-CR"/>
        </w:rPr>
      </w:pPr>
      <w:r w:rsidRPr="00235AEB">
        <w:rPr>
          <w:lang w:val="es-CR"/>
        </w:rPr>
        <w:t xml:space="preserve">Adoptar </w:t>
      </w:r>
      <w:r w:rsidRPr="00235AEB">
        <w:rPr>
          <w:lang w:val="es-CO"/>
        </w:rPr>
        <w:t>las medidas necesarias para asegurar que al momento en que una persona es diagnosticada con graves problemas o secuelas relacionadas con discapacidad, le sea entregada a la persona o su grupo familiar u</w:t>
      </w:r>
      <w:r w:rsidRPr="00235AEB">
        <w:rPr>
          <w:iCs/>
          <w:lang w:val="es-CO"/>
        </w:rPr>
        <w:t xml:space="preserve">na carta de derechos que resuma en forma sintética, clara y accesible </w:t>
      </w:r>
      <w:r w:rsidRPr="00235AEB">
        <w:rPr>
          <w:lang w:val="es-CO"/>
        </w:rPr>
        <w:t>los beneficios que contempla la normatividad argentina</w:t>
      </w:r>
      <w:r w:rsidRPr="00235AEB">
        <w:rPr>
          <w:rFonts w:eastAsia="Times"/>
          <w:lang w:val="es-CR"/>
        </w:rPr>
        <w:t xml:space="preserve">, </w:t>
      </w:r>
      <w:r w:rsidRPr="00F61549">
        <w:t xml:space="preserve">de conformidad con lo establecido en los párrafos </w:t>
      </w:r>
      <w:r>
        <w:t xml:space="preserve">294 y 295 </w:t>
      </w:r>
      <w:r w:rsidRPr="00F61549">
        <w:t>de la presente Sentencia.</w:t>
      </w:r>
    </w:p>
    <w:p w14:paraId="624DF576" w14:textId="77777777" w:rsidR="007F2B17" w:rsidRDefault="007F2B17" w:rsidP="007F2B17">
      <w:pPr>
        <w:jc w:val="both"/>
        <w:rPr>
          <w:lang w:val="es-CR"/>
        </w:rPr>
      </w:pPr>
    </w:p>
    <w:p w14:paraId="63CE90BF" w14:textId="77777777" w:rsidR="007F2B17" w:rsidRDefault="007F2B17" w:rsidP="007F2B17">
      <w:pPr>
        <w:jc w:val="both"/>
        <w:rPr>
          <w:lang w:val="es-EC"/>
        </w:rPr>
      </w:pPr>
      <w:r>
        <w:t xml:space="preserve">En </w:t>
      </w:r>
      <w:r w:rsidRPr="008054B4">
        <w:rPr>
          <w:lang w:val="es-EC"/>
        </w:rPr>
        <w:t>el Considerando 15 de la Resolución</w:t>
      </w:r>
      <w:r>
        <w:rPr>
          <w:lang w:val="es-EC"/>
        </w:rPr>
        <w:t xml:space="preserve"> de 28 de noviembre de 2018, la Corte consideró que </w:t>
      </w:r>
      <w:r w:rsidRPr="008054B4">
        <w:rPr>
          <w:lang w:val="es-EC"/>
        </w:rPr>
        <w:t xml:space="preserve"> el Estado </w:t>
      </w:r>
      <w:r w:rsidRPr="00A444E8">
        <w:rPr>
          <w:b/>
          <w:lang w:val="es-EC"/>
        </w:rPr>
        <w:t>ha dado cumplimiento parcial</w:t>
      </w:r>
      <w:r w:rsidRPr="008054B4">
        <w:rPr>
          <w:lang w:val="es-EC"/>
        </w:rPr>
        <w:t xml:space="preserve"> a </w:t>
      </w:r>
      <w:r>
        <w:rPr>
          <w:lang w:val="es-EC"/>
        </w:rPr>
        <w:t>esta</w:t>
      </w:r>
      <w:r w:rsidRPr="008054B4">
        <w:rPr>
          <w:lang w:val="es-EC"/>
        </w:rPr>
        <w:t xml:space="preserve"> reparación, </w:t>
      </w:r>
      <w:r>
        <w:t xml:space="preserve">ya que Argentina cumplió con elaborar la referida carta de derechos, </w:t>
      </w:r>
      <w:r w:rsidRPr="008054B4">
        <w:rPr>
          <w:lang w:val="es-EC"/>
        </w:rPr>
        <w:t xml:space="preserve">quedando pendiente únicamente que acredite las medidas que está adoptando para asegurar que su entrega se haga conforme a lo dispuesto en la Sentencia y a lo indicado en el Considerando 12 de la </w:t>
      </w:r>
      <w:r>
        <w:rPr>
          <w:lang w:val="es-EC"/>
        </w:rPr>
        <w:t>[dicha]</w:t>
      </w:r>
      <w:r w:rsidRPr="008054B4">
        <w:rPr>
          <w:lang w:val="es-EC"/>
        </w:rPr>
        <w:t xml:space="preserve"> Resolución</w:t>
      </w:r>
      <w:r>
        <w:rPr>
          <w:lang w:val="es-EC"/>
        </w:rPr>
        <w:t>.</w:t>
      </w:r>
    </w:p>
    <w:p w14:paraId="0693EA46" w14:textId="77777777" w:rsidR="003B792B" w:rsidRPr="007F2B17" w:rsidRDefault="003B792B" w:rsidP="003B792B">
      <w:pPr>
        <w:jc w:val="both"/>
        <w:rPr>
          <w:lang w:val="es-EC"/>
        </w:rPr>
      </w:pPr>
    </w:p>
    <w:p w14:paraId="738F2EB5" w14:textId="77777777" w:rsidR="003B792B" w:rsidRDefault="003B792B" w:rsidP="00FA5137">
      <w:pPr>
        <w:rPr>
          <w:b/>
          <w:sz w:val="22"/>
          <w:szCs w:val="22"/>
          <w:u w:val="single"/>
          <w:lang w:val="es-CR"/>
        </w:rPr>
      </w:pPr>
    </w:p>
    <w:p w14:paraId="56FFC732" w14:textId="77777777" w:rsidR="003B792B" w:rsidRDefault="003B792B" w:rsidP="00FA5137">
      <w:pPr>
        <w:rPr>
          <w:b/>
          <w:sz w:val="22"/>
          <w:szCs w:val="22"/>
          <w:u w:val="single"/>
          <w:lang w:val="es-CR"/>
        </w:rPr>
      </w:pPr>
    </w:p>
    <w:p w14:paraId="2D89A34E" w14:textId="77777777" w:rsidR="003B792B" w:rsidRPr="002B7FA4" w:rsidRDefault="003B792B" w:rsidP="00FA5137">
      <w:pPr>
        <w:rPr>
          <w:b/>
          <w:sz w:val="22"/>
          <w:szCs w:val="22"/>
          <w:u w:val="single"/>
          <w:lang w:val="es-CR"/>
        </w:rPr>
      </w:pPr>
    </w:p>
    <w:sectPr w:rsidR="003B792B" w:rsidRPr="002B7F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C3F6" w14:textId="77777777" w:rsidR="00280CEA" w:rsidRDefault="00280CEA" w:rsidP="009B06C7">
      <w:r>
        <w:separator/>
      </w:r>
    </w:p>
  </w:endnote>
  <w:endnote w:type="continuationSeparator" w:id="0">
    <w:p w14:paraId="5EEFB73E" w14:textId="77777777" w:rsidR="00280CEA" w:rsidRDefault="00280CEA" w:rsidP="009B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BD6E" w14:textId="77777777" w:rsidR="009B06C7" w:rsidRDefault="009B06C7" w:rsidP="009B06C7">
    <w:pPr>
      <w:jc w:val="both"/>
      <w:rPr>
        <w:bCs/>
        <w:sz w:val="16"/>
        <w:szCs w:val="16"/>
        <w:lang w:val="es-MX"/>
      </w:rPr>
    </w:pPr>
    <w:r>
      <w:rPr>
        <w:bCs/>
        <w:sz w:val="16"/>
        <w:szCs w:val="16"/>
        <w:lang w:val="es-MX"/>
      </w:rPr>
      <w:t xml:space="preserve">La presente sistematización de información fue </w:t>
    </w:r>
    <w:r w:rsidR="00507F75">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5E7FAC1" w14:textId="77777777" w:rsidR="009B06C7" w:rsidRPr="009B06C7" w:rsidRDefault="009B06C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ED3A" w14:textId="77777777" w:rsidR="00280CEA" w:rsidRDefault="00280CEA" w:rsidP="009B06C7">
      <w:r>
        <w:separator/>
      </w:r>
    </w:p>
  </w:footnote>
  <w:footnote w:type="continuationSeparator" w:id="0">
    <w:p w14:paraId="416B26FE" w14:textId="77777777" w:rsidR="00280CEA" w:rsidRDefault="00280CEA" w:rsidP="009B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rPr>
    </w:sdtEndPr>
    <w:sdtContent>
      <w:p w14:paraId="4C367D45" w14:textId="77777777" w:rsidR="006B43B4" w:rsidRPr="00675FE7" w:rsidRDefault="006B43B4" w:rsidP="006B43B4">
        <w:pPr>
          <w:pStyle w:val="Encabezado"/>
          <w:jc w:val="right"/>
        </w:pPr>
        <w:r w:rsidRPr="00675FE7">
          <w:fldChar w:fldCharType="begin"/>
        </w:r>
        <w:r w:rsidRPr="00675FE7">
          <w:instrText xml:space="preserve"> PAGE   \* MERGEFORMAT </w:instrText>
        </w:r>
        <w:r w:rsidRPr="00675FE7">
          <w:fldChar w:fldCharType="separate"/>
        </w:r>
        <w:r w:rsidR="00A444E8">
          <w:rPr>
            <w:noProof/>
          </w:rPr>
          <w:t>1</w:t>
        </w:r>
        <w:r w:rsidRPr="00675FE7">
          <w:rPr>
            <w:noProof/>
          </w:rPr>
          <w:fldChar w:fldCharType="end"/>
        </w:r>
      </w:p>
    </w:sdtContent>
  </w:sdt>
  <w:p w14:paraId="6170AAC3" w14:textId="77777777" w:rsidR="006B43B4" w:rsidRDefault="006B43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E27"/>
    <w:rsid w:val="00280CEA"/>
    <w:rsid w:val="002B7FA4"/>
    <w:rsid w:val="003A7E5E"/>
    <w:rsid w:val="003B792B"/>
    <w:rsid w:val="004224FC"/>
    <w:rsid w:val="00507F75"/>
    <w:rsid w:val="006B43B4"/>
    <w:rsid w:val="007C4394"/>
    <w:rsid w:val="007F2B17"/>
    <w:rsid w:val="009832C0"/>
    <w:rsid w:val="009B06C7"/>
    <w:rsid w:val="00A444E8"/>
    <w:rsid w:val="00CA1E27"/>
    <w:rsid w:val="00FA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6123"/>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27"/>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FA4"/>
    <w:pPr>
      <w:ind w:left="720"/>
      <w:contextualSpacing/>
    </w:pPr>
  </w:style>
  <w:style w:type="paragraph" w:styleId="Encabezado">
    <w:name w:val="header"/>
    <w:basedOn w:val="Normal"/>
    <w:link w:val="EncabezadoCar"/>
    <w:uiPriority w:val="99"/>
    <w:unhideWhenUsed/>
    <w:rsid w:val="009B06C7"/>
    <w:pPr>
      <w:tabs>
        <w:tab w:val="center" w:pos="4680"/>
        <w:tab w:val="right" w:pos="9360"/>
      </w:tabs>
    </w:pPr>
  </w:style>
  <w:style w:type="character" w:customStyle="1" w:styleId="EncabezadoCar">
    <w:name w:val="Encabezado Car"/>
    <w:basedOn w:val="Fuentedeprrafopredeter"/>
    <w:link w:val="Encabezado"/>
    <w:uiPriority w:val="99"/>
    <w:rsid w:val="009B06C7"/>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9B06C7"/>
    <w:pPr>
      <w:tabs>
        <w:tab w:val="center" w:pos="4680"/>
        <w:tab w:val="right" w:pos="9360"/>
      </w:tabs>
    </w:pPr>
  </w:style>
  <w:style w:type="character" w:customStyle="1" w:styleId="PiedepginaCar">
    <w:name w:val="Pie de página Car"/>
    <w:basedOn w:val="Fuentedeprrafopredeter"/>
    <w:link w:val="Piedepgina"/>
    <w:uiPriority w:val="99"/>
    <w:rsid w:val="009B06C7"/>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11</cp:revision>
  <dcterms:created xsi:type="dcterms:W3CDTF">2016-08-19T23:17:00Z</dcterms:created>
  <dcterms:modified xsi:type="dcterms:W3CDTF">2023-08-31T16:47:00Z</dcterms:modified>
</cp:coreProperties>
</file>