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52C8" w14:textId="4F6E440E"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r>
        <w:rPr>
          <w:rFonts w:ascii="Verdana" w:hAnsi="Verdana"/>
          <w:b/>
          <w:sz w:val="22"/>
          <w:szCs w:val="22"/>
          <w:u w:val="single"/>
        </w:rPr>
        <w:t>Gorigoitía</w:t>
      </w:r>
      <w:r w:rsidRPr="00DC15CE">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Argentina: reparaciones declaradas cumplidas</w:t>
      </w:r>
      <w:r>
        <w:rPr>
          <w:rFonts w:ascii="Verdana" w:hAnsi="Verdana"/>
          <w:b/>
          <w:sz w:val="22"/>
          <w:szCs w:val="22"/>
          <w:u w:val="single"/>
        </w:rPr>
        <w:t xml:space="preserve"> </w:t>
      </w:r>
    </w:p>
    <w:p w14:paraId="1BEC7815" w14:textId="77777777" w:rsidR="00A73E79" w:rsidRDefault="00A73E79" w:rsidP="00A73E79"/>
    <w:p w14:paraId="59C784A9" w14:textId="77777777" w:rsidR="00A73E79" w:rsidRDefault="00A73E79" w:rsidP="00A73E79"/>
    <w:p w14:paraId="69DC3F89" w14:textId="77777777" w:rsidR="00A73E79" w:rsidRDefault="00A73E79" w:rsidP="00A73E79">
      <w:pPr>
        <w:pStyle w:val="Sangradetindependiente"/>
        <w:numPr>
          <w:ilvl w:val="0"/>
          <w:numId w:val="2"/>
        </w:numPr>
        <w:rPr>
          <w:rFonts w:ascii="Verdana" w:hAnsi="Verdana"/>
          <w:sz w:val="20"/>
        </w:rPr>
      </w:pPr>
      <w:r>
        <w:rPr>
          <w:rFonts w:ascii="Verdana" w:hAnsi="Verdana"/>
          <w:sz w:val="20"/>
        </w:rPr>
        <w:t>A</w:t>
      </w:r>
      <w:r w:rsidRPr="00A73E79">
        <w:rPr>
          <w:rFonts w:ascii="Verdana" w:hAnsi="Verdana"/>
          <w:sz w:val="20"/>
        </w:rPr>
        <w:t>doptar las medidas necesarias para garantizar al señor Oscar Raúl Gorigoitía el</w:t>
      </w:r>
      <w:r>
        <w:rPr>
          <w:rFonts w:ascii="Verdana" w:hAnsi="Verdana"/>
          <w:sz w:val="20"/>
        </w:rPr>
        <w:t xml:space="preserve"> </w:t>
      </w:r>
      <w:r w:rsidRPr="00A73E79">
        <w:rPr>
          <w:rFonts w:ascii="Verdana" w:hAnsi="Verdana"/>
          <w:sz w:val="20"/>
        </w:rPr>
        <w:t>derecho de recurrir el fallo condenatorio emitido por la Cámara Primera del</w:t>
      </w:r>
      <w:r>
        <w:rPr>
          <w:rFonts w:ascii="Verdana" w:hAnsi="Verdana"/>
          <w:sz w:val="20"/>
        </w:rPr>
        <w:t xml:space="preserve"> </w:t>
      </w:r>
      <w:r w:rsidRPr="00A73E79">
        <w:rPr>
          <w:rFonts w:ascii="Verdana" w:hAnsi="Verdana"/>
          <w:sz w:val="20"/>
        </w:rPr>
        <w:t>Crimen de Mend</w:t>
      </w:r>
      <w:r>
        <w:rPr>
          <w:rFonts w:ascii="Verdana" w:hAnsi="Verdana"/>
          <w:sz w:val="20"/>
        </w:rPr>
        <w:t>oza el 12 de septiembre de 1997.</w:t>
      </w:r>
    </w:p>
    <w:p w14:paraId="417E4E0D" w14:textId="77777777" w:rsidR="00A73E79" w:rsidRDefault="00A73E79" w:rsidP="00A73E79">
      <w:pPr>
        <w:pStyle w:val="Sangradetindependiente"/>
        <w:ind w:left="363"/>
        <w:rPr>
          <w:rFonts w:ascii="Verdana" w:hAnsi="Verdana"/>
          <w:sz w:val="20"/>
        </w:rPr>
      </w:pPr>
    </w:p>
    <w:p w14:paraId="2585160D" w14:textId="77777777" w:rsidR="00A73E79" w:rsidRDefault="00A73E79" w:rsidP="00A73E79">
      <w:pPr>
        <w:pStyle w:val="Sangradetindependiente"/>
        <w:numPr>
          <w:ilvl w:val="0"/>
          <w:numId w:val="2"/>
        </w:numPr>
        <w:rPr>
          <w:rFonts w:ascii="Verdana" w:hAnsi="Verdana"/>
          <w:sz w:val="20"/>
        </w:rPr>
      </w:pPr>
      <w:r>
        <w:rPr>
          <w:rFonts w:ascii="Verdana" w:hAnsi="Verdana"/>
          <w:sz w:val="20"/>
        </w:rPr>
        <w:t>A</w:t>
      </w:r>
      <w:r w:rsidRPr="00A73E79">
        <w:rPr>
          <w:rFonts w:ascii="Verdana" w:hAnsi="Verdana"/>
          <w:sz w:val="20"/>
        </w:rPr>
        <w:t>doptar las medidas necesarias para que los efectos jurídicos del referido fallo</w:t>
      </w:r>
      <w:r>
        <w:rPr>
          <w:rFonts w:ascii="Verdana" w:hAnsi="Verdana"/>
          <w:sz w:val="20"/>
        </w:rPr>
        <w:t xml:space="preserve"> </w:t>
      </w:r>
      <w:r w:rsidRPr="00A73E79">
        <w:rPr>
          <w:rFonts w:ascii="Verdana" w:hAnsi="Verdana"/>
          <w:sz w:val="20"/>
        </w:rPr>
        <w:t>condenatorio queden en suspenso hasta que se emita una decisión de fondo</w:t>
      </w:r>
      <w:r>
        <w:rPr>
          <w:rFonts w:ascii="Verdana" w:hAnsi="Verdana"/>
          <w:sz w:val="20"/>
        </w:rPr>
        <w:t>.</w:t>
      </w:r>
    </w:p>
    <w:p w14:paraId="7DABB594" w14:textId="77777777" w:rsidR="00A73E79" w:rsidRDefault="00A73E79" w:rsidP="00A73E79">
      <w:pPr>
        <w:pStyle w:val="Prrafodelista"/>
        <w:rPr>
          <w:rFonts w:ascii="Verdana" w:hAnsi="Verdana"/>
        </w:rPr>
      </w:pPr>
    </w:p>
    <w:p w14:paraId="3F61EC32" w14:textId="77777777" w:rsidR="00A73E79" w:rsidRDefault="00A73E79" w:rsidP="00A73E79">
      <w:pPr>
        <w:pStyle w:val="Sangradetindependiente"/>
        <w:numPr>
          <w:ilvl w:val="0"/>
          <w:numId w:val="2"/>
        </w:numPr>
        <w:rPr>
          <w:rFonts w:ascii="Verdana" w:hAnsi="Verdana"/>
          <w:sz w:val="20"/>
        </w:rPr>
      </w:pPr>
      <w:r>
        <w:rPr>
          <w:rFonts w:ascii="Verdana" w:hAnsi="Verdana"/>
          <w:sz w:val="20"/>
        </w:rPr>
        <w:t>P</w:t>
      </w:r>
      <w:r w:rsidRPr="00A73E79">
        <w:rPr>
          <w:rFonts w:ascii="Verdana" w:hAnsi="Verdana"/>
          <w:sz w:val="20"/>
        </w:rPr>
        <w:t>ublicación y</w:t>
      </w:r>
      <w:r>
        <w:rPr>
          <w:rFonts w:ascii="Verdana" w:hAnsi="Verdana"/>
          <w:sz w:val="20"/>
        </w:rPr>
        <w:t xml:space="preserve"> </w:t>
      </w:r>
      <w:r w:rsidRPr="00A73E79">
        <w:rPr>
          <w:rFonts w:ascii="Verdana" w:hAnsi="Verdana"/>
          <w:sz w:val="20"/>
        </w:rPr>
        <w:t>difusión de la Sentencia y su resumen oficial</w:t>
      </w:r>
      <w:r>
        <w:rPr>
          <w:rFonts w:ascii="Verdana" w:hAnsi="Verdana"/>
          <w:sz w:val="20"/>
        </w:rPr>
        <w:t>.</w:t>
      </w:r>
    </w:p>
    <w:p w14:paraId="2AAF16B4" w14:textId="77777777" w:rsidR="00A73E79" w:rsidRPr="00A73E79" w:rsidRDefault="00A73E79" w:rsidP="00A73E79">
      <w:pPr>
        <w:pStyle w:val="Prrafodelista"/>
        <w:rPr>
          <w:rFonts w:ascii="Verdana" w:hAnsi="Verdana"/>
        </w:rPr>
      </w:pPr>
    </w:p>
    <w:p w14:paraId="75C4EEF9" w14:textId="77777777" w:rsidR="00AE7C05" w:rsidRDefault="00AE7C05" w:rsidP="00AE7C05">
      <w:pPr>
        <w:pStyle w:val="Sangradetindependiente"/>
        <w:numPr>
          <w:ilvl w:val="0"/>
          <w:numId w:val="2"/>
        </w:numPr>
        <w:rPr>
          <w:rFonts w:ascii="Verdana" w:hAnsi="Verdana"/>
          <w:sz w:val="20"/>
        </w:rPr>
      </w:pPr>
      <w:r>
        <w:rPr>
          <w:rFonts w:ascii="Verdana" w:hAnsi="Verdana"/>
          <w:sz w:val="20"/>
        </w:rPr>
        <w:t>P</w:t>
      </w:r>
      <w:r w:rsidRPr="00A73E79">
        <w:rPr>
          <w:rFonts w:ascii="Verdana" w:hAnsi="Verdana"/>
          <w:sz w:val="20"/>
        </w:rPr>
        <w:t xml:space="preserve">agar las cantidades fijadas </w:t>
      </w:r>
      <w:r>
        <w:rPr>
          <w:rFonts w:ascii="Verdana" w:hAnsi="Verdana"/>
          <w:sz w:val="20"/>
        </w:rPr>
        <w:t>en la</w:t>
      </w:r>
      <w:r w:rsidRPr="00A73E79">
        <w:rPr>
          <w:rFonts w:ascii="Verdana" w:hAnsi="Verdana"/>
          <w:sz w:val="20"/>
        </w:rPr>
        <w:t xml:space="preserve"> Sentencia por concepto de indemnización por daño inmaterial </w:t>
      </w:r>
    </w:p>
    <w:p w14:paraId="1F10C7C9" w14:textId="77777777" w:rsidR="00AE7C05" w:rsidRDefault="00AE7C05" w:rsidP="00AE7C05">
      <w:pPr>
        <w:pStyle w:val="Prrafodelista"/>
        <w:rPr>
          <w:rFonts w:ascii="Verdana" w:hAnsi="Verdana"/>
        </w:rPr>
      </w:pPr>
    </w:p>
    <w:p w14:paraId="18A753E6" w14:textId="3E7DD1FB" w:rsidR="00AE7C05" w:rsidRDefault="00AE7C05" w:rsidP="00AE7C05">
      <w:pPr>
        <w:pStyle w:val="Sangradetindependiente"/>
        <w:numPr>
          <w:ilvl w:val="0"/>
          <w:numId w:val="2"/>
        </w:numPr>
        <w:rPr>
          <w:rFonts w:ascii="Verdana" w:hAnsi="Verdana"/>
          <w:sz w:val="20"/>
        </w:rPr>
      </w:pPr>
      <w:r>
        <w:rPr>
          <w:rFonts w:ascii="Verdana" w:hAnsi="Verdana"/>
          <w:sz w:val="20"/>
        </w:rPr>
        <w:t xml:space="preserve">Pagar la cantidad fijada en la Sentencia por concepto de </w:t>
      </w:r>
      <w:r w:rsidRPr="00A73E79">
        <w:rPr>
          <w:rFonts w:ascii="Verdana" w:hAnsi="Verdana"/>
          <w:sz w:val="20"/>
        </w:rPr>
        <w:t>reintegro de costas y gastos</w:t>
      </w:r>
      <w:r>
        <w:rPr>
          <w:rFonts w:ascii="Verdana" w:hAnsi="Verdana"/>
          <w:sz w:val="20"/>
        </w:rPr>
        <w:t>.</w:t>
      </w:r>
    </w:p>
    <w:p w14:paraId="0EB5E2BA" w14:textId="77777777" w:rsidR="00A73E79" w:rsidRDefault="00A73E79" w:rsidP="00A73E79">
      <w:pPr>
        <w:pStyle w:val="Sangradetindependiente"/>
        <w:ind w:left="284" w:hanging="281"/>
        <w:rPr>
          <w:rFonts w:ascii="Verdana" w:hAnsi="Verdana"/>
          <w:sz w:val="20"/>
        </w:rPr>
      </w:pPr>
    </w:p>
    <w:p w14:paraId="72C7AEEB" w14:textId="77777777" w:rsidR="00A73E79" w:rsidRDefault="00A73E79" w:rsidP="00A73E79"/>
    <w:p w14:paraId="718E53CC" w14:textId="77777777" w:rsidR="00AE7C05" w:rsidRDefault="00AE7C05"/>
    <w:sectPr w:rsidR="0008693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6105" w14:textId="77777777" w:rsidR="00AE7C05" w:rsidRDefault="00AE7C05">
      <w:r>
        <w:separator/>
      </w:r>
    </w:p>
  </w:endnote>
  <w:endnote w:type="continuationSeparator" w:id="0">
    <w:p w14:paraId="2A29054C" w14:textId="77777777" w:rsidR="00AE7C05" w:rsidRDefault="00AE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D2E8" w14:textId="77777777" w:rsidR="00AE7C05" w:rsidRPr="009B6E42" w:rsidRDefault="00A73E79"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1B86E0B4" w14:textId="77777777" w:rsidR="00AE7C05" w:rsidRPr="00972124" w:rsidRDefault="00AE7C05">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B1DA" w14:textId="77777777" w:rsidR="00AE7C05" w:rsidRDefault="00AE7C05">
      <w:r>
        <w:separator/>
      </w:r>
    </w:p>
  </w:footnote>
  <w:footnote w:type="continuationSeparator" w:id="0">
    <w:p w14:paraId="71061BBD" w14:textId="77777777" w:rsidR="00AE7C05" w:rsidRDefault="00AE7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27426195" w14:textId="77777777" w:rsidR="00AE7C05" w:rsidRPr="00675FE7" w:rsidRDefault="00A73E79"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Pr>
            <w:rFonts w:ascii="Verdana" w:hAnsi="Verdana"/>
            <w:noProof/>
          </w:rPr>
          <w:t>1</w:t>
        </w:r>
        <w:r w:rsidRPr="00675FE7">
          <w:rPr>
            <w:rFonts w:ascii="Verdana" w:hAnsi="Verdana"/>
            <w:noProof/>
          </w:rPr>
          <w:fldChar w:fldCharType="end"/>
        </w:r>
      </w:p>
    </w:sdtContent>
  </w:sdt>
  <w:p w14:paraId="38A66BA5" w14:textId="77777777" w:rsidR="00AE7C05" w:rsidRDefault="00AE7C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660433">
    <w:abstractNumId w:val="1"/>
  </w:num>
  <w:num w:numId="2" w16cid:durableId="487789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742BD2"/>
    <w:rsid w:val="00A73E79"/>
    <w:rsid w:val="00A85FFA"/>
    <w:rsid w:val="00AE7C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FF7A"/>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104</Words>
  <Characters>574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Lucia Aguirre</cp:lastModifiedBy>
  <cp:revision>2</cp:revision>
  <dcterms:created xsi:type="dcterms:W3CDTF">2021-06-18T20:34:00Z</dcterms:created>
  <dcterms:modified xsi:type="dcterms:W3CDTF">2023-08-31T17:35:00Z</dcterms:modified>
</cp:coreProperties>
</file>