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FB8" w:rsidRPr="00EB0FB8" w:rsidRDefault="00EB0FB8" w:rsidP="00EB0F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0"/>
        <w:ind w:left="0" w:right="-274"/>
        <w:jc w:val="center"/>
        <w:rPr>
          <w:rFonts w:cs="Helvetica"/>
          <w:u w:val="single"/>
          <w:lang w:bidi="en-US"/>
        </w:rPr>
      </w:pPr>
      <w:r w:rsidRPr="00EB0FB8">
        <w:rPr>
          <w:rFonts w:cs="Verdana"/>
          <w:b/>
          <w:bCs/>
          <w:u w:val="single"/>
          <w:lang w:bidi="en-US"/>
        </w:rPr>
        <w:t xml:space="preserve">Caso </w:t>
      </w:r>
      <w:proofErr w:type="spellStart"/>
      <w:r w:rsidRPr="00EB0FB8">
        <w:rPr>
          <w:rFonts w:cs="Verdana"/>
          <w:b/>
          <w:bCs/>
          <w:u w:val="single"/>
          <w:lang w:bidi="en-US"/>
        </w:rPr>
        <w:t>Ibsen</w:t>
      </w:r>
      <w:proofErr w:type="spellEnd"/>
      <w:r w:rsidRPr="00EB0FB8">
        <w:rPr>
          <w:rFonts w:cs="Verdana"/>
          <w:b/>
          <w:bCs/>
          <w:u w:val="single"/>
          <w:lang w:bidi="en-US"/>
        </w:rPr>
        <w:t xml:space="preserve"> Cárdenas e </w:t>
      </w:r>
      <w:proofErr w:type="spellStart"/>
      <w:r w:rsidRPr="00EB0FB8">
        <w:rPr>
          <w:rFonts w:cs="Verdana"/>
          <w:b/>
          <w:bCs/>
          <w:u w:val="single"/>
          <w:lang w:bidi="en-US"/>
        </w:rPr>
        <w:t>Ibsen</w:t>
      </w:r>
      <w:proofErr w:type="spellEnd"/>
      <w:r w:rsidRPr="00EB0FB8">
        <w:rPr>
          <w:rFonts w:cs="Verdana"/>
          <w:b/>
          <w:bCs/>
          <w:u w:val="single"/>
          <w:lang w:bidi="en-US"/>
        </w:rPr>
        <w:t xml:space="preserve"> Peña </w:t>
      </w:r>
      <w:r w:rsidRPr="00EB0FB8">
        <w:rPr>
          <w:rFonts w:cs="Verdana"/>
          <w:b/>
          <w:bCs/>
          <w:i/>
          <w:u w:val="single"/>
          <w:lang w:bidi="en-US"/>
        </w:rPr>
        <w:t xml:space="preserve">Vs. </w:t>
      </w:r>
      <w:r w:rsidRPr="00EB0FB8">
        <w:rPr>
          <w:rFonts w:cs="Verdana"/>
          <w:b/>
          <w:bCs/>
          <w:u w:val="single"/>
          <w:lang w:bidi="en-US"/>
        </w:rPr>
        <w:t>Bolivia: reparaciones declaradas cumplidas</w:t>
      </w:r>
    </w:p>
    <w:p w:rsidR="006E7F48" w:rsidRDefault="00952D93"/>
    <w:p w:rsidR="00EB0FB8" w:rsidRPr="00EB0FB8" w:rsidRDefault="00EB0FB8" w:rsidP="00EB0FB8">
      <w:pPr>
        <w:widowControl w:val="0"/>
        <w:numPr>
          <w:ilvl w:val="0"/>
          <w:numId w:val="1"/>
        </w:numPr>
        <w:tabs>
          <w:tab w:val="clear" w:pos="720"/>
          <w:tab w:val="num" w:pos="360"/>
        </w:tabs>
        <w:autoSpaceDE w:val="0"/>
        <w:autoSpaceDN w:val="0"/>
        <w:adjustRightInd w:val="0"/>
        <w:spacing w:after="50"/>
        <w:ind w:left="360" w:right="-180"/>
      </w:pPr>
      <w:r w:rsidRPr="00EB0FB8">
        <w:t xml:space="preserve">Publicar por una sola vez en el Diario Oficial </w:t>
      </w:r>
      <w:r w:rsidRPr="00EB0FB8">
        <w:rPr>
          <w:rFonts w:cs="Arial"/>
        </w:rPr>
        <w:t xml:space="preserve">los párrafos 1 a 5, 23 a 29, 33, 34, 36 a 38, 50 a 57, 67, 68, 71 a 75, 80 a 82, 84 a 92, 94, 102 a 111, 115, 116, 118, 119, 122, 126, 128 a 133, 155 a 163, 165 a 174, 177, 178, 180 a 184, 189 a 191, 193 a 195, 197 a 202, 205 a 212, 214 a 226, 231 y 232 </w:t>
      </w:r>
      <w:r w:rsidRPr="00EB0FB8">
        <w:t xml:space="preserve">de la presente Sentencia, incluyendo los nombres de cada capítulo y el apartado respectivo, sin las notas al pie de página, y la parte resolutiva de la misma, publicar en un diario de amplia circulación nacional el resumen oficial de esta Sentencia, y publicar íntegramente este Fallo en un sitio </w:t>
      </w:r>
      <w:r w:rsidRPr="00EB0FB8">
        <w:rPr>
          <w:i/>
        </w:rPr>
        <w:t>web</w:t>
      </w:r>
      <w:r w:rsidRPr="00EB0FB8">
        <w:t xml:space="preserve"> adecuado, en los términos del párrafo 244 del mismo.</w:t>
      </w:r>
    </w:p>
    <w:p w:rsidR="00EB0FB8" w:rsidRPr="00EB0FB8" w:rsidRDefault="00EB0FB8" w:rsidP="00EB0FB8">
      <w:pPr>
        <w:widowControl w:val="0"/>
        <w:autoSpaceDE w:val="0"/>
        <w:autoSpaceDN w:val="0"/>
        <w:adjustRightInd w:val="0"/>
        <w:spacing w:after="50"/>
        <w:ind w:left="360" w:right="-180"/>
      </w:pPr>
    </w:p>
    <w:p w:rsidR="00EB0FB8" w:rsidRPr="00EB0FB8" w:rsidRDefault="00EB0FB8" w:rsidP="00EB0FB8">
      <w:pPr>
        <w:widowControl w:val="0"/>
        <w:numPr>
          <w:ilvl w:val="0"/>
          <w:numId w:val="1"/>
        </w:numPr>
        <w:tabs>
          <w:tab w:val="clear" w:pos="720"/>
          <w:tab w:val="num" w:pos="360"/>
        </w:tabs>
        <w:autoSpaceDE w:val="0"/>
        <w:autoSpaceDN w:val="0"/>
        <w:adjustRightInd w:val="0"/>
        <w:spacing w:after="50"/>
        <w:ind w:left="360" w:right="-180"/>
      </w:pPr>
      <w:r w:rsidRPr="00EB0FB8">
        <w:t xml:space="preserve">Acordar con los familiares de los señores </w:t>
      </w:r>
      <w:proofErr w:type="spellStart"/>
      <w:r w:rsidRPr="00EB0FB8">
        <w:t>Rainer</w:t>
      </w:r>
      <w:proofErr w:type="spellEnd"/>
      <w:r w:rsidRPr="00EB0FB8">
        <w:t xml:space="preserve"> </w:t>
      </w:r>
      <w:proofErr w:type="spellStart"/>
      <w:r w:rsidRPr="00EB0FB8">
        <w:t>Ibsen</w:t>
      </w:r>
      <w:proofErr w:type="spellEnd"/>
      <w:r w:rsidRPr="00EB0FB8">
        <w:t xml:space="preserve"> Cárdenas y José Luis </w:t>
      </w:r>
      <w:proofErr w:type="spellStart"/>
      <w:r w:rsidRPr="00EB0FB8">
        <w:t>Ibsen</w:t>
      </w:r>
      <w:proofErr w:type="spellEnd"/>
      <w:r w:rsidRPr="00EB0FB8">
        <w:t xml:space="preserve"> Peña la designación de un lugar público con los nombres de ambos, en el cual se deberá colocar una placa en la que se haga alusión a esta Sentencia, a los hechos del caso y a las circunstancias en que ocurrieron, en los términos del párrafo 249 de la presente Sentencia. </w:t>
      </w:r>
    </w:p>
    <w:p w:rsidR="00EB0FB8" w:rsidRPr="00EB0FB8" w:rsidRDefault="00EB0FB8" w:rsidP="00EB0FB8">
      <w:pPr>
        <w:pStyle w:val="ListParagraph"/>
      </w:pPr>
    </w:p>
    <w:p w:rsidR="00EB0FB8" w:rsidRPr="00EB0FB8" w:rsidRDefault="00EB0FB8" w:rsidP="00EB0FB8">
      <w:pPr>
        <w:widowControl w:val="0"/>
        <w:numPr>
          <w:ilvl w:val="0"/>
          <w:numId w:val="1"/>
        </w:numPr>
        <w:tabs>
          <w:tab w:val="clear" w:pos="720"/>
          <w:tab w:val="num" w:pos="360"/>
        </w:tabs>
        <w:autoSpaceDE w:val="0"/>
        <w:autoSpaceDN w:val="0"/>
        <w:adjustRightInd w:val="0"/>
        <w:spacing w:after="50"/>
        <w:ind w:left="360" w:right="-180"/>
      </w:pPr>
      <w:r w:rsidRPr="00EB0FB8">
        <w:t xml:space="preserve">Pagar las cantidades fijadas en los párrafos  267, 271, 276, 283 y 291 de la presente Sentencia, por concepto de indemnización por daño material e inmaterial, y el reintegro de costas y gastos, según corresponda, dentro del plazo de un año, contado a partir de la notificación del presente Fallo, en los términos de los párrafos 266, 270, 274, 275, 282 y 288 a 290 del mismo. </w:t>
      </w:r>
    </w:p>
    <w:p w:rsidR="00EB0FB8" w:rsidRPr="00EB0FB8" w:rsidRDefault="00EB0FB8">
      <w:pPr>
        <w:rPr>
          <w:b/>
        </w:rPr>
      </w:pPr>
    </w:p>
    <w:sectPr w:rsidR="00EB0FB8" w:rsidRPr="00EB0F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D1" w:rsidRDefault="00CA4ED1" w:rsidP="00EB0FB8">
      <w:r>
        <w:separator/>
      </w:r>
    </w:p>
  </w:endnote>
  <w:endnote w:type="continuationSeparator" w:id="0">
    <w:p w:rsidR="00CA4ED1" w:rsidRDefault="00CA4ED1" w:rsidP="00EB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93" w:rsidRDefault="00952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B8" w:rsidRDefault="00EB0FB8" w:rsidP="00EB0FB8">
    <w:pPr>
      <w:rPr>
        <w:bCs/>
        <w:sz w:val="16"/>
        <w:szCs w:val="16"/>
        <w:lang w:val="es-MX"/>
      </w:rPr>
    </w:pPr>
    <w:r>
      <w:rPr>
        <w:bCs/>
        <w:sz w:val="16"/>
        <w:szCs w:val="16"/>
        <w:lang w:val="es-MX"/>
      </w:rPr>
      <w:t xml:space="preserve">La presente sistematización de información fue </w:t>
    </w:r>
    <w:r w:rsidR="00952D93">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w:t>
    </w:r>
    <w:bookmarkStart w:id="0" w:name="_GoBack"/>
    <w:bookmarkEnd w:id="0"/>
    <w:r>
      <w:rPr>
        <w:bCs/>
        <w:sz w:val="16"/>
        <w:szCs w:val="16"/>
        <w:lang w:val="es-MX"/>
      </w:rPr>
      <w:t>s puede haber información aportada por las partes que aún no haya sido evaluada por el Tribunal.</w:t>
    </w:r>
  </w:p>
  <w:p w:rsidR="00EB0FB8" w:rsidRPr="00EB0FB8" w:rsidRDefault="00EB0FB8">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93" w:rsidRDefault="00952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D1" w:rsidRDefault="00CA4ED1" w:rsidP="00EB0FB8">
      <w:r>
        <w:separator/>
      </w:r>
    </w:p>
  </w:footnote>
  <w:footnote w:type="continuationSeparator" w:id="0">
    <w:p w:rsidR="00CA4ED1" w:rsidRDefault="00CA4ED1" w:rsidP="00EB0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93" w:rsidRDefault="00952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noProof/>
      </w:rPr>
    </w:sdtEndPr>
    <w:sdtContent>
      <w:p w:rsidR="002D6B82" w:rsidRPr="00675FE7" w:rsidRDefault="002D6B82" w:rsidP="002D6B82">
        <w:pPr>
          <w:pStyle w:val="Header"/>
          <w:jc w:val="right"/>
        </w:pPr>
        <w:r w:rsidRPr="00675FE7">
          <w:fldChar w:fldCharType="begin"/>
        </w:r>
        <w:r w:rsidRPr="00675FE7">
          <w:instrText xml:space="preserve"> PAGE   \* MERGEFORMAT </w:instrText>
        </w:r>
        <w:r w:rsidRPr="00675FE7">
          <w:fldChar w:fldCharType="separate"/>
        </w:r>
        <w:r w:rsidR="00952D93">
          <w:rPr>
            <w:noProof/>
          </w:rPr>
          <w:t>1</w:t>
        </w:r>
        <w:r w:rsidRPr="00675FE7">
          <w:rPr>
            <w:noProof/>
          </w:rPr>
          <w:fldChar w:fldCharType="end"/>
        </w:r>
      </w:p>
    </w:sdtContent>
  </w:sdt>
  <w:p w:rsidR="002D6B82" w:rsidRDefault="002D6B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93" w:rsidRDefault="00952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297"/>
    <w:multiLevelType w:val="hybridMultilevel"/>
    <w:tmpl w:val="A45E162A"/>
    <w:lvl w:ilvl="0" w:tplc="EC6456D2">
      <w:start w:val="1"/>
      <w:numFmt w:val="decimal"/>
      <w:lvlText w:val="%1."/>
      <w:lvlJc w:val="left"/>
      <w:pPr>
        <w:tabs>
          <w:tab w:val="num" w:pos="720"/>
        </w:tabs>
        <w:ind w:left="720" w:hanging="360"/>
      </w:pPr>
      <w:rPr>
        <w:rFonts w:cs="Symbol"/>
        <w:b w:val="0"/>
      </w:rPr>
    </w:lvl>
    <w:lvl w:ilvl="1" w:tplc="611E3A72">
      <w:start w:val="1"/>
      <w:numFmt w:val="decimal"/>
      <w:lvlText w:val="%2."/>
      <w:lvlJc w:val="left"/>
      <w:pPr>
        <w:tabs>
          <w:tab w:val="num" w:pos="1080"/>
        </w:tabs>
        <w:ind w:left="1080" w:firstLine="0"/>
      </w:pPr>
      <w:rPr>
        <w:b w:val="0"/>
        <w:i w:val="0"/>
        <w:sz w:val="20"/>
        <w:lang w:val="es-EC"/>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B8"/>
    <w:rsid w:val="002D6B82"/>
    <w:rsid w:val="003A7E5E"/>
    <w:rsid w:val="00952D93"/>
    <w:rsid w:val="009832C0"/>
    <w:rsid w:val="00CA4ED1"/>
    <w:rsid w:val="00EB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B8"/>
    <w:pPr>
      <w:snapToGrid w:val="0"/>
      <w:spacing w:after="0" w:line="240" w:lineRule="auto"/>
      <w:ind w:left="-142" w:right="-278"/>
      <w:jc w:val="both"/>
    </w:pPr>
    <w:rPr>
      <w:rFonts w:ascii="Verdana" w:eastAsia="Times New Roman" w:hAnsi="Verdana"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FB8"/>
    <w:pPr>
      <w:tabs>
        <w:tab w:val="center" w:pos="4680"/>
        <w:tab w:val="right" w:pos="9360"/>
      </w:tabs>
    </w:pPr>
  </w:style>
  <w:style w:type="character" w:customStyle="1" w:styleId="HeaderChar">
    <w:name w:val="Header Char"/>
    <w:basedOn w:val="DefaultParagraphFont"/>
    <w:link w:val="Header"/>
    <w:uiPriority w:val="99"/>
    <w:rsid w:val="00EB0FB8"/>
    <w:rPr>
      <w:rFonts w:ascii="Verdana" w:eastAsia="Times New Roman" w:hAnsi="Verdana" w:cs="Times New Roman"/>
      <w:sz w:val="20"/>
      <w:szCs w:val="20"/>
      <w:lang w:val="es-ES_tradnl" w:eastAsia="es-ES"/>
    </w:rPr>
  </w:style>
  <w:style w:type="paragraph" w:styleId="Footer">
    <w:name w:val="footer"/>
    <w:basedOn w:val="Normal"/>
    <w:link w:val="FooterChar"/>
    <w:uiPriority w:val="99"/>
    <w:unhideWhenUsed/>
    <w:rsid w:val="00EB0FB8"/>
    <w:pPr>
      <w:tabs>
        <w:tab w:val="center" w:pos="4680"/>
        <w:tab w:val="right" w:pos="9360"/>
      </w:tabs>
    </w:pPr>
  </w:style>
  <w:style w:type="character" w:customStyle="1" w:styleId="FooterChar">
    <w:name w:val="Footer Char"/>
    <w:basedOn w:val="DefaultParagraphFont"/>
    <w:link w:val="Footer"/>
    <w:uiPriority w:val="99"/>
    <w:rsid w:val="00EB0FB8"/>
    <w:rPr>
      <w:rFonts w:ascii="Verdana" w:eastAsia="Times New Roman" w:hAnsi="Verdana" w:cs="Times New Roman"/>
      <w:sz w:val="20"/>
      <w:szCs w:val="20"/>
      <w:lang w:val="es-ES_tradnl" w:eastAsia="es-ES"/>
    </w:rPr>
  </w:style>
  <w:style w:type="paragraph" w:styleId="ListParagraph">
    <w:name w:val="List Paragraph"/>
    <w:basedOn w:val="Normal"/>
    <w:uiPriority w:val="34"/>
    <w:qFormat/>
    <w:rsid w:val="00EB0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B8"/>
    <w:pPr>
      <w:snapToGrid w:val="0"/>
      <w:spacing w:after="0" w:line="240" w:lineRule="auto"/>
      <w:ind w:left="-142" w:right="-278"/>
      <w:jc w:val="both"/>
    </w:pPr>
    <w:rPr>
      <w:rFonts w:ascii="Verdana" w:eastAsia="Times New Roman" w:hAnsi="Verdana"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FB8"/>
    <w:pPr>
      <w:tabs>
        <w:tab w:val="center" w:pos="4680"/>
        <w:tab w:val="right" w:pos="9360"/>
      </w:tabs>
    </w:pPr>
  </w:style>
  <w:style w:type="character" w:customStyle="1" w:styleId="HeaderChar">
    <w:name w:val="Header Char"/>
    <w:basedOn w:val="DefaultParagraphFont"/>
    <w:link w:val="Header"/>
    <w:uiPriority w:val="99"/>
    <w:rsid w:val="00EB0FB8"/>
    <w:rPr>
      <w:rFonts w:ascii="Verdana" w:eastAsia="Times New Roman" w:hAnsi="Verdana" w:cs="Times New Roman"/>
      <w:sz w:val="20"/>
      <w:szCs w:val="20"/>
      <w:lang w:val="es-ES_tradnl" w:eastAsia="es-ES"/>
    </w:rPr>
  </w:style>
  <w:style w:type="paragraph" w:styleId="Footer">
    <w:name w:val="footer"/>
    <w:basedOn w:val="Normal"/>
    <w:link w:val="FooterChar"/>
    <w:uiPriority w:val="99"/>
    <w:unhideWhenUsed/>
    <w:rsid w:val="00EB0FB8"/>
    <w:pPr>
      <w:tabs>
        <w:tab w:val="center" w:pos="4680"/>
        <w:tab w:val="right" w:pos="9360"/>
      </w:tabs>
    </w:pPr>
  </w:style>
  <w:style w:type="character" w:customStyle="1" w:styleId="FooterChar">
    <w:name w:val="Footer Char"/>
    <w:basedOn w:val="DefaultParagraphFont"/>
    <w:link w:val="Footer"/>
    <w:uiPriority w:val="99"/>
    <w:rsid w:val="00EB0FB8"/>
    <w:rPr>
      <w:rFonts w:ascii="Verdana" w:eastAsia="Times New Roman" w:hAnsi="Verdana" w:cs="Times New Roman"/>
      <w:sz w:val="20"/>
      <w:szCs w:val="20"/>
      <w:lang w:val="es-ES_tradnl" w:eastAsia="es-ES"/>
    </w:rPr>
  </w:style>
  <w:style w:type="paragraph" w:styleId="ListParagraph">
    <w:name w:val="List Paragraph"/>
    <w:basedOn w:val="Normal"/>
    <w:uiPriority w:val="34"/>
    <w:qFormat/>
    <w:rsid w:val="00EB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3</cp:revision>
  <dcterms:created xsi:type="dcterms:W3CDTF">2016-09-16T19:52:00Z</dcterms:created>
  <dcterms:modified xsi:type="dcterms:W3CDTF">2016-10-12T18:33:00Z</dcterms:modified>
</cp:coreProperties>
</file>