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1A" w:rsidRDefault="000748A9" w:rsidP="00897E9D">
      <w:pPr>
        <w:jc w:val="center"/>
        <w:rPr>
          <w:rFonts w:ascii="Verdana" w:hAnsi="Verdana"/>
          <w:b/>
          <w:sz w:val="20"/>
          <w:szCs w:val="20"/>
          <w:u w:val="single"/>
          <w:lang w:val="es-MX"/>
        </w:rPr>
      </w:pPr>
      <w:r>
        <w:rPr>
          <w:rFonts w:ascii="Verdana" w:hAnsi="Verdana"/>
          <w:b/>
          <w:sz w:val="20"/>
          <w:szCs w:val="20"/>
          <w:u w:val="single"/>
          <w:lang w:val="es-MX"/>
        </w:rPr>
        <w:t>Ticona Estrada y o</w:t>
      </w:r>
      <w:r w:rsidR="00691C71">
        <w:rPr>
          <w:rFonts w:ascii="Verdana" w:hAnsi="Verdana"/>
          <w:b/>
          <w:sz w:val="20"/>
          <w:szCs w:val="20"/>
          <w:u w:val="single"/>
          <w:lang w:val="es-MX"/>
        </w:rPr>
        <w:t xml:space="preserve">tros </w:t>
      </w:r>
      <w:r w:rsidR="00691C71" w:rsidRPr="00691C71">
        <w:rPr>
          <w:rFonts w:ascii="Verdana" w:hAnsi="Verdana"/>
          <w:b/>
          <w:i/>
          <w:sz w:val="20"/>
          <w:szCs w:val="20"/>
          <w:u w:val="single"/>
          <w:lang w:val="es-MX"/>
        </w:rPr>
        <w:t>V</w:t>
      </w:r>
      <w:r w:rsidR="00883A44" w:rsidRPr="00691C71">
        <w:rPr>
          <w:rFonts w:ascii="Verdana" w:hAnsi="Verdana"/>
          <w:b/>
          <w:i/>
          <w:sz w:val="20"/>
          <w:szCs w:val="20"/>
          <w:u w:val="single"/>
          <w:lang w:val="es-MX"/>
        </w:rPr>
        <w:t>s</w:t>
      </w:r>
      <w:r w:rsidR="00883A44" w:rsidRPr="00883A44">
        <w:rPr>
          <w:rFonts w:ascii="Verdana" w:hAnsi="Verdana"/>
          <w:b/>
          <w:sz w:val="20"/>
          <w:szCs w:val="20"/>
          <w:u w:val="single"/>
          <w:lang w:val="es-MX"/>
        </w:rPr>
        <w:t>. Bolivia</w:t>
      </w:r>
      <w:r w:rsidR="00883A44">
        <w:rPr>
          <w:rFonts w:ascii="Verdana" w:hAnsi="Verdana"/>
          <w:b/>
          <w:sz w:val="20"/>
          <w:szCs w:val="20"/>
          <w:u w:val="single"/>
          <w:lang w:val="es-MX"/>
        </w:rPr>
        <w:t>: reparaciones pendientes de cumplimiento</w:t>
      </w:r>
    </w:p>
    <w:p w:rsidR="001C3F1A" w:rsidRPr="001C3F1A" w:rsidRDefault="001C3F1A" w:rsidP="001C3F1A">
      <w:pPr>
        <w:pStyle w:val="ListParagraph"/>
        <w:numPr>
          <w:ilvl w:val="0"/>
          <w:numId w:val="1"/>
        </w:numPr>
        <w:ind w:left="360"/>
        <w:jc w:val="both"/>
        <w:rPr>
          <w:rFonts w:ascii="Verdana" w:hAnsi="Verdana"/>
          <w:sz w:val="20"/>
          <w:szCs w:val="20"/>
          <w:lang w:val="es-MX"/>
        </w:rPr>
      </w:pPr>
      <w:r w:rsidRPr="001C3F1A">
        <w:rPr>
          <w:rFonts w:ascii="Verdana" w:hAnsi="Verdana"/>
          <w:sz w:val="20"/>
          <w:szCs w:val="20"/>
          <w:lang w:val="es-MX"/>
        </w:rPr>
        <w:t xml:space="preserve">Investigar los hechos ocurridos a Hugo </w:t>
      </w:r>
      <w:proofErr w:type="spellStart"/>
      <w:r w:rsidRPr="001C3F1A">
        <w:rPr>
          <w:rFonts w:ascii="Verdana" w:hAnsi="Verdana"/>
          <w:sz w:val="20"/>
          <w:szCs w:val="20"/>
          <w:lang w:val="es-MX"/>
        </w:rPr>
        <w:t>Ticona</w:t>
      </w:r>
      <w:proofErr w:type="spellEnd"/>
      <w:r w:rsidRPr="001C3F1A">
        <w:rPr>
          <w:rFonts w:ascii="Verdana" w:hAnsi="Verdana"/>
          <w:sz w:val="20"/>
          <w:szCs w:val="20"/>
          <w:lang w:val="es-MX"/>
        </w:rPr>
        <w:t xml:space="preserve"> Estrada, e identificar, juzgar y, en su caso, sancionar a los responsables, en el más breve plazo, a partir de la notificación del presente Fallo en los términos de los párrafos 150 y 151 de la presente Sentencia.</w:t>
      </w:r>
    </w:p>
    <w:p w:rsidR="001C3F1A" w:rsidRPr="001C3F1A" w:rsidRDefault="001C3F1A" w:rsidP="001C3F1A">
      <w:pPr>
        <w:pStyle w:val="ListParagraph"/>
        <w:ind w:left="360" w:hanging="360"/>
        <w:jc w:val="both"/>
        <w:rPr>
          <w:rFonts w:ascii="Verdana" w:hAnsi="Verdana"/>
          <w:sz w:val="20"/>
          <w:szCs w:val="20"/>
          <w:lang w:val="es-MX"/>
        </w:rPr>
      </w:pPr>
    </w:p>
    <w:p w:rsidR="001C3F1A" w:rsidRPr="001C3F1A" w:rsidRDefault="001C3F1A" w:rsidP="001C3F1A">
      <w:pPr>
        <w:pStyle w:val="ListParagraph"/>
        <w:numPr>
          <w:ilvl w:val="0"/>
          <w:numId w:val="1"/>
        </w:numPr>
        <w:ind w:left="360"/>
        <w:jc w:val="both"/>
        <w:rPr>
          <w:rFonts w:ascii="Verdana" w:hAnsi="Verdana"/>
          <w:sz w:val="20"/>
          <w:szCs w:val="20"/>
          <w:lang w:val="es-MX"/>
        </w:rPr>
      </w:pPr>
      <w:r w:rsidRPr="001C3F1A">
        <w:rPr>
          <w:rFonts w:ascii="Verdana" w:hAnsi="Verdana"/>
          <w:sz w:val="20"/>
          <w:szCs w:val="20"/>
          <w:lang w:val="es-MX"/>
        </w:rPr>
        <w:t xml:space="preserve">Proceder a la búsqueda de Renato </w:t>
      </w:r>
      <w:proofErr w:type="spellStart"/>
      <w:r w:rsidRPr="001C3F1A">
        <w:rPr>
          <w:rFonts w:ascii="Verdana" w:hAnsi="Verdana"/>
          <w:sz w:val="20"/>
          <w:szCs w:val="20"/>
          <w:lang w:val="es-MX"/>
        </w:rPr>
        <w:t>Ticona</w:t>
      </w:r>
      <w:proofErr w:type="spellEnd"/>
      <w:r w:rsidRPr="001C3F1A">
        <w:rPr>
          <w:rFonts w:ascii="Verdana" w:hAnsi="Verdana"/>
          <w:sz w:val="20"/>
          <w:szCs w:val="20"/>
          <w:lang w:val="es-MX"/>
        </w:rPr>
        <w:t xml:space="preserve"> Estrada de manera expedita y efectiva, en los términos de los párrafos 155 a 157 de la Sentencia.</w:t>
      </w:r>
    </w:p>
    <w:p w:rsidR="001C3F1A" w:rsidRPr="001C3F1A" w:rsidRDefault="001C3F1A" w:rsidP="001C3F1A">
      <w:pPr>
        <w:pStyle w:val="ListParagraph"/>
        <w:ind w:left="360" w:hanging="360"/>
        <w:rPr>
          <w:rFonts w:ascii="Verdana" w:hAnsi="Verdana"/>
          <w:sz w:val="20"/>
          <w:lang w:val="es-MX"/>
        </w:rPr>
      </w:pPr>
    </w:p>
    <w:p w:rsidR="001C3F1A" w:rsidRDefault="001C3F1A" w:rsidP="00624151">
      <w:pPr>
        <w:pStyle w:val="ListParagraph"/>
        <w:numPr>
          <w:ilvl w:val="0"/>
          <w:numId w:val="1"/>
        </w:numPr>
        <w:spacing w:after="0" w:line="240" w:lineRule="auto"/>
        <w:ind w:left="360"/>
        <w:jc w:val="both"/>
        <w:rPr>
          <w:rFonts w:ascii="Verdana" w:hAnsi="Verdana"/>
          <w:sz w:val="20"/>
          <w:szCs w:val="20"/>
          <w:lang w:val="es-MX"/>
        </w:rPr>
      </w:pPr>
      <w:r w:rsidRPr="001C3F1A">
        <w:rPr>
          <w:rFonts w:ascii="Verdana" w:hAnsi="Verdana"/>
          <w:sz w:val="20"/>
          <w:lang w:val="es-MX"/>
        </w:rPr>
        <w:t xml:space="preserve">Implementar efectivamente los convenios de prestación de tratamiento médico y psicológico requerido por </w:t>
      </w:r>
      <w:proofErr w:type="spellStart"/>
      <w:r w:rsidRPr="001C3F1A">
        <w:rPr>
          <w:rFonts w:ascii="Verdana" w:hAnsi="Verdana"/>
          <w:sz w:val="20"/>
          <w:lang w:val="es-MX"/>
        </w:rPr>
        <w:t>Honoria</w:t>
      </w:r>
      <w:proofErr w:type="spellEnd"/>
      <w:r w:rsidRPr="001C3F1A">
        <w:rPr>
          <w:rFonts w:ascii="Verdana" w:hAnsi="Verdana"/>
          <w:sz w:val="20"/>
          <w:lang w:val="es-MX"/>
        </w:rPr>
        <w:t xml:space="preserve"> Estrada de </w:t>
      </w:r>
      <w:proofErr w:type="spellStart"/>
      <w:r w:rsidRPr="001C3F1A">
        <w:rPr>
          <w:rFonts w:ascii="Verdana" w:hAnsi="Verdana"/>
          <w:sz w:val="20"/>
          <w:lang w:val="es-MX"/>
        </w:rPr>
        <w:t>Ticona</w:t>
      </w:r>
      <w:proofErr w:type="spellEnd"/>
      <w:r w:rsidRPr="001C3F1A">
        <w:rPr>
          <w:rFonts w:ascii="Verdana" w:hAnsi="Verdana"/>
          <w:sz w:val="20"/>
          <w:lang w:val="es-MX"/>
        </w:rPr>
        <w:t xml:space="preserve">, César </w:t>
      </w:r>
      <w:proofErr w:type="spellStart"/>
      <w:r w:rsidRPr="001C3F1A">
        <w:rPr>
          <w:rFonts w:ascii="Verdana" w:hAnsi="Verdana"/>
          <w:sz w:val="20"/>
          <w:lang w:val="es-MX"/>
        </w:rPr>
        <w:t>Ticona</w:t>
      </w:r>
      <w:proofErr w:type="spellEnd"/>
      <w:r w:rsidRPr="001C3F1A">
        <w:rPr>
          <w:rFonts w:ascii="Verdana" w:hAnsi="Verdana"/>
          <w:sz w:val="20"/>
          <w:lang w:val="es-MX"/>
        </w:rPr>
        <w:t xml:space="preserve"> Olivares, Hugo </w:t>
      </w:r>
      <w:proofErr w:type="spellStart"/>
      <w:r w:rsidRPr="001C3F1A">
        <w:rPr>
          <w:rFonts w:ascii="Verdana" w:hAnsi="Verdana"/>
          <w:sz w:val="20"/>
          <w:lang w:val="es-MX"/>
        </w:rPr>
        <w:t>Ticona</w:t>
      </w:r>
      <w:proofErr w:type="spellEnd"/>
      <w:r w:rsidRPr="001C3F1A">
        <w:rPr>
          <w:rFonts w:ascii="Verdana" w:hAnsi="Verdana"/>
          <w:sz w:val="20"/>
          <w:lang w:val="es-MX"/>
        </w:rPr>
        <w:t xml:space="preserve"> Estrada, </w:t>
      </w:r>
      <w:proofErr w:type="spellStart"/>
      <w:r w:rsidRPr="001C3F1A">
        <w:rPr>
          <w:rFonts w:ascii="Verdana" w:hAnsi="Verdana"/>
          <w:sz w:val="20"/>
          <w:lang w:val="es-MX"/>
        </w:rPr>
        <w:t>Betzy</w:t>
      </w:r>
      <w:proofErr w:type="spellEnd"/>
      <w:r w:rsidRPr="001C3F1A">
        <w:rPr>
          <w:rFonts w:ascii="Verdana" w:hAnsi="Verdana"/>
          <w:sz w:val="20"/>
          <w:lang w:val="es-MX"/>
        </w:rPr>
        <w:t xml:space="preserve"> </w:t>
      </w:r>
      <w:proofErr w:type="spellStart"/>
      <w:r w:rsidRPr="001C3F1A">
        <w:rPr>
          <w:rFonts w:ascii="Verdana" w:hAnsi="Verdana"/>
          <w:sz w:val="20"/>
          <w:lang w:val="es-MX"/>
        </w:rPr>
        <w:t>Ticona</w:t>
      </w:r>
      <w:proofErr w:type="spellEnd"/>
      <w:r w:rsidRPr="001C3F1A">
        <w:rPr>
          <w:rFonts w:ascii="Verdana" w:hAnsi="Verdana"/>
          <w:sz w:val="20"/>
          <w:lang w:val="es-MX"/>
        </w:rPr>
        <w:t xml:space="preserve"> Estrada y Rodo </w:t>
      </w:r>
      <w:proofErr w:type="spellStart"/>
      <w:r w:rsidRPr="001C3F1A">
        <w:rPr>
          <w:rFonts w:ascii="Verdana" w:hAnsi="Verdana"/>
          <w:sz w:val="20"/>
          <w:lang w:val="es-MX"/>
        </w:rPr>
        <w:t>Ticona</w:t>
      </w:r>
      <w:proofErr w:type="spellEnd"/>
      <w:r w:rsidRPr="001C3F1A">
        <w:rPr>
          <w:rFonts w:ascii="Verdana" w:hAnsi="Verdana"/>
          <w:sz w:val="20"/>
          <w:lang w:val="es-MX"/>
        </w:rPr>
        <w:t xml:space="preserve"> Estrada, </w:t>
      </w:r>
      <w:r w:rsidRPr="001C3F1A">
        <w:rPr>
          <w:rFonts w:ascii="Verdana" w:hAnsi="Verdana"/>
          <w:sz w:val="20"/>
          <w:szCs w:val="20"/>
          <w:lang w:val="es-MX"/>
        </w:rPr>
        <w:t>en los términos de los párrafos 168 y 169 de la presente Sentencia.</w:t>
      </w:r>
    </w:p>
    <w:p w:rsidR="001C3F1A" w:rsidRPr="001C3F1A" w:rsidRDefault="001C3F1A" w:rsidP="00624151">
      <w:pPr>
        <w:pStyle w:val="ListParagraph"/>
        <w:spacing w:after="0" w:line="240" w:lineRule="auto"/>
        <w:rPr>
          <w:rFonts w:ascii="Verdana" w:hAnsi="Verdana"/>
          <w:sz w:val="20"/>
          <w:szCs w:val="20"/>
          <w:lang w:val="es-MX"/>
        </w:rPr>
      </w:pPr>
    </w:p>
    <w:p w:rsidR="001C3F1A" w:rsidRDefault="001C3F1A" w:rsidP="00624151">
      <w:pPr>
        <w:spacing w:after="0" w:line="240" w:lineRule="auto"/>
        <w:jc w:val="both"/>
        <w:rPr>
          <w:rFonts w:ascii="Verdana" w:hAnsi="Verdana"/>
          <w:b/>
          <w:sz w:val="20"/>
          <w:szCs w:val="20"/>
          <w:lang w:val="es-MX"/>
        </w:rPr>
      </w:pPr>
      <w:r w:rsidRPr="001C3F1A">
        <w:rPr>
          <w:rFonts w:ascii="Verdana" w:hAnsi="Verdana"/>
          <w:b/>
          <w:sz w:val="20"/>
          <w:szCs w:val="20"/>
          <w:lang w:val="es-MX"/>
        </w:rPr>
        <w:t>Cumplimiento parcial:</w:t>
      </w:r>
    </w:p>
    <w:p w:rsidR="00624151" w:rsidRPr="001C3F1A" w:rsidRDefault="00624151" w:rsidP="00624151">
      <w:pPr>
        <w:spacing w:after="0" w:line="240" w:lineRule="auto"/>
        <w:jc w:val="both"/>
        <w:rPr>
          <w:rFonts w:ascii="Verdana" w:hAnsi="Verdana"/>
          <w:b/>
          <w:sz w:val="20"/>
          <w:szCs w:val="20"/>
          <w:lang w:val="es-MX"/>
        </w:rPr>
      </w:pPr>
      <w:bookmarkStart w:id="0" w:name="_GoBack"/>
      <w:bookmarkEnd w:id="0"/>
    </w:p>
    <w:p w:rsidR="001C3F1A" w:rsidRPr="001C3F1A" w:rsidRDefault="001C3F1A" w:rsidP="00624151">
      <w:pPr>
        <w:pStyle w:val="ListParagraph"/>
        <w:numPr>
          <w:ilvl w:val="0"/>
          <w:numId w:val="1"/>
        </w:numPr>
        <w:spacing w:after="0" w:line="240" w:lineRule="auto"/>
        <w:ind w:left="360"/>
        <w:jc w:val="both"/>
        <w:rPr>
          <w:lang w:val="es-MX"/>
        </w:rPr>
      </w:pPr>
      <w:r w:rsidRPr="001C3F1A">
        <w:rPr>
          <w:rFonts w:ascii="Verdana" w:hAnsi="Verdana"/>
          <w:sz w:val="20"/>
          <w:szCs w:val="20"/>
          <w:lang w:val="es-MX"/>
        </w:rPr>
        <w:t xml:space="preserve">El Estado debe continuar con la tramitación del proceso penal seguido por la desaparición forzada de Renato </w:t>
      </w:r>
      <w:proofErr w:type="spellStart"/>
      <w:r w:rsidRPr="001C3F1A">
        <w:rPr>
          <w:rFonts w:ascii="Verdana" w:hAnsi="Verdana"/>
          <w:sz w:val="20"/>
          <w:szCs w:val="20"/>
          <w:lang w:val="es-MX"/>
        </w:rPr>
        <w:t>Ticona</w:t>
      </w:r>
      <w:proofErr w:type="spellEnd"/>
      <w:r w:rsidRPr="001C3F1A">
        <w:rPr>
          <w:rFonts w:ascii="Verdana" w:hAnsi="Verdana"/>
          <w:sz w:val="20"/>
          <w:szCs w:val="20"/>
          <w:lang w:val="es-MX"/>
        </w:rPr>
        <w:t xml:space="preserve"> Estrada, de manera que éste concluya en el más breve plazo, a partir de la notificación del presente Fallo en los términos de los párrafos 144 a 147 de la presente Sentencia.</w:t>
      </w:r>
    </w:p>
    <w:p w:rsidR="003B5CD9" w:rsidRPr="00AB625A" w:rsidRDefault="003B5CD9" w:rsidP="00AB625A">
      <w:pPr>
        <w:jc w:val="both"/>
        <w:rPr>
          <w:rFonts w:ascii="Verdana" w:hAnsi="Verdana"/>
          <w:sz w:val="20"/>
          <w:szCs w:val="20"/>
          <w:lang w:val="es-MX"/>
        </w:rPr>
      </w:pPr>
      <w:r w:rsidRPr="00AB625A">
        <w:rPr>
          <w:rFonts w:ascii="Verdana" w:hAnsi="Verdana"/>
          <w:sz w:val="20"/>
          <w:szCs w:val="20"/>
          <w:lang w:val="es-MX"/>
        </w:rPr>
        <w:t xml:space="preserve">En los </w:t>
      </w:r>
      <w:r w:rsidR="005A03BA" w:rsidRPr="00AB625A">
        <w:rPr>
          <w:rFonts w:ascii="Verdana" w:hAnsi="Verdana"/>
          <w:sz w:val="20"/>
          <w:szCs w:val="20"/>
          <w:lang w:val="es-MX"/>
        </w:rPr>
        <w:t xml:space="preserve">Considerandos </w:t>
      </w:r>
      <w:r w:rsidRPr="00AB625A">
        <w:rPr>
          <w:rFonts w:ascii="Verdana" w:hAnsi="Verdana"/>
          <w:sz w:val="20"/>
          <w:szCs w:val="20"/>
          <w:lang w:val="es-MX"/>
        </w:rPr>
        <w:t>11 y 12 de la sentencia de 2</w:t>
      </w:r>
      <w:r w:rsidR="00897E9D" w:rsidRPr="00AB625A">
        <w:rPr>
          <w:rFonts w:ascii="Verdana" w:hAnsi="Verdana"/>
          <w:sz w:val="20"/>
          <w:szCs w:val="20"/>
          <w:lang w:val="es-MX"/>
        </w:rPr>
        <w:t xml:space="preserve">3 de febrero de 2011 se explica </w:t>
      </w:r>
      <w:r w:rsidR="00897E9D" w:rsidRPr="00AB625A">
        <w:rPr>
          <w:rFonts w:ascii="Verdana" w:hAnsi="Verdana"/>
          <w:snapToGrid w:val="0"/>
          <w:sz w:val="20"/>
          <w:szCs w:val="20"/>
          <w:lang w:val="es-MX"/>
        </w:rPr>
        <w:t>lo que continúa pendiente de cumplimiento respecto a la presente medida de reparación:</w:t>
      </w:r>
      <w:r w:rsidRPr="00AB625A">
        <w:rPr>
          <w:rFonts w:ascii="Verdana" w:hAnsi="Verdana"/>
          <w:sz w:val="20"/>
          <w:szCs w:val="20"/>
          <w:lang w:val="es-MX"/>
        </w:rPr>
        <w:t xml:space="preserve"> </w:t>
      </w:r>
    </w:p>
    <w:p w:rsidR="00AB625A" w:rsidRPr="002C3FDB" w:rsidRDefault="00AB625A" w:rsidP="00AB625A">
      <w:pPr>
        <w:pStyle w:val="Prrafodelista1"/>
        <w:spacing w:after="160"/>
        <w:ind w:left="360" w:right="720"/>
        <w:jc w:val="both"/>
        <w:rPr>
          <w:rFonts w:ascii="Verdana" w:hAnsi="Verdana"/>
          <w:sz w:val="18"/>
          <w:szCs w:val="18"/>
        </w:rPr>
      </w:pPr>
      <w:r w:rsidRPr="002C3FDB">
        <w:rPr>
          <w:rFonts w:ascii="Verdana" w:hAnsi="Verdana"/>
          <w:sz w:val="18"/>
          <w:szCs w:val="18"/>
        </w:rPr>
        <w:t>11.</w:t>
      </w:r>
      <w:r w:rsidRPr="002C3FDB">
        <w:rPr>
          <w:rFonts w:ascii="Verdana" w:hAnsi="Verdana"/>
          <w:sz w:val="18"/>
          <w:szCs w:val="18"/>
        </w:rPr>
        <w:tab/>
        <w:t xml:space="preserve">Luego de evaluar el proceso penal seguido en el derecho interno que ha concluido con una sentencia condenatoria contra Roberto Melean Rendón, René </w:t>
      </w:r>
      <w:proofErr w:type="spellStart"/>
      <w:r w:rsidRPr="002C3FDB">
        <w:rPr>
          <w:rFonts w:ascii="Verdana" w:hAnsi="Verdana"/>
          <w:sz w:val="18"/>
          <w:szCs w:val="18"/>
        </w:rPr>
        <w:t>Veizaga</w:t>
      </w:r>
      <w:proofErr w:type="spellEnd"/>
      <w:r w:rsidRPr="002C3FDB">
        <w:rPr>
          <w:rFonts w:ascii="Verdana" w:hAnsi="Verdana"/>
          <w:sz w:val="18"/>
          <w:szCs w:val="18"/>
        </w:rPr>
        <w:t xml:space="preserve"> Vargas y Willy Valdivia </w:t>
      </w:r>
      <w:proofErr w:type="spellStart"/>
      <w:r w:rsidRPr="002C3FDB">
        <w:rPr>
          <w:rFonts w:ascii="Verdana" w:hAnsi="Verdana"/>
          <w:sz w:val="18"/>
          <w:szCs w:val="18"/>
        </w:rPr>
        <w:t>Gumucio</w:t>
      </w:r>
      <w:proofErr w:type="spellEnd"/>
      <w:r w:rsidRPr="002C3FDB">
        <w:rPr>
          <w:rFonts w:ascii="Verdana" w:hAnsi="Verdana"/>
          <w:sz w:val="18"/>
          <w:szCs w:val="18"/>
        </w:rPr>
        <w:t xml:space="preserve">, Eduardo García Alba y Alfredo Sanabria, y vistas las observaciones presentadas tanto por los representantes como por la Comisión, éstas se circunscriben a exigir la captura de Willy Valdivia </w:t>
      </w:r>
      <w:proofErr w:type="spellStart"/>
      <w:r w:rsidRPr="002C3FDB">
        <w:rPr>
          <w:rFonts w:ascii="Verdana" w:hAnsi="Verdana"/>
          <w:sz w:val="18"/>
          <w:szCs w:val="18"/>
        </w:rPr>
        <w:t>Gumucio</w:t>
      </w:r>
      <w:proofErr w:type="spellEnd"/>
      <w:r w:rsidRPr="002C3FDB">
        <w:rPr>
          <w:rFonts w:ascii="Verdana" w:hAnsi="Verdana"/>
          <w:sz w:val="18"/>
          <w:szCs w:val="18"/>
        </w:rPr>
        <w:t xml:space="preserve"> y Alfredo Sanabria o Saravia por las autoridades estatales. Dada la situación planteada, esta Corte considera que en el presente caso la investigación de los hechos de la desaparición forzada de Renato </w:t>
      </w:r>
      <w:proofErr w:type="spellStart"/>
      <w:r w:rsidRPr="002C3FDB">
        <w:rPr>
          <w:rFonts w:ascii="Verdana" w:hAnsi="Verdana"/>
          <w:sz w:val="18"/>
          <w:szCs w:val="18"/>
        </w:rPr>
        <w:t>Ticona</w:t>
      </w:r>
      <w:proofErr w:type="spellEnd"/>
      <w:r w:rsidRPr="002C3FDB">
        <w:rPr>
          <w:rFonts w:ascii="Verdana" w:hAnsi="Verdana"/>
          <w:sz w:val="18"/>
          <w:szCs w:val="18"/>
        </w:rPr>
        <w:t xml:space="preserve"> Estrada (en adelante “Renato </w:t>
      </w:r>
      <w:proofErr w:type="spellStart"/>
      <w:r w:rsidRPr="002C3FDB">
        <w:rPr>
          <w:rFonts w:ascii="Verdana" w:hAnsi="Verdana"/>
          <w:sz w:val="18"/>
          <w:szCs w:val="18"/>
        </w:rPr>
        <w:t>Ticona</w:t>
      </w:r>
      <w:proofErr w:type="spellEnd"/>
      <w:r w:rsidRPr="002C3FDB">
        <w:rPr>
          <w:rFonts w:ascii="Verdana" w:hAnsi="Verdana"/>
          <w:sz w:val="18"/>
          <w:szCs w:val="18"/>
        </w:rPr>
        <w:t xml:space="preserve">”)  ha sido concluida.  </w:t>
      </w:r>
      <w:r w:rsidRPr="002C3FDB">
        <w:rPr>
          <w:rFonts w:ascii="Verdana" w:hAnsi="Verdana"/>
          <w:sz w:val="18"/>
          <w:szCs w:val="18"/>
        </w:rPr>
        <w:tab/>
        <w:t xml:space="preserve"> </w:t>
      </w:r>
    </w:p>
    <w:p w:rsidR="00AB625A" w:rsidRPr="00AB625A" w:rsidRDefault="00AB625A" w:rsidP="00AB625A">
      <w:pPr>
        <w:ind w:left="360" w:right="720"/>
        <w:jc w:val="both"/>
        <w:rPr>
          <w:rFonts w:ascii="Verdana" w:hAnsi="Verdana"/>
          <w:sz w:val="18"/>
          <w:szCs w:val="18"/>
          <w:lang w:val="es-MX"/>
        </w:rPr>
      </w:pPr>
      <w:r w:rsidRPr="00AB625A">
        <w:rPr>
          <w:rFonts w:ascii="Verdana" w:hAnsi="Verdana"/>
          <w:sz w:val="18"/>
          <w:szCs w:val="18"/>
          <w:lang w:val="es-MX"/>
        </w:rPr>
        <w:t>12.</w:t>
      </w:r>
      <w:r w:rsidRPr="00AB625A">
        <w:rPr>
          <w:rFonts w:ascii="Verdana" w:hAnsi="Verdana"/>
          <w:sz w:val="18"/>
          <w:szCs w:val="18"/>
          <w:lang w:val="es-MX"/>
        </w:rPr>
        <w:tab/>
        <w:t>El Tribunal advierte que los responsables al momento de la emisión de la Sentencia de la Corte el 28 de noviembre de 2008 no habían sido aprehendidos y actualmente aún dos de ellos, Willy Valdivia Gumucio y Alfredo Sanabria o Saravia, se encuentran prófugos (</w:t>
      </w:r>
      <w:r w:rsidRPr="00AB625A">
        <w:rPr>
          <w:rFonts w:ascii="Verdana" w:hAnsi="Verdana"/>
          <w:i/>
          <w:sz w:val="18"/>
          <w:szCs w:val="18"/>
          <w:lang w:val="es-MX"/>
        </w:rPr>
        <w:t>supra</w:t>
      </w:r>
      <w:r w:rsidRPr="00AB625A">
        <w:rPr>
          <w:rFonts w:ascii="Verdana" w:hAnsi="Verdana"/>
          <w:sz w:val="18"/>
          <w:szCs w:val="18"/>
          <w:lang w:val="es-MX"/>
        </w:rPr>
        <w:t xml:space="preserve"> Considerandos 7, 8, 9 y 11), a pesar de que desde esa fecha la Corte constató la situación de los entonces condenados y que desde el 23 de marzo de 2009 la sentencia condenatoria en el fuero interno quedó en firme. Sin embargo, el Estado continúa informando que dichas personas no han sido capturadas (</w:t>
      </w:r>
      <w:r w:rsidRPr="00AB625A">
        <w:rPr>
          <w:rFonts w:ascii="Verdana" w:hAnsi="Verdana"/>
          <w:i/>
          <w:sz w:val="18"/>
          <w:szCs w:val="18"/>
          <w:lang w:val="es-MX"/>
        </w:rPr>
        <w:t>supra</w:t>
      </w:r>
      <w:r w:rsidRPr="00AB625A">
        <w:rPr>
          <w:rFonts w:ascii="Verdana" w:hAnsi="Verdana"/>
          <w:sz w:val="18"/>
          <w:szCs w:val="18"/>
          <w:lang w:val="es-MX"/>
        </w:rPr>
        <w:t xml:space="preserve"> Considerando 7). Al respecto, cabe recordar que la Corte Interamericana expresó en la Sentencia que “[d]ichos mandamientos judiciales deben ser cumplidos, de modo que en el caso de que se confirmen las aludidas sentencias, quienes resulten responsables de los hechos no evadan la acción de la justicia.  Además, esta Corte considera que no se observa del expediente que </w:t>
      </w:r>
      <w:r w:rsidRPr="00AB625A" w:rsidDel="00A86655">
        <w:rPr>
          <w:rFonts w:ascii="Verdana" w:hAnsi="Verdana"/>
          <w:sz w:val="18"/>
          <w:szCs w:val="18"/>
          <w:lang w:val="es-MX"/>
        </w:rPr>
        <w:t>e</w:t>
      </w:r>
      <w:r w:rsidRPr="00AB625A">
        <w:rPr>
          <w:rFonts w:ascii="Verdana" w:hAnsi="Verdana"/>
          <w:sz w:val="18"/>
          <w:szCs w:val="18"/>
          <w:lang w:val="es-MX"/>
        </w:rPr>
        <w:t>n el presente caso el Estado haya realizado las diligencias efectivas para aprehender a dichas personas, que según los testigos viven y se desplazan por Oruro con entera libertad, lo que no fue objetado por el Estado”</w:t>
      </w:r>
      <w:r w:rsidRPr="002C3FDB">
        <w:rPr>
          <w:rStyle w:val="FootnoteReference"/>
          <w:rFonts w:ascii="Verdana" w:hAnsi="Verdana"/>
          <w:sz w:val="18"/>
          <w:szCs w:val="18"/>
        </w:rPr>
        <w:footnoteReference w:id="1"/>
      </w:r>
      <w:r w:rsidRPr="00AB625A">
        <w:rPr>
          <w:rFonts w:ascii="Verdana" w:hAnsi="Verdana"/>
          <w:sz w:val="18"/>
          <w:szCs w:val="18"/>
          <w:lang w:val="es-MX"/>
        </w:rPr>
        <w:t xml:space="preserve">. Consecuentemente, el Tribunal insta al Estado para que, por intermedio de sus autoridades, realice todas las diligencias </w:t>
      </w:r>
      <w:r w:rsidRPr="00AB625A">
        <w:rPr>
          <w:rFonts w:ascii="Verdana" w:hAnsi="Verdana"/>
          <w:sz w:val="18"/>
          <w:szCs w:val="18"/>
          <w:lang w:val="es-MX"/>
        </w:rPr>
        <w:lastRenderedPageBreak/>
        <w:t>necesarias para hacer efectivas las órdenes judiciales de captura con el fin de dar cumplimiento total a lo ordenado por la Corte en el punto resolutivo décimo de la Sentencia de 28 de noviembre de 2008.  En razón de lo anterior, el Tribunal considera necesario que el Estado informe de manera detallada y actualizada sobre todas las acciones o diligencias que ha realizado para capturar a dichas personas y sus resultados.</w:t>
      </w:r>
    </w:p>
    <w:p w:rsidR="00897E9D" w:rsidRPr="00F6424C" w:rsidRDefault="00897E9D" w:rsidP="00AB625A">
      <w:pPr>
        <w:spacing w:line="240" w:lineRule="auto"/>
        <w:ind w:right="720"/>
        <w:jc w:val="both"/>
        <w:rPr>
          <w:rFonts w:ascii="Verdana" w:hAnsi="Verdana"/>
          <w:sz w:val="20"/>
          <w:szCs w:val="20"/>
          <w:lang w:val="es-MX"/>
        </w:rPr>
      </w:pPr>
    </w:p>
    <w:sectPr w:rsidR="00897E9D" w:rsidRPr="00F642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F5" w:rsidRDefault="00FE25F5" w:rsidP="00883A44">
      <w:pPr>
        <w:spacing w:after="0" w:line="240" w:lineRule="auto"/>
      </w:pPr>
      <w:r>
        <w:separator/>
      </w:r>
    </w:p>
  </w:endnote>
  <w:endnote w:type="continuationSeparator" w:id="0">
    <w:p w:rsidR="00FE25F5" w:rsidRDefault="00FE25F5" w:rsidP="0088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4C" w:rsidRDefault="007C3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A44" w:rsidRPr="006D02F0" w:rsidRDefault="00883A44" w:rsidP="00883A44">
    <w:pPr>
      <w:jc w:val="both"/>
      <w:rPr>
        <w:rFonts w:ascii="Verdana" w:hAnsi="Verdana"/>
        <w:bCs/>
        <w:sz w:val="16"/>
        <w:szCs w:val="16"/>
        <w:lang w:val="es-MX"/>
      </w:rPr>
    </w:pPr>
    <w:r w:rsidRPr="006D02F0">
      <w:rPr>
        <w:rFonts w:ascii="Verdana" w:hAnsi="Verdana"/>
        <w:bCs/>
        <w:sz w:val="16"/>
        <w:szCs w:val="16"/>
        <w:lang w:val="es-MX"/>
      </w:rPr>
      <w:t xml:space="preserve">La presente sistematización de información fue </w:t>
    </w:r>
    <w:r w:rsidR="007C3D4C">
      <w:rPr>
        <w:rFonts w:ascii="Verdana" w:hAnsi="Verdana"/>
        <w:bCs/>
        <w:sz w:val="16"/>
        <w:szCs w:val="16"/>
        <w:lang w:val="es-MX"/>
      </w:rPr>
      <w:t>realizada</w:t>
    </w:r>
    <w:r w:rsidRPr="006D02F0">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83A44" w:rsidRPr="00883A44" w:rsidRDefault="00883A44">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4C" w:rsidRDefault="007C3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F5" w:rsidRDefault="00FE25F5" w:rsidP="00883A44">
      <w:pPr>
        <w:spacing w:after="0" w:line="240" w:lineRule="auto"/>
      </w:pPr>
      <w:r>
        <w:separator/>
      </w:r>
    </w:p>
  </w:footnote>
  <w:footnote w:type="continuationSeparator" w:id="0">
    <w:p w:rsidR="00FE25F5" w:rsidRDefault="00FE25F5" w:rsidP="00883A44">
      <w:pPr>
        <w:spacing w:after="0" w:line="240" w:lineRule="auto"/>
      </w:pPr>
      <w:r>
        <w:continuationSeparator/>
      </w:r>
    </w:p>
  </w:footnote>
  <w:footnote w:id="1">
    <w:p w:rsidR="00AB625A" w:rsidRPr="00C735B3" w:rsidRDefault="00AB625A" w:rsidP="00AB625A">
      <w:pPr>
        <w:pStyle w:val="FootnoteText"/>
        <w:ind w:right="-542"/>
        <w:jc w:val="both"/>
        <w:rPr>
          <w:rFonts w:ascii="Verdana" w:hAnsi="Verdana"/>
          <w:sz w:val="16"/>
          <w:szCs w:val="16"/>
        </w:rPr>
      </w:pPr>
      <w:r w:rsidRPr="00C735B3">
        <w:rPr>
          <w:rStyle w:val="FootnoteReference"/>
          <w:rFonts w:ascii="Verdana" w:hAnsi="Verdana"/>
          <w:sz w:val="16"/>
          <w:szCs w:val="16"/>
        </w:rPr>
        <w:footnoteRef/>
      </w:r>
      <w:r w:rsidRPr="00C735B3">
        <w:rPr>
          <w:rFonts w:ascii="Verdana" w:hAnsi="Verdana"/>
          <w:sz w:val="16"/>
          <w:szCs w:val="16"/>
        </w:rPr>
        <w:t xml:space="preserve"> </w:t>
      </w:r>
      <w:r w:rsidRPr="00C735B3">
        <w:rPr>
          <w:rFonts w:ascii="Verdana" w:hAnsi="Verdana"/>
          <w:sz w:val="16"/>
          <w:szCs w:val="16"/>
        </w:rPr>
        <w:tab/>
      </w:r>
      <w:r w:rsidRPr="00C735B3">
        <w:rPr>
          <w:rFonts w:ascii="Verdana" w:hAnsi="Verdana" w:cs="Verdana"/>
          <w:bCs/>
          <w:i/>
          <w:sz w:val="16"/>
          <w:szCs w:val="16"/>
          <w:lang w:bidi="en-US"/>
        </w:rPr>
        <w:t xml:space="preserve">Caso </w:t>
      </w:r>
      <w:proofErr w:type="spellStart"/>
      <w:r w:rsidRPr="00C735B3">
        <w:rPr>
          <w:rFonts w:ascii="Verdana" w:hAnsi="Verdana" w:cs="Verdana"/>
          <w:bCs/>
          <w:i/>
          <w:sz w:val="16"/>
          <w:szCs w:val="16"/>
          <w:lang w:bidi="en-US"/>
        </w:rPr>
        <w:t>Ticona</w:t>
      </w:r>
      <w:proofErr w:type="spellEnd"/>
      <w:r w:rsidRPr="00C735B3">
        <w:rPr>
          <w:rFonts w:ascii="Verdana" w:hAnsi="Verdana" w:cs="Verdana"/>
          <w:bCs/>
          <w:i/>
          <w:sz w:val="16"/>
          <w:szCs w:val="16"/>
          <w:lang w:bidi="en-US"/>
        </w:rPr>
        <w:t xml:space="preserve"> Estrada y otros Vs. Bolivia</w:t>
      </w:r>
      <w:r w:rsidRPr="00C735B3">
        <w:rPr>
          <w:rFonts w:ascii="Verdana" w:hAnsi="Verdana" w:cs="Verdana"/>
          <w:b/>
          <w:bCs/>
          <w:sz w:val="16"/>
          <w:szCs w:val="16"/>
          <w:lang w:bidi="en-US"/>
        </w:rPr>
        <w:t xml:space="preserve">. </w:t>
      </w:r>
      <w:r w:rsidRPr="00C735B3">
        <w:rPr>
          <w:rFonts w:ascii="Verdana" w:hAnsi="Verdana" w:cs="Verdana"/>
          <w:i/>
          <w:sz w:val="16"/>
          <w:szCs w:val="16"/>
          <w:lang w:bidi="en-US"/>
        </w:rPr>
        <w:t>Fondo, Reparaciones y Costas.</w:t>
      </w:r>
      <w:r w:rsidRPr="00C735B3">
        <w:rPr>
          <w:rFonts w:ascii="Verdana" w:hAnsi="Verdana" w:cs="Verdana"/>
          <w:sz w:val="16"/>
          <w:szCs w:val="16"/>
          <w:lang w:bidi="en-US"/>
        </w:rPr>
        <w:t xml:space="preserve"> Sentencia de 27 de noviembre de 2008. Serie C No. 191, párr. 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4C" w:rsidRDefault="007C3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593B38" w:rsidRPr="00675FE7" w:rsidRDefault="00593B38" w:rsidP="00593B38">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624151">
          <w:rPr>
            <w:rFonts w:ascii="Verdana" w:hAnsi="Verdana"/>
            <w:noProof/>
            <w:sz w:val="20"/>
            <w:szCs w:val="20"/>
          </w:rPr>
          <w:t>2</w:t>
        </w:r>
        <w:r w:rsidRPr="00675FE7">
          <w:rPr>
            <w:rFonts w:ascii="Verdana" w:hAnsi="Verdana"/>
            <w:noProof/>
            <w:sz w:val="20"/>
            <w:szCs w:val="20"/>
          </w:rPr>
          <w:fldChar w:fldCharType="end"/>
        </w:r>
      </w:p>
    </w:sdtContent>
  </w:sdt>
  <w:p w:rsidR="00593B38" w:rsidRDefault="00593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4C" w:rsidRDefault="007C3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338CF"/>
    <w:multiLevelType w:val="hybridMultilevel"/>
    <w:tmpl w:val="C6403B90"/>
    <w:lvl w:ilvl="0" w:tplc="7F5EC40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44"/>
    <w:rsid w:val="000748A9"/>
    <w:rsid w:val="001C3F1A"/>
    <w:rsid w:val="003A7E5E"/>
    <w:rsid w:val="003B5CD9"/>
    <w:rsid w:val="00593B38"/>
    <w:rsid w:val="005A03BA"/>
    <w:rsid w:val="005A65E2"/>
    <w:rsid w:val="00624151"/>
    <w:rsid w:val="00691C71"/>
    <w:rsid w:val="007C3D4C"/>
    <w:rsid w:val="00883A44"/>
    <w:rsid w:val="00897E9D"/>
    <w:rsid w:val="009832C0"/>
    <w:rsid w:val="00AB625A"/>
    <w:rsid w:val="00F25F35"/>
    <w:rsid w:val="00F6424C"/>
    <w:rsid w:val="00FE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A44"/>
  </w:style>
  <w:style w:type="paragraph" w:styleId="Footer">
    <w:name w:val="footer"/>
    <w:basedOn w:val="Normal"/>
    <w:link w:val="FooterChar"/>
    <w:uiPriority w:val="99"/>
    <w:unhideWhenUsed/>
    <w:rsid w:val="00883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A44"/>
  </w:style>
  <w:style w:type="paragraph" w:styleId="ListParagraph">
    <w:name w:val="List Paragraph"/>
    <w:basedOn w:val="Normal"/>
    <w:uiPriority w:val="34"/>
    <w:qFormat/>
    <w:rsid w:val="001C3F1A"/>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Texto nota pie Car,FA Fu?notentext,Ca"/>
    <w:basedOn w:val="Normal"/>
    <w:link w:val="FootnoteTextChar"/>
    <w:rsid w:val="003B5CD9"/>
    <w:pPr>
      <w:spacing w:after="0" w:line="240" w:lineRule="auto"/>
    </w:pPr>
    <w:rPr>
      <w:rFonts w:ascii="Times" w:eastAsia="Times" w:hAnsi="Times" w:cs="Times New Roman"/>
      <w:sz w:val="24"/>
      <w:szCs w:val="20"/>
      <w:lang w:val="es-ES_tradnl"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3B5CD9"/>
    <w:rPr>
      <w:rFonts w:ascii="Times" w:eastAsia="Times" w:hAnsi="Times" w:cs="Times New Roman"/>
      <w:sz w:val="24"/>
      <w:szCs w:val="20"/>
      <w:lang w:val="es-ES_tradnl" w:eastAsia="es-ES"/>
    </w:rPr>
  </w:style>
  <w:style w:type="character" w:styleId="FootnoteReference">
    <w:name w:val="footnote reference"/>
    <w:aliases w:val="Footnotes refss,Appel note de bas de page,Texto de nota al pie,Footnote number,referencia nota al pie,BVI fnr,f"/>
    <w:basedOn w:val="DefaultParagraphFont"/>
    <w:rsid w:val="003B5CD9"/>
    <w:rPr>
      <w:vertAlign w:val="superscript"/>
    </w:rPr>
  </w:style>
  <w:style w:type="paragraph" w:customStyle="1" w:styleId="Prrafodelista1">
    <w:name w:val="Párrafo de lista1"/>
    <w:basedOn w:val="Normal"/>
    <w:qFormat/>
    <w:rsid w:val="003B5CD9"/>
    <w:pPr>
      <w:spacing w:after="0" w:line="240" w:lineRule="auto"/>
      <w:ind w:left="720"/>
      <w:contextualSpacing/>
    </w:pPr>
    <w:rPr>
      <w:rFonts w:ascii="Garamond" w:eastAsia="Times" w:hAnsi="Garamond"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A44"/>
  </w:style>
  <w:style w:type="paragraph" w:styleId="Footer">
    <w:name w:val="footer"/>
    <w:basedOn w:val="Normal"/>
    <w:link w:val="FooterChar"/>
    <w:uiPriority w:val="99"/>
    <w:unhideWhenUsed/>
    <w:rsid w:val="00883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A44"/>
  </w:style>
  <w:style w:type="paragraph" w:styleId="ListParagraph">
    <w:name w:val="List Paragraph"/>
    <w:basedOn w:val="Normal"/>
    <w:uiPriority w:val="34"/>
    <w:qFormat/>
    <w:rsid w:val="001C3F1A"/>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Texto nota pie Car,FA Fu?notentext,Ca"/>
    <w:basedOn w:val="Normal"/>
    <w:link w:val="FootnoteTextChar"/>
    <w:rsid w:val="003B5CD9"/>
    <w:pPr>
      <w:spacing w:after="0" w:line="240" w:lineRule="auto"/>
    </w:pPr>
    <w:rPr>
      <w:rFonts w:ascii="Times" w:eastAsia="Times" w:hAnsi="Times" w:cs="Times New Roman"/>
      <w:sz w:val="24"/>
      <w:szCs w:val="20"/>
      <w:lang w:val="es-ES_tradnl"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3B5CD9"/>
    <w:rPr>
      <w:rFonts w:ascii="Times" w:eastAsia="Times" w:hAnsi="Times" w:cs="Times New Roman"/>
      <w:sz w:val="24"/>
      <w:szCs w:val="20"/>
      <w:lang w:val="es-ES_tradnl" w:eastAsia="es-ES"/>
    </w:rPr>
  </w:style>
  <w:style w:type="character" w:styleId="FootnoteReference">
    <w:name w:val="footnote reference"/>
    <w:aliases w:val="Footnotes refss,Appel note de bas de page,Texto de nota al pie,Footnote number,referencia nota al pie,BVI fnr,f"/>
    <w:basedOn w:val="DefaultParagraphFont"/>
    <w:rsid w:val="003B5CD9"/>
    <w:rPr>
      <w:vertAlign w:val="superscript"/>
    </w:rPr>
  </w:style>
  <w:style w:type="paragraph" w:customStyle="1" w:styleId="Prrafodelista1">
    <w:name w:val="Párrafo de lista1"/>
    <w:basedOn w:val="Normal"/>
    <w:qFormat/>
    <w:rsid w:val="003B5CD9"/>
    <w:pPr>
      <w:spacing w:after="0" w:line="240" w:lineRule="auto"/>
      <w:ind w:left="720"/>
      <w:contextualSpacing/>
    </w:pPr>
    <w:rPr>
      <w:rFonts w:ascii="Garamond" w:eastAsia="Times" w:hAnsi="Garamond"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16</cp:revision>
  <dcterms:created xsi:type="dcterms:W3CDTF">2016-09-16T18:11:00Z</dcterms:created>
  <dcterms:modified xsi:type="dcterms:W3CDTF">2016-11-22T23:17:00Z</dcterms:modified>
</cp:coreProperties>
</file>