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EF0" w:rsidRDefault="009F7EF4" w:rsidP="00CE1EF0">
      <w:pPr>
        <w:jc w:val="center"/>
        <w:rPr>
          <w:b/>
          <w:sz w:val="20"/>
          <w:szCs w:val="20"/>
          <w:u w:val="single"/>
          <w:lang w:val="es-MX"/>
        </w:rPr>
      </w:pPr>
      <w:r w:rsidRPr="00834F1A">
        <w:rPr>
          <w:b/>
          <w:sz w:val="20"/>
          <w:szCs w:val="20"/>
          <w:u w:val="single"/>
          <w:lang w:val="es-CR"/>
        </w:rPr>
        <w:t xml:space="preserve">Caso </w:t>
      </w:r>
      <w:r w:rsidR="00D95EAB">
        <w:rPr>
          <w:b/>
          <w:sz w:val="20"/>
          <w:szCs w:val="20"/>
          <w:u w:val="single"/>
          <w:lang w:val="es-CR"/>
        </w:rPr>
        <w:t>Favela Nova Brasilia</w:t>
      </w:r>
      <w:r w:rsidRPr="00B32A37">
        <w:rPr>
          <w:b/>
          <w:i/>
          <w:sz w:val="20"/>
          <w:szCs w:val="20"/>
          <w:u w:val="single"/>
          <w:lang w:val="es-CR"/>
        </w:rPr>
        <w:t xml:space="preserve"> Vs. </w:t>
      </w:r>
      <w:r w:rsidRPr="00834F1A">
        <w:rPr>
          <w:b/>
          <w:sz w:val="20"/>
          <w:szCs w:val="20"/>
          <w:u w:val="single"/>
          <w:lang w:val="es-MX"/>
        </w:rPr>
        <w:t>Brasil</w:t>
      </w:r>
      <w:r w:rsidRPr="00296F77">
        <w:rPr>
          <w:b/>
          <w:sz w:val="20"/>
          <w:szCs w:val="20"/>
          <w:u w:val="single"/>
          <w:lang w:val="es-MX"/>
        </w:rPr>
        <w:t>: reparaciones pendientes de cumplimiento</w:t>
      </w:r>
    </w:p>
    <w:p w:rsidR="00CE1EF0" w:rsidRDefault="00CE1EF0" w:rsidP="00CE1EF0">
      <w:pPr>
        <w:jc w:val="center"/>
        <w:rPr>
          <w:b/>
          <w:sz w:val="20"/>
          <w:szCs w:val="20"/>
          <w:u w:val="single"/>
          <w:lang w:val="es-MX"/>
        </w:rPr>
      </w:pPr>
    </w:p>
    <w:p w:rsidR="00CE1EF0" w:rsidRPr="00CE1EF0" w:rsidRDefault="00CE1EF0" w:rsidP="00CE1EF0">
      <w:pPr>
        <w:jc w:val="both"/>
        <w:rPr>
          <w:sz w:val="20"/>
          <w:szCs w:val="20"/>
        </w:rPr>
      </w:pPr>
      <w:r>
        <w:rPr>
          <w:sz w:val="20"/>
          <w:szCs w:val="20"/>
        </w:rPr>
        <w:t>1.</w:t>
      </w:r>
      <w:r>
        <w:rPr>
          <w:sz w:val="20"/>
          <w:szCs w:val="20"/>
        </w:rPr>
        <w:tab/>
      </w:r>
      <w:r w:rsidRPr="00CE1EF0">
        <w:rPr>
          <w:sz w:val="20"/>
          <w:szCs w:val="20"/>
        </w:rPr>
        <w:t xml:space="preserve">El Estado debe conducir eficazmente la investigación en curso sobre los hechos relacionados con las muertes ocurridas en la redada de 1994, con la debida diligencia y en un plazo razonable para identificar, procesar y, en su caso, sancionar a los responsables, en los términos de los párrafos 291 y 292 de la Sentencia. Respecto a las muertes ocurridas en la redada de 1995, el Estado debe iniciar o reactivar una investigación eficaz respecto a estos hechos, en los términos de los párrafos 291 y 292 de la Sentencia. Asimismo, el Estado, a través del Procurador General de la República del Ministerio Público Federal, debe evaluar si los hechos referentes a las redadas de 1994 y 1995 deben ser objeto de solicitud de Incidente de Traslado de Competencia, en el sentido dispuesto en el párrafo 292 de la Sentencia. </w:t>
      </w:r>
    </w:p>
    <w:p w:rsidR="00CE1EF0" w:rsidRPr="00CE1EF0" w:rsidRDefault="00CE1EF0" w:rsidP="00CE1EF0">
      <w:pPr>
        <w:jc w:val="both"/>
        <w:rPr>
          <w:sz w:val="20"/>
          <w:szCs w:val="20"/>
        </w:rPr>
      </w:pPr>
    </w:p>
    <w:p w:rsidR="00CE1EF0" w:rsidRPr="00CE1EF0" w:rsidRDefault="00CE1EF0" w:rsidP="00CE1EF0">
      <w:pPr>
        <w:jc w:val="both"/>
        <w:rPr>
          <w:sz w:val="20"/>
          <w:szCs w:val="20"/>
        </w:rPr>
      </w:pPr>
      <w:r>
        <w:rPr>
          <w:sz w:val="20"/>
          <w:szCs w:val="20"/>
        </w:rPr>
        <w:t>2.</w:t>
      </w:r>
      <w:r>
        <w:rPr>
          <w:sz w:val="20"/>
          <w:szCs w:val="20"/>
        </w:rPr>
        <w:tab/>
      </w:r>
      <w:r w:rsidRPr="00CE1EF0">
        <w:rPr>
          <w:sz w:val="20"/>
          <w:szCs w:val="20"/>
        </w:rPr>
        <w:t xml:space="preserve">El Estado debe iniciar una investigación eficaz respecto de los hechos de violencia sexual, en el sentido dispuesto en el párrafo 293 de la Sentencia. </w:t>
      </w:r>
    </w:p>
    <w:p w:rsidR="00CE1EF0" w:rsidRPr="00CE1EF0" w:rsidRDefault="00CE1EF0" w:rsidP="00CE1EF0">
      <w:pPr>
        <w:jc w:val="both"/>
        <w:rPr>
          <w:sz w:val="20"/>
          <w:szCs w:val="20"/>
        </w:rPr>
      </w:pPr>
    </w:p>
    <w:p w:rsidR="00CE1EF0" w:rsidRPr="00CE1EF0" w:rsidRDefault="00CE1EF0" w:rsidP="00CE1EF0">
      <w:pPr>
        <w:jc w:val="both"/>
        <w:rPr>
          <w:sz w:val="20"/>
          <w:szCs w:val="20"/>
        </w:rPr>
      </w:pPr>
      <w:r>
        <w:rPr>
          <w:sz w:val="20"/>
          <w:szCs w:val="20"/>
        </w:rPr>
        <w:t>3.</w:t>
      </w:r>
      <w:r>
        <w:rPr>
          <w:sz w:val="20"/>
          <w:szCs w:val="20"/>
        </w:rPr>
        <w:tab/>
      </w:r>
      <w:r w:rsidRPr="00CE1EF0">
        <w:rPr>
          <w:sz w:val="20"/>
          <w:szCs w:val="20"/>
        </w:rPr>
        <w:t xml:space="preserve">El Estado debe brindar gratuitamente, a través de sus instituciones de salud especializadas y de forma inmediata, adecuada y efectiva, el tratamiento psicológico y psiquiátrico que requieran las víctimas, previo consentimiento informado y por el tiempo que sea necesario, incluida la provisión gratuita de medicamentos. Asimismo, los tratamientos respectivos deberán prestarse, en la medida de lo posible, en los centros elegidos por las víctimas, en el sentido dispuesto en el párrafo 296 de la Sentencia. </w:t>
      </w:r>
    </w:p>
    <w:p w:rsidR="00CE1EF0" w:rsidRPr="00CE1EF0" w:rsidRDefault="00CE1EF0" w:rsidP="00CE1EF0">
      <w:pPr>
        <w:jc w:val="both"/>
        <w:rPr>
          <w:sz w:val="20"/>
          <w:szCs w:val="20"/>
        </w:rPr>
      </w:pPr>
    </w:p>
    <w:p w:rsidR="00CE1EF0" w:rsidRPr="00CE1EF0" w:rsidRDefault="00CE1EF0" w:rsidP="00CE1EF0">
      <w:pPr>
        <w:jc w:val="both"/>
        <w:rPr>
          <w:sz w:val="20"/>
          <w:szCs w:val="20"/>
        </w:rPr>
      </w:pPr>
      <w:r w:rsidRPr="00CE1EF0">
        <w:rPr>
          <w:sz w:val="20"/>
          <w:szCs w:val="20"/>
        </w:rPr>
        <w:t>4.</w:t>
      </w:r>
      <w:r>
        <w:rPr>
          <w:sz w:val="20"/>
          <w:szCs w:val="20"/>
        </w:rPr>
        <w:tab/>
      </w:r>
      <w:r w:rsidRPr="00CE1EF0">
        <w:rPr>
          <w:sz w:val="20"/>
          <w:szCs w:val="20"/>
        </w:rPr>
        <w:t xml:space="preserve">El Estado debe realizar un acto público de reconocimiento de responsabilidad internacional, en relación con los hechos del </w:t>
      </w:r>
      <w:bookmarkStart w:id="0" w:name="_GoBack"/>
      <w:r w:rsidRPr="00CE1EF0">
        <w:rPr>
          <w:sz w:val="20"/>
          <w:szCs w:val="20"/>
        </w:rPr>
        <w:t>presente</w:t>
      </w:r>
      <w:bookmarkEnd w:id="0"/>
      <w:r w:rsidRPr="00CE1EF0">
        <w:rPr>
          <w:sz w:val="20"/>
          <w:szCs w:val="20"/>
        </w:rPr>
        <w:t xml:space="preserve"> caso y su posterior investigación, y durante ese acto público deberán ser inauguradas dos placas en memoria de las víctimas de la Sentencia en la plaza principal de la Favela Nova Brasilia, en el sentido dispuesto en los párrafos 305 y 306 de la Sentencia. </w:t>
      </w:r>
    </w:p>
    <w:p w:rsidR="00CE1EF0" w:rsidRPr="00CE1EF0" w:rsidRDefault="00CE1EF0" w:rsidP="00CE1EF0">
      <w:pPr>
        <w:jc w:val="both"/>
        <w:rPr>
          <w:sz w:val="20"/>
          <w:szCs w:val="20"/>
        </w:rPr>
      </w:pPr>
    </w:p>
    <w:p w:rsidR="00CE1EF0" w:rsidRPr="00CE1EF0" w:rsidRDefault="00CE1EF0" w:rsidP="00CE1EF0">
      <w:pPr>
        <w:jc w:val="both"/>
        <w:rPr>
          <w:sz w:val="20"/>
          <w:szCs w:val="20"/>
          <w:lang w:val="es-MX"/>
        </w:rPr>
      </w:pPr>
      <w:r>
        <w:rPr>
          <w:sz w:val="20"/>
          <w:szCs w:val="20"/>
        </w:rPr>
        <w:t>5.</w:t>
      </w:r>
      <w:r>
        <w:rPr>
          <w:sz w:val="20"/>
          <w:szCs w:val="20"/>
        </w:rPr>
        <w:tab/>
      </w:r>
      <w:r w:rsidRPr="00CE1EF0">
        <w:rPr>
          <w:sz w:val="20"/>
          <w:szCs w:val="20"/>
        </w:rPr>
        <w:t>El Estado debe publicar anualmente un informe oficial con los datos relativos a las muertes producidas durante operativos de la policía en todos los estados del país. Dicho informe debe también contener información actualizada anualmente sobre las investigaciones realizadas respecto a cada incidente resultante en la muerte de un civil o de un policía, en el sentido dispuesto en los párrafos 316 y 317 de la Sentencia.</w:t>
      </w:r>
    </w:p>
    <w:p w:rsidR="002E376C" w:rsidRPr="00CE1EF0" w:rsidRDefault="002E376C" w:rsidP="00CE1EF0">
      <w:pPr>
        <w:pStyle w:val="Prrafodelista"/>
        <w:tabs>
          <w:tab w:val="left" w:pos="720"/>
        </w:tabs>
        <w:ind w:left="0" w:right="-90"/>
        <w:contextualSpacing w:val="0"/>
        <w:jc w:val="both"/>
        <w:rPr>
          <w:rFonts w:eastAsia="Cambria" w:cs="Times New Roman"/>
          <w:bCs/>
          <w:sz w:val="20"/>
          <w:szCs w:val="20"/>
          <w:lang w:val="es-ES"/>
        </w:rPr>
      </w:pPr>
    </w:p>
    <w:p w:rsidR="00CE1EF0" w:rsidRPr="00CE1EF0" w:rsidRDefault="00CE1EF0" w:rsidP="00CE1EF0">
      <w:pPr>
        <w:pStyle w:val="Prrafodelista"/>
        <w:tabs>
          <w:tab w:val="left" w:pos="720"/>
        </w:tabs>
        <w:ind w:left="0" w:right="-90"/>
        <w:contextualSpacing w:val="0"/>
        <w:jc w:val="both"/>
        <w:rPr>
          <w:sz w:val="20"/>
          <w:szCs w:val="20"/>
        </w:rPr>
      </w:pPr>
      <w:r w:rsidRPr="00CE1EF0">
        <w:rPr>
          <w:sz w:val="20"/>
          <w:szCs w:val="20"/>
        </w:rPr>
        <w:t>6.</w:t>
      </w:r>
      <w:r>
        <w:rPr>
          <w:sz w:val="20"/>
          <w:szCs w:val="20"/>
        </w:rPr>
        <w:tab/>
      </w:r>
      <w:r w:rsidRPr="00CE1EF0">
        <w:rPr>
          <w:sz w:val="20"/>
          <w:szCs w:val="20"/>
        </w:rPr>
        <w:t xml:space="preserve">El Estado, dentro del plazo de un año contado a partir de la notificación de la Sentencia, debe establecer los mecanismos normativos necesarios para que en supuestos de presuntas muertes, tortura o violencia sexual derivadas de intervención policial, en que prima facie aparezca como posible imputado personal policial, desde la notitia criminis se encargue la investigación a un órgano independiente y diferente de la fuerza pública involucrada en el incidente, tales como una autoridad judicial o el Ministerio Público, asistido por personal policial, técnico criminalístico y administrativo ajeno al cuerpo de seguridad al que pertenezca el posible imputado o imputados, de conformidad con los párrafos 318 y 319 de la Sentencia. </w:t>
      </w:r>
    </w:p>
    <w:p w:rsidR="00CE1EF0" w:rsidRPr="00CE1EF0" w:rsidRDefault="00CE1EF0" w:rsidP="00CE1EF0">
      <w:pPr>
        <w:pStyle w:val="Prrafodelista"/>
        <w:tabs>
          <w:tab w:val="left" w:pos="720"/>
        </w:tabs>
        <w:ind w:left="0" w:right="-90"/>
        <w:contextualSpacing w:val="0"/>
        <w:jc w:val="both"/>
        <w:rPr>
          <w:sz w:val="20"/>
          <w:szCs w:val="20"/>
        </w:rPr>
      </w:pPr>
    </w:p>
    <w:p w:rsidR="00CE1EF0" w:rsidRPr="00CE1EF0" w:rsidRDefault="00CE1EF0" w:rsidP="00CE1EF0">
      <w:pPr>
        <w:pStyle w:val="Prrafodelista"/>
        <w:tabs>
          <w:tab w:val="left" w:pos="720"/>
        </w:tabs>
        <w:ind w:left="0" w:right="-90"/>
        <w:contextualSpacing w:val="0"/>
        <w:jc w:val="both"/>
        <w:rPr>
          <w:sz w:val="20"/>
          <w:szCs w:val="20"/>
        </w:rPr>
      </w:pPr>
      <w:r>
        <w:rPr>
          <w:sz w:val="20"/>
          <w:szCs w:val="20"/>
        </w:rPr>
        <w:t>7.</w:t>
      </w:r>
      <w:r>
        <w:rPr>
          <w:sz w:val="20"/>
          <w:szCs w:val="20"/>
        </w:rPr>
        <w:tab/>
      </w:r>
      <w:r w:rsidRPr="00CE1EF0">
        <w:rPr>
          <w:sz w:val="20"/>
          <w:szCs w:val="20"/>
        </w:rPr>
        <w:t xml:space="preserve">El Estado debe adoptar las medidas necesarias para que el Estado de Río de Janeiro establezca metas y políticas de reducción de la letalidad y la violencia policial, en los términos de los párrafos 321 y 322 de la Sentencia. </w:t>
      </w:r>
    </w:p>
    <w:p w:rsidR="00CE1EF0" w:rsidRPr="00CE1EF0" w:rsidRDefault="00CE1EF0" w:rsidP="00CE1EF0">
      <w:pPr>
        <w:pStyle w:val="Prrafodelista"/>
        <w:tabs>
          <w:tab w:val="left" w:pos="720"/>
        </w:tabs>
        <w:ind w:left="0" w:right="-90"/>
        <w:contextualSpacing w:val="0"/>
        <w:jc w:val="both"/>
        <w:rPr>
          <w:sz w:val="20"/>
          <w:szCs w:val="20"/>
        </w:rPr>
      </w:pPr>
    </w:p>
    <w:p w:rsidR="00CE1EF0" w:rsidRPr="00CE1EF0" w:rsidRDefault="00CE1EF0" w:rsidP="00CE1EF0">
      <w:pPr>
        <w:pStyle w:val="Prrafodelista"/>
        <w:tabs>
          <w:tab w:val="left" w:pos="720"/>
        </w:tabs>
        <w:ind w:left="0" w:right="-90"/>
        <w:contextualSpacing w:val="0"/>
        <w:jc w:val="both"/>
        <w:rPr>
          <w:sz w:val="20"/>
          <w:szCs w:val="20"/>
        </w:rPr>
      </w:pPr>
      <w:r>
        <w:rPr>
          <w:sz w:val="20"/>
          <w:szCs w:val="20"/>
        </w:rPr>
        <w:t>8.</w:t>
      </w:r>
      <w:r>
        <w:rPr>
          <w:sz w:val="20"/>
          <w:szCs w:val="20"/>
        </w:rPr>
        <w:tab/>
      </w:r>
      <w:r w:rsidRPr="00CE1EF0">
        <w:rPr>
          <w:sz w:val="20"/>
          <w:szCs w:val="20"/>
        </w:rPr>
        <w:t xml:space="preserve">El Estado debe implementar, en un plazo razonable, un programa o curso permanente y obligatorio sobre atención a mujeres víctimas de violación sexual, dirigido a todos los niveles jerárquicos de las Policías Civil y Militar de Río de Janeiro y a funcionarios de atención </w:t>
      </w:r>
      <w:r w:rsidRPr="00CE1EF0">
        <w:rPr>
          <w:sz w:val="20"/>
          <w:szCs w:val="20"/>
        </w:rPr>
        <w:lastRenderedPageBreak/>
        <w:t xml:space="preserve">de salud. Como parte de esta formación, se deberá incluir la Sentencia, la jurisprudencia de la Corte Interamericana respecto a violencia sexual y tortura, así como los estándares internacionales en materia de atención a víctimas e investigación de ese tipo de casos, en el sentido dispuesto en los párrafos 323 y 324 de la Sentencia. </w:t>
      </w:r>
    </w:p>
    <w:p w:rsidR="00CE1EF0" w:rsidRPr="00CE1EF0" w:rsidRDefault="00CE1EF0" w:rsidP="00CE1EF0">
      <w:pPr>
        <w:pStyle w:val="Prrafodelista"/>
        <w:tabs>
          <w:tab w:val="left" w:pos="720"/>
        </w:tabs>
        <w:ind w:left="0" w:right="-90"/>
        <w:contextualSpacing w:val="0"/>
        <w:jc w:val="both"/>
        <w:rPr>
          <w:sz w:val="20"/>
          <w:szCs w:val="20"/>
        </w:rPr>
      </w:pPr>
    </w:p>
    <w:p w:rsidR="00CE1EF0" w:rsidRPr="00CE1EF0" w:rsidRDefault="00CE1EF0" w:rsidP="00CE1EF0">
      <w:pPr>
        <w:pStyle w:val="Prrafodelista"/>
        <w:tabs>
          <w:tab w:val="left" w:pos="720"/>
        </w:tabs>
        <w:ind w:left="0" w:right="-90"/>
        <w:contextualSpacing w:val="0"/>
        <w:jc w:val="both"/>
        <w:rPr>
          <w:sz w:val="20"/>
          <w:szCs w:val="20"/>
        </w:rPr>
      </w:pPr>
      <w:r>
        <w:rPr>
          <w:sz w:val="20"/>
          <w:szCs w:val="20"/>
        </w:rPr>
        <w:t>9.</w:t>
      </w:r>
      <w:r>
        <w:rPr>
          <w:sz w:val="20"/>
          <w:szCs w:val="20"/>
        </w:rPr>
        <w:tab/>
      </w:r>
      <w:r w:rsidRPr="00CE1EF0">
        <w:rPr>
          <w:sz w:val="20"/>
          <w:szCs w:val="20"/>
        </w:rPr>
        <w:t xml:space="preserve">El Estado debe adoptar las medidas legislativas o de otra índole necesarias para permitir a las víctimas de delitos o sus familiares participar de manera formal y efectiva en la investigación de delitos realizada por la policía o el Ministerio Público, en el sentido dispuesto en el párrafo 329 de la Sentencia. </w:t>
      </w:r>
    </w:p>
    <w:p w:rsidR="00CE1EF0" w:rsidRPr="00CE1EF0" w:rsidRDefault="00CE1EF0" w:rsidP="00CE1EF0">
      <w:pPr>
        <w:pStyle w:val="Prrafodelista"/>
        <w:tabs>
          <w:tab w:val="left" w:pos="720"/>
        </w:tabs>
        <w:ind w:left="0" w:right="-90"/>
        <w:contextualSpacing w:val="0"/>
        <w:jc w:val="both"/>
        <w:rPr>
          <w:sz w:val="20"/>
          <w:szCs w:val="20"/>
        </w:rPr>
      </w:pPr>
    </w:p>
    <w:p w:rsidR="00CE1EF0" w:rsidRPr="00CE1EF0" w:rsidRDefault="00CE1EF0" w:rsidP="00CE1EF0">
      <w:pPr>
        <w:pStyle w:val="Prrafodelista"/>
        <w:tabs>
          <w:tab w:val="left" w:pos="720"/>
        </w:tabs>
        <w:ind w:left="0" w:right="-90"/>
        <w:contextualSpacing w:val="0"/>
        <w:jc w:val="both"/>
        <w:rPr>
          <w:rFonts w:eastAsia="Cambria" w:cs="Times New Roman"/>
          <w:bCs/>
          <w:sz w:val="20"/>
          <w:szCs w:val="20"/>
          <w:lang w:val="es-ES"/>
        </w:rPr>
      </w:pPr>
      <w:r>
        <w:rPr>
          <w:sz w:val="20"/>
          <w:szCs w:val="20"/>
        </w:rPr>
        <w:t>10.</w:t>
      </w:r>
      <w:r>
        <w:rPr>
          <w:sz w:val="20"/>
          <w:szCs w:val="20"/>
        </w:rPr>
        <w:tab/>
      </w:r>
      <w:r w:rsidRPr="00CE1EF0">
        <w:rPr>
          <w:sz w:val="20"/>
          <w:szCs w:val="20"/>
        </w:rPr>
        <w:t>El Estado debe adoptar las medidas necesarias para uniformar la expresión “lesión corporal u homicidio derivada de intervención policial” en los reportes e investigaciones realizadas por la policía o el Ministerio Público en casos de muertes o lesiones provocadas por la actuación policial. El concepto de “oposición” o “resistencia” a la actuación policial debe ser abolido, en el sentido dispuesto en los párrafos 333 a 335 de la Sentencia.</w:t>
      </w:r>
    </w:p>
    <w:p w:rsidR="00AA6B2F" w:rsidRDefault="00AA6B2F" w:rsidP="002E376C">
      <w:pPr>
        <w:pStyle w:val="Prrafodelista"/>
        <w:tabs>
          <w:tab w:val="left" w:pos="720"/>
        </w:tabs>
        <w:ind w:left="0" w:right="-90"/>
        <w:contextualSpacing w:val="0"/>
        <w:rPr>
          <w:rFonts w:eastAsia="Cambria" w:cs="Times New Roman"/>
          <w:bCs/>
          <w:sz w:val="20"/>
          <w:szCs w:val="20"/>
          <w:lang w:val="es-ES"/>
        </w:rPr>
      </w:pPr>
    </w:p>
    <w:p w:rsidR="00C4747D" w:rsidRDefault="00AA6B2F" w:rsidP="00B32A37">
      <w:pPr>
        <w:jc w:val="both"/>
        <w:rPr>
          <w:b/>
          <w:sz w:val="20"/>
          <w:szCs w:val="20"/>
          <w:lang w:val="es-ES"/>
        </w:rPr>
      </w:pPr>
      <w:r>
        <w:rPr>
          <w:b/>
          <w:sz w:val="20"/>
          <w:szCs w:val="20"/>
          <w:lang w:val="es-ES"/>
        </w:rPr>
        <w:t>Cumplimiento parcial:</w:t>
      </w:r>
    </w:p>
    <w:p w:rsidR="00AA6B2F" w:rsidRDefault="00AA6B2F" w:rsidP="00B32A37">
      <w:pPr>
        <w:jc w:val="both"/>
        <w:rPr>
          <w:b/>
          <w:sz w:val="20"/>
          <w:szCs w:val="20"/>
          <w:lang w:val="es-ES"/>
        </w:rPr>
      </w:pPr>
    </w:p>
    <w:p w:rsidR="008319AF" w:rsidRPr="00CE1EF0" w:rsidRDefault="00CE1EF0" w:rsidP="008319AF">
      <w:pPr>
        <w:jc w:val="both"/>
        <w:rPr>
          <w:rFonts w:eastAsia="Cambria" w:cs="Times New Roman"/>
          <w:bCs/>
          <w:sz w:val="24"/>
          <w:szCs w:val="20"/>
        </w:rPr>
      </w:pPr>
      <w:r>
        <w:rPr>
          <w:sz w:val="20"/>
        </w:rPr>
        <w:t>11</w:t>
      </w:r>
      <w:r w:rsidRPr="00CE1EF0">
        <w:rPr>
          <w:sz w:val="20"/>
        </w:rPr>
        <w:t>.</w:t>
      </w:r>
      <w:r w:rsidRPr="00CE1EF0">
        <w:rPr>
          <w:sz w:val="20"/>
        </w:rPr>
        <w:tab/>
      </w:r>
      <w:r w:rsidR="008319AF" w:rsidRPr="00CE1EF0">
        <w:rPr>
          <w:sz w:val="20"/>
        </w:rPr>
        <w:t>El Estado debe pagar las cantidades fijadas en el párrafo 353 de la Sentencia, por concepto de indemnizaciones por daño inmaterial</w:t>
      </w:r>
      <w:r w:rsidR="008319AF">
        <w:rPr>
          <w:sz w:val="20"/>
        </w:rPr>
        <w:t>.</w:t>
      </w:r>
    </w:p>
    <w:p w:rsidR="00AA6B2F" w:rsidRDefault="00AA6B2F" w:rsidP="00AA6B2F">
      <w:pPr>
        <w:tabs>
          <w:tab w:val="left" w:pos="720"/>
        </w:tabs>
        <w:ind w:right="-90"/>
        <w:jc w:val="both"/>
        <w:rPr>
          <w:rFonts w:eastAsia="Cambria" w:cs="Times New Roman"/>
          <w:bCs/>
          <w:sz w:val="20"/>
          <w:szCs w:val="20"/>
          <w:lang w:val="es-ES"/>
        </w:rPr>
      </w:pPr>
    </w:p>
    <w:p w:rsidR="00AA6B2F" w:rsidRDefault="00CE1EF0" w:rsidP="00AA6B2F">
      <w:pPr>
        <w:tabs>
          <w:tab w:val="left" w:pos="720"/>
        </w:tabs>
        <w:ind w:right="-90"/>
        <w:jc w:val="both"/>
        <w:rPr>
          <w:rFonts w:eastAsia="Cambria" w:cs="Times New Roman"/>
          <w:bCs/>
          <w:sz w:val="20"/>
          <w:szCs w:val="20"/>
          <w:lang w:val="es-ES"/>
        </w:rPr>
      </w:pPr>
      <w:r>
        <w:rPr>
          <w:rFonts w:eastAsia="Cambria" w:cs="Times New Roman"/>
          <w:bCs/>
          <w:sz w:val="20"/>
          <w:szCs w:val="20"/>
          <w:lang w:val="es-ES"/>
        </w:rPr>
        <w:t>En los considerandos 26 y 27</w:t>
      </w:r>
      <w:r w:rsidR="00AA6B2F">
        <w:rPr>
          <w:rFonts w:eastAsia="Cambria" w:cs="Times New Roman"/>
          <w:bCs/>
          <w:sz w:val="20"/>
          <w:szCs w:val="20"/>
          <w:lang w:val="es-ES"/>
        </w:rPr>
        <w:t xml:space="preserve"> de la resolución de </w:t>
      </w:r>
      <w:r>
        <w:rPr>
          <w:rFonts w:eastAsia="Cambria" w:cs="Times New Roman"/>
          <w:bCs/>
          <w:sz w:val="20"/>
          <w:szCs w:val="20"/>
          <w:lang w:val="es-ES"/>
        </w:rPr>
        <w:t>25</w:t>
      </w:r>
      <w:r w:rsidR="00AA6B2F">
        <w:rPr>
          <w:rFonts w:eastAsia="Cambria" w:cs="Times New Roman"/>
          <w:bCs/>
          <w:sz w:val="20"/>
          <w:szCs w:val="20"/>
          <w:lang w:val="es-ES"/>
        </w:rPr>
        <w:t xml:space="preserve"> de </w:t>
      </w:r>
      <w:r>
        <w:rPr>
          <w:rFonts w:eastAsia="Cambria" w:cs="Times New Roman"/>
          <w:bCs/>
          <w:sz w:val="20"/>
          <w:szCs w:val="20"/>
          <w:lang w:val="es-ES"/>
        </w:rPr>
        <w:t>noviembre</w:t>
      </w:r>
      <w:r w:rsidR="00AA6B2F">
        <w:rPr>
          <w:rFonts w:eastAsia="Cambria" w:cs="Times New Roman"/>
          <w:bCs/>
          <w:sz w:val="20"/>
          <w:szCs w:val="20"/>
          <w:lang w:val="es-ES"/>
        </w:rPr>
        <w:t xml:space="preserve"> de 2021, se explica </w:t>
      </w:r>
      <w:r w:rsidR="00AA6B2F" w:rsidRPr="00AA6B2F">
        <w:rPr>
          <w:rFonts w:eastAsia="Cambria" w:cs="Times New Roman"/>
          <w:bCs/>
          <w:sz w:val="20"/>
          <w:szCs w:val="20"/>
          <w:lang w:val="es-ES"/>
        </w:rPr>
        <w:t>lo que continúa pendiente de cumplimiento respecto a la presente medida de reparación:</w:t>
      </w:r>
    </w:p>
    <w:p w:rsidR="00AA6B2F" w:rsidRDefault="00AA6B2F" w:rsidP="00AA6B2F">
      <w:pPr>
        <w:tabs>
          <w:tab w:val="left" w:pos="720"/>
        </w:tabs>
        <w:ind w:right="-90"/>
        <w:jc w:val="both"/>
        <w:rPr>
          <w:rFonts w:eastAsia="Cambria" w:cs="Times New Roman"/>
          <w:bCs/>
          <w:sz w:val="20"/>
          <w:szCs w:val="20"/>
          <w:lang w:val="es-ES"/>
        </w:rPr>
      </w:pPr>
    </w:p>
    <w:p w:rsidR="00CE1EF0" w:rsidRDefault="00CE1EF0" w:rsidP="00AA6B2F">
      <w:pPr>
        <w:tabs>
          <w:tab w:val="left" w:pos="720"/>
        </w:tabs>
        <w:ind w:left="567" w:right="567"/>
        <w:jc w:val="both"/>
        <w:rPr>
          <w:rFonts w:eastAsia="Cambria" w:cs="Times New Roman"/>
          <w:bCs/>
          <w:sz w:val="18"/>
          <w:szCs w:val="20"/>
        </w:rPr>
      </w:pPr>
      <w:r w:rsidRPr="00CE1EF0">
        <w:rPr>
          <w:rFonts w:eastAsia="Cambria" w:cs="Times New Roman"/>
          <w:bCs/>
          <w:sz w:val="18"/>
          <w:szCs w:val="20"/>
        </w:rPr>
        <w:t>26. En este sentido, se solicita a Brasil presentar información actualizada y detallada con respecto al cumplimiento de la presente medida con relación a las dieciséis víctimas que aún no han recibido el pago (supra Considerando 25). En particular, se solicita que informe sobre: (i) el estado en que se encuentran las Acciones de Cumplimiento iniciadas respecto de las cuatro víctimas fallecidas mencionadas en el Considerando 23; (ii) las medidas que ha adoptado a los fines de localizar a las once víctimas cuyo paradero se desconoce o, en su defecto, para realizar el depósito judicial de las indemnizaciones que les corresponden, y (iii) informar sobre el estado de la consulta realizada con respecto a la solicitud de las representantes de realizar el pago de la indemnización correspondiente a la víctima Diogo</w:t>
      </w:r>
      <w:r>
        <w:rPr>
          <w:rFonts w:eastAsia="Cambria" w:cs="Times New Roman"/>
          <w:bCs/>
          <w:sz w:val="18"/>
          <w:szCs w:val="20"/>
        </w:rPr>
        <w:t xml:space="preserve"> </w:t>
      </w:r>
      <w:r w:rsidRPr="00CE1EF0">
        <w:rPr>
          <w:rFonts w:eastAsia="Cambria" w:cs="Times New Roman"/>
          <w:bCs/>
          <w:sz w:val="18"/>
          <w:szCs w:val="20"/>
        </w:rPr>
        <w:t>Vieira dos Santos directamente a sus derechohabientes, dado cuenta de que, según indican sus familiares, este se encontraría desapa</w:t>
      </w:r>
      <w:r>
        <w:rPr>
          <w:rFonts w:eastAsia="Cambria" w:cs="Times New Roman"/>
          <w:bCs/>
          <w:sz w:val="18"/>
          <w:szCs w:val="20"/>
        </w:rPr>
        <w:t>recido (supra Considerando 24).</w:t>
      </w:r>
    </w:p>
    <w:p w:rsidR="00CE1EF0" w:rsidRDefault="00CE1EF0" w:rsidP="00AA6B2F">
      <w:pPr>
        <w:tabs>
          <w:tab w:val="left" w:pos="720"/>
        </w:tabs>
        <w:ind w:left="567" w:right="567"/>
        <w:jc w:val="both"/>
        <w:rPr>
          <w:rFonts w:eastAsia="Cambria" w:cs="Times New Roman"/>
          <w:bCs/>
          <w:sz w:val="18"/>
          <w:szCs w:val="20"/>
        </w:rPr>
      </w:pPr>
    </w:p>
    <w:p w:rsidR="00AA6B2F" w:rsidRPr="00AA6B2F" w:rsidRDefault="00CE1EF0" w:rsidP="00AA6B2F">
      <w:pPr>
        <w:tabs>
          <w:tab w:val="left" w:pos="720"/>
        </w:tabs>
        <w:ind w:left="567" w:right="567"/>
        <w:jc w:val="both"/>
        <w:rPr>
          <w:rFonts w:eastAsia="Cambria" w:cs="Times New Roman"/>
          <w:bCs/>
          <w:sz w:val="18"/>
          <w:szCs w:val="20"/>
        </w:rPr>
      </w:pPr>
      <w:r w:rsidRPr="00CE1EF0">
        <w:rPr>
          <w:rFonts w:eastAsia="Cambria" w:cs="Times New Roman"/>
          <w:bCs/>
          <w:sz w:val="18"/>
          <w:szCs w:val="20"/>
        </w:rPr>
        <w:t xml:space="preserve">27. Con base en las anteriores consideraciones, la Corte concluye que el Estado ha cumplido parcialmente con el pago de las cantidades fijadas en la Sentencia por concepto de indemnización del daño inmaterial, esto en razón de que pagó a las siguientes 61 víctimas: 1) Adriana Melo Rodrigues; 2) Adriana Vianna dos Santos; 3) Alberto da Silva; 4) Alessandra Vianna Vieira; 5) Beatriz Fonseca Costa; 6) Bruna Fonseca Costa; 7) Cátia Regina Almeida da Silva; 8) Cecília Cristina do Nascimento; 9) Cesar Braga Castor; 10) Dalvaci Melo Rodrigues; 11) Diogo da Silva Genoveva; 12) Eva Maria Santos de Moura; 13) Helena Vianna; 14) João Alves de Moura; 15) Joyce Neri da Silva Dantas; 16) Jucelena Rocha dos Santos Ribeiro de Souza; 17) Lucas Abreu da Silva; 18) Lucia Helena Neri da Silva; 19) Mac Laine Faria Neves; 20) Maria das Graças da Silva; 21) Otacílio Costa; 22) Pricila da Silva Rodrigues; 23) Robson Genuino dos Santos Junior; 24) Rogerio Genuino dos Santos; 25) Rosane da Silva Genoveva; 26) Roseane dos Santos; 27) Rosileide Rodrigues do Nascimento; 28) Samuel da Silva Rodrigues; 29) Thiago da Silva; 30) Vera Lúcia Santos de Miranda; 31) Vera Lucia Ribeiro Castor; 32) William Mariano dos Santos; 33) C.S.S.; 34) Edson Faria Neves; 35) Evelyn Santos de Souza Rodrigues; 36) L.R.J.; 37) Mônica Santos de Souza Rodrigues; 38) Océlia Rosa; 39) Francisco José de Souza; 40) Ronald Marcos de Souza; 41) Luiz Henrique de Souza; 42) Sandro Vianna dos Santos; 43) Martinha Martins de Souza; 44) Valdemar da Silveira Dutra; 45) Geni Pereira </w:t>
      </w:r>
      <w:r w:rsidRPr="00CE1EF0">
        <w:rPr>
          <w:rFonts w:eastAsia="Cambria" w:cs="Times New Roman"/>
          <w:bCs/>
          <w:sz w:val="18"/>
          <w:szCs w:val="20"/>
        </w:rPr>
        <w:lastRenderedPageBreak/>
        <w:t>Dutra; 46) Shirley de Almeida; 47) Michelle Mariano dos Santos; 48) Aline da Silva; 49) Eliane Elene Fernandes Vieira; 50) Georgina Soares Pinto; 51) Josefa Maria de Souza; 52) Paulo Roberto Felix; 53) Pedro Marciano dos Reis; 54) Rosemary Alves dos Reis Carvalho; 55) Vinicius Ramos de Oliveira; 56) Hilda Alves dos Reis; 57) João Batista de Souza; 58) Maria da Conceição Sampaio; 59) Newton Ramos de Oliveira; 60) Valdenice Fernandes Vieira, y 61) Daniel Paulino da Silva. Queda pendiente el cumplimiento de la presente medida con respecto a las siguientes dieciseis víctimas o sus derechohabientes: 1) J.F.C.; 2) Norival Pinto Donato; 3) Célia da Cruz Silva; 4) Nilcéia de Oliveira; 5) Efigênia Margarida Alves; 6) Sérgio Rosa Mendes; 7) Sônia Maria Mendes; 8) Paulo Cesar da Silva Porto; 9) Geraldo José da Silva Filho; 10) Georgina Abrantes; 11) Vera Lucia Jacinto da Silva; 12) Diogo Vieira dos Santos; 13) Zeferino Marques de Oliveira; 14) Alcides Ramos; 15) Neuza Ribeiro Raymundo, y 16) Waldomiro Genoveva.</w:t>
      </w:r>
    </w:p>
    <w:p w:rsidR="00AA6B2F" w:rsidRPr="00AA6B2F" w:rsidRDefault="00AA6B2F" w:rsidP="00B32A37">
      <w:pPr>
        <w:jc w:val="both"/>
        <w:rPr>
          <w:b/>
          <w:sz w:val="20"/>
          <w:szCs w:val="20"/>
          <w:lang w:val="es-ES"/>
        </w:rPr>
      </w:pPr>
    </w:p>
    <w:p w:rsidR="00D3440D" w:rsidRPr="002E376C" w:rsidRDefault="00D3440D" w:rsidP="00D3440D">
      <w:pPr>
        <w:jc w:val="both"/>
        <w:rPr>
          <w:sz w:val="20"/>
          <w:szCs w:val="20"/>
        </w:rPr>
      </w:pPr>
    </w:p>
    <w:sectPr w:rsidR="00D3440D" w:rsidRPr="002E376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D1E" w:rsidRDefault="006D5D1E" w:rsidP="009F7EF4">
      <w:r>
        <w:separator/>
      </w:r>
    </w:p>
  </w:endnote>
  <w:endnote w:type="continuationSeparator" w:id="0">
    <w:p w:rsidR="006D5D1E" w:rsidRDefault="006D5D1E"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D1E" w:rsidRDefault="006D5D1E" w:rsidP="009F7EF4">
      <w:r>
        <w:separator/>
      </w:r>
    </w:p>
  </w:footnote>
  <w:footnote w:type="continuationSeparator" w:id="0">
    <w:p w:rsidR="006D5D1E" w:rsidRDefault="006D5D1E"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897709"/>
      <w:docPartObj>
        <w:docPartGallery w:val="Page Numbers (Top of Page)"/>
        <w:docPartUnique/>
      </w:docPartObj>
    </w:sdtPr>
    <w:sdtEndPr>
      <w:rPr>
        <w:noProof/>
        <w:sz w:val="20"/>
        <w:szCs w:val="20"/>
      </w:rPr>
    </w:sdtEndPr>
    <w:sdtContent>
      <w:p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319AF">
          <w:rPr>
            <w:noProof/>
            <w:sz w:val="20"/>
            <w:szCs w:val="20"/>
          </w:rPr>
          <w:t>1</w:t>
        </w:r>
        <w:r w:rsidRPr="00675FE7">
          <w:rPr>
            <w:noProof/>
            <w:sz w:val="20"/>
            <w:szCs w:val="20"/>
          </w:rPr>
          <w:fldChar w:fldCharType="end"/>
        </w:r>
      </w:p>
    </w:sdtContent>
  </w:sdt>
  <w:p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EF4"/>
    <w:rsid w:val="000930F6"/>
    <w:rsid w:val="00101CC6"/>
    <w:rsid w:val="001426AA"/>
    <w:rsid w:val="001F3394"/>
    <w:rsid w:val="001F6C31"/>
    <w:rsid w:val="00296F77"/>
    <w:rsid w:val="002B3295"/>
    <w:rsid w:val="002E376C"/>
    <w:rsid w:val="003A7E5E"/>
    <w:rsid w:val="003C561A"/>
    <w:rsid w:val="003F1394"/>
    <w:rsid w:val="00474D04"/>
    <w:rsid w:val="00476F6E"/>
    <w:rsid w:val="005A203D"/>
    <w:rsid w:val="005D1A85"/>
    <w:rsid w:val="00617B3E"/>
    <w:rsid w:val="006A777A"/>
    <w:rsid w:val="006C38A6"/>
    <w:rsid w:val="006D5D1E"/>
    <w:rsid w:val="00792165"/>
    <w:rsid w:val="008319AF"/>
    <w:rsid w:val="00834F1A"/>
    <w:rsid w:val="00926FFB"/>
    <w:rsid w:val="009832C0"/>
    <w:rsid w:val="009D22BE"/>
    <w:rsid w:val="009F7EF4"/>
    <w:rsid w:val="00AA6B2F"/>
    <w:rsid w:val="00AE0035"/>
    <w:rsid w:val="00B11B9B"/>
    <w:rsid w:val="00B32A37"/>
    <w:rsid w:val="00B33305"/>
    <w:rsid w:val="00BA6BA9"/>
    <w:rsid w:val="00BC5824"/>
    <w:rsid w:val="00C4747D"/>
    <w:rsid w:val="00C807CF"/>
    <w:rsid w:val="00CE1EF0"/>
    <w:rsid w:val="00D3440D"/>
    <w:rsid w:val="00D95EAB"/>
    <w:rsid w:val="00E42392"/>
    <w:rsid w:val="00E85D9E"/>
    <w:rsid w:val="00F5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16F0B"/>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1324</Words>
  <Characters>7283</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9</cp:revision>
  <cp:lastPrinted>2022-01-17T21:17:00Z</cp:lastPrinted>
  <dcterms:created xsi:type="dcterms:W3CDTF">2018-07-09T19:23:00Z</dcterms:created>
  <dcterms:modified xsi:type="dcterms:W3CDTF">2022-01-17T21:35:00Z</dcterms:modified>
</cp:coreProperties>
</file>