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AEDBD" w14:textId="77777777" w:rsidR="009F7EF4" w:rsidRPr="00296F77" w:rsidRDefault="009F7EF4" w:rsidP="009F7EF4">
      <w:pPr>
        <w:jc w:val="center"/>
        <w:rPr>
          <w:b/>
          <w:sz w:val="20"/>
          <w:szCs w:val="20"/>
          <w:u w:val="single"/>
          <w:lang w:val="es-MX"/>
        </w:rPr>
      </w:pPr>
      <w:r w:rsidRPr="00296F77">
        <w:rPr>
          <w:b/>
          <w:sz w:val="20"/>
          <w:szCs w:val="20"/>
          <w:u w:val="single"/>
          <w:lang w:val="es-MX"/>
        </w:rPr>
        <w:t xml:space="preserve">Caso </w:t>
      </w:r>
      <w:r w:rsidR="00031964" w:rsidRPr="00031964">
        <w:rPr>
          <w:b/>
          <w:bCs/>
          <w:sz w:val="20"/>
          <w:szCs w:val="20"/>
          <w:u w:val="single"/>
        </w:rPr>
        <w:t>Trabajadores de la Hacienda Brasil Verde</w:t>
      </w:r>
      <w:r w:rsidR="00031964">
        <w:rPr>
          <w:b/>
          <w:bCs/>
          <w:sz w:val="20"/>
          <w:szCs w:val="20"/>
          <w:u w:val="single"/>
        </w:rPr>
        <w:t xml:space="preserve"> </w:t>
      </w:r>
      <w:r w:rsidRPr="00E85D9E">
        <w:rPr>
          <w:b/>
          <w:i/>
          <w:sz w:val="20"/>
          <w:szCs w:val="20"/>
          <w:u w:val="single"/>
          <w:lang w:val="es-MX"/>
        </w:rPr>
        <w:t>Vs.</w:t>
      </w:r>
      <w:r w:rsidRPr="00296F77">
        <w:rPr>
          <w:b/>
          <w:sz w:val="20"/>
          <w:szCs w:val="20"/>
          <w:u w:val="single"/>
          <w:lang w:val="es-MX"/>
        </w:rPr>
        <w:t xml:space="preserve"> Brasil: reparaciones pendientes de cumplimiento</w:t>
      </w:r>
    </w:p>
    <w:p w14:paraId="24AF5AC8" w14:textId="77777777" w:rsidR="00852440" w:rsidRPr="00296F77" w:rsidRDefault="00852440"/>
    <w:p w14:paraId="763A6C71" w14:textId="77777777" w:rsidR="00296F77" w:rsidRDefault="00296F77" w:rsidP="00296F77">
      <w:pPr>
        <w:tabs>
          <w:tab w:val="left" w:pos="709"/>
        </w:tabs>
        <w:ind w:right="99"/>
        <w:jc w:val="both"/>
      </w:pPr>
    </w:p>
    <w:p w14:paraId="62D458DD" w14:textId="574299B4" w:rsidR="00E15E70" w:rsidRDefault="00E15E70" w:rsidP="00E15E70">
      <w:pPr>
        <w:numPr>
          <w:ilvl w:val="0"/>
          <w:numId w:val="6"/>
        </w:numPr>
        <w:tabs>
          <w:tab w:val="left" w:pos="720"/>
        </w:tabs>
        <w:ind w:right="-90"/>
        <w:contextualSpacing/>
        <w:jc w:val="both"/>
        <w:rPr>
          <w:rFonts w:eastAsia="Cambria" w:cs="Times New Roman"/>
          <w:bCs/>
          <w:sz w:val="20"/>
          <w:szCs w:val="20"/>
        </w:rPr>
      </w:pPr>
      <w:r w:rsidRPr="00281AAD">
        <w:rPr>
          <w:rFonts w:eastAsia="Cambria" w:cs="Arial"/>
          <w:iCs/>
          <w:sz w:val="20"/>
          <w:szCs w:val="20"/>
        </w:rPr>
        <w:t>Adoptar, dentro de un plazo razonable a partir de la notificación de la Sentencia, las medidas necesarias para garantizar que la prescripción no sea aplicada al delito de derecho internacional de esclavitud y sus formas análogas, en el sentido dispuesto en los párrafos 454 y 455 de la Sentencia</w:t>
      </w:r>
      <w:r w:rsidRPr="00281AAD">
        <w:rPr>
          <w:rFonts w:eastAsia="Cambria" w:cs="Times New Roman"/>
          <w:bCs/>
          <w:sz w:val="20"/>
          <w:szCs w:val="20"/>
        </w:rPr>
        <w:t>.</w:t>
      </w:r>
    </w:p>
    <w:p w14:paraId="0761EFD4" w14:textId="77777777" w:rsidR="002A0D97" w:rsidRDefault="002A0D97" w:rsidP="002A0D97">
      <w:pPr>
        <w:pStyle w:val="Prrafodelista"/>
        <w:rPr>
          <w:rFonts w:eastAsia="Cambria" w:cs="Times New Roman"/>
          <w:bCs/>
          <w:sz w:val="20"/>
          <w:szCs w:val="20"/>
        </w:rPr>
      </w:pPr>
    </w:p>
    <w:p w14:paraId="533A4DD0" w14:textId="77777777" w:rsidR="002A0D97" w:rsidRPr="002A0D97" w:rsidRDefault="002A0D97" w:rsidP="002A0D97">
      <w:pPr>
        <w:tabs>
          <w:tab w:val="left" w:pos="720"/>
        </w:tabs>
        <w:ind w:right="-90"/>
        <w:contextualSpacing/>
        <w:jc w:val="both"/>
        <w:rPr>
          <w:rFonts w:eastAsia="Cambria" w:cs="Times New Roman"/>
          <w:b/>
          <w:bCs/>
          <w:sz w:val="20"/>
          <w:szCs w:val="20"/>
        </w:rPr>
      </w:pPr>
      <w:r w:rsidRPr="002A0D97">
        <w:rPr>
          <w:rFonts w:eastAsia="Cambria" w:cs="Times New Roman"/>
          <w:b/>
          <w:bCs/>
          <w:sz w:val="20"/>
          <w:szCs w:val="20"/>
        </w:rPr>
        <w:t>Cumplimiento parcial</w:t>
      </w:r>
      <w:r>
        <w:rPr>
          <w:rFonts w:eastAsia="Cambria" w:cs="Times New Roman"/>
          <w:b/>
          <w:bCs/>
          <w:sz w:val="20"/>
          <w:szCs w:val="20"/>
        </w:rPr>
        <w:t>:</w:t>
      </w:r>
    </w:p>
    <w:p w14:paraId="7EC80E6F" w14:textId="77777777" w:rsidR="00E15E70" w:rsidRPr="00281AAD" w:rsidRDefault="00E15E70" w:rsidP="00E15E70">
      <w:pPr>
        <w:ind w:right="-90"/>
        <w:contextualSpacing/>
        <w:jc w:val="both"/>
        <w:rPr>
          <w:rFonts w:eastAsia="MS Mincho" w:cs="Times New Roman"/>
          <w:bCs/>
          <w:sz w:val="20"/>
          <w:szCs w:val="20"/>
          <w:lang w:bidi="en-US"/>
        </w:rPr>
      </w:pPr>
    </w:p>
    <w:p w14:paraId="06341566" w14:textId="77777777" w:rsidR="00E1347D" w:rsidRDefault="00E1347D" w:rsidP="00371C52">
      <w:pPr>
        <w:numPr>
          <w:ilvl w:val="0"/>
          <w:numId w:val="6"/>
        </w:numPr>
        <w:tabs>
          <w:tab w:val="left" w:pos="720"/>
        </w:tabs>
        <w:ind w:right="-90"/>
        <w:contextualSpacing/>
        <w:jc w:val="both"/>
        <w:rPr>
          <w:rFonts w:eastAsia="Cambria" w:cs="Times New Roman"/>
          <w:bCs/>
          <w:sz w:val="20"/>
          <w:szCs w:val="20"/>
        </w:rPr>
      </w:pPr>
      <w:r>
        <w:rPr>
          <w:rFonts w:eastAsia="Cambria" w:cs="Times New Roman"/>
          <w:bCs/>
          <w:sz w:val="20"/>
          <w:szCs w:val="20"/>
        </w:rPr>
        <w:t xml:space="preserve">Pagar las cantidades fijadas en el párrafo 487 de la Sentencia, por concepto de indemnizaciones por daño inmaterial. </w:t>
      </w:r>
    </w:p>
    <w:p w14:paraId="0862DB5A" w14:textId="77777777" w:rsidR="00D26ADD" w:rsidRDefault="00D26ADD" w:rsidP="00D26ADD">
      <w:pPr>
        <w:tabs>
          <w:tab w:val="left" w:pos="720"/>
        </w:tabs>
        <w:ind w:right="-90"/>
        <w:contextualSpacing/>
        <w:jc w:val="both"/>
        <w:rPr>
          <w:rFonts w:eastAsia="Cambria" w:cs="Times New Roman"/>
          <w:bCs/>
          <w:sz w:val="20"/>
          <w:szCs w:val="20"/>
        </w:rPr>
      </w:pPr>
    </w:p>
    <w:p w14:paraId="4BCA7AC1" w14:textId="3A880E75" w:rsidR="00D26ADD" w:rsidRDefault="00D26ADD" w:rsidP="00D26ADD">
      <w:pPr>
        <w:tabs>
          <w:tab w:val="left" w:pos="720"/>
        </w:tabs>
        <w:ind w:right="-90"/>
        <w:contextualSpacing/>
        <w:jc w:val="both"/>
        <w:rPr>
          <w:rFonts w:eastAsia="Cambria" w:cs="Times New Roman"/>
          <w:bCs/>
          <w:sz w:val="20"/>
          <w:szCs w:val="20"/>
        </w:rPr>
      </w:pPr>
      <w:r w:rsidRPr="007D5EAA">
        <w:rPr>
          <w:rFonts w:eastAsia="Cambria" w:cs="Times New Roman"/>
          <w:bCs/>
          <w:sz w:val="20"/>
          <w:szCs w:val="20"/>
        </w:rPr>
        <w:t xml:space="preserve">En el Considerando </w:t>
      </w:r>
      <w:r>
        <w:rPr>
          <w:rFonts w:eastAsia="Cambria" w:cs="Times New Roman"/>
          <w:bCs/>
          <w:sz w:val="20"/>
          <w:szCs w:val="20"/>
        </w:rPr>
        <w:t>20</w:t>
      </w:r>
      <w:r w:rsidRPr="007D5EAA">
        <w:rPr>
          <w:rFonts w:eastAsia="Cambria" w:cs="Times New Roman"/>
          <w:bCs/>
          <w:sz w:val="20"/>
          <w:szCs w:val="20"/>
        </w:rPr>
        <w:t xml:space="preserve"> de la resolución de la Corte de </w:t>
      </w:r>
      <w:r>
        <w:rPr>
          <w:rFonts w:eastAsia="Cambria" w:cs="Times New Roman"/>
          <w:bCs/>
          <w:sz w:val="20"/>
          <w:szCs w:val="20"/>
        </w:rPr>
        <w:t>22</w:t>
      </w:r>
      <w:r w:rsidRPr="007D5EAA">
        <w:rPr>
          <w:rFonts w:eastAsia="Cambria" w:cs="Times New Roman"/>
          <w:bCs/>
          <w:sz w:val="20"/>
          <w:szCs w:val="20"/>
        </w:rPr>
        <w:t xml:space="preserve"> de </w:t>
      </w:r>
      <w:r>
        <w:rPr>
          <w:rFonts w:eastAsia="Cambria" w:cs="Times New Roman"/>
          <w:bCs/>
          <w:sz w:val="20"/>
          <w:szCs w:val="20"/>
        </w:rPr>
        <w:t>noviembre</w:t>
      </w:r>
      <w:r w:rsidRPr="007D5EAA">
        <w:rPr>
          <w:rFonts w:eastAsia="Cambria" w:cs="Times New Roman"/>
          <w:bCs/>
          <w:sz w:val="20"/>
          <w:szCs w:val="20"/>
        </w:rPr>
        <w:t xml:space="preserve"> de </w:t>
      </w:r>
      <w:r>
        <w:rPr>
          <w:rFonts w:eastAsia="Cambria" w:cs="Times New Roman"/>
          <w:bCs/>
          <w:sz w:val="20"/>
          <w:szCs w:val="20"/>
        </w:rPr>
        <w:t>2019</w:t>
      </w:r>
      <w:r w:rsidRPr="007D5EAA">
        <w:rPr>
          <w:rFonts w:eastAsia="Cambria" w:cs="Times New Roman"/>
          <w:bCs/>
          <w:sz w:val="20"/>
          <w:szCs w:val="20"/>
        </w:rPr>
        <w:t xml:space="preserve"> se explica lo</w:t>
      </w:r>
      <w:r w:rsidR="006B547F">
        <w:rPr>
          <w:rFonts w:eastAsia="Cambria" w:cs="Times New Roman"/>
          <w:bCs/>
          <w:sz w:val="20"/>
          <w:szCs w:val="20"/>
        </w:rPr>
        <w:t xml:space="preserve"> </w:t>
      </w:r>
      <w:r w:rsidRPr="007D5EAA">
        <w:rPr>
          <w:rFonts w:eastAsia="Cambria" w:cs="Times New Roman"/>
          <w:bCs/>
          <w:sz w:val="20"/>
          <w:szCs w:val="20"/>
        </w:rPr>
        <w:t>que continúa pendiente de cumplimiento respecto a la presente medida de reparación:</w:t>
      </w:r>
    </w:p>
    <w:p w14:paraId="31D40C57" w14:textId="77777777" w:rsidR="00D26ADD" w:rsidRDefault="00D26ADD" w:rsidP="00D26ADD">
      <w:pPr>
        <w:tabs>
          <w:tab w:val="left" w:pos="720"/>
        </w:tabs>
        <w:ind w:right="-90"/>
        <w:contextualSpacing/>
        <w:jc w:val="both"/>
        <w:rPr>
          <w:rFonts w:eastAsia="Cambria" w:cs="Times New Roman"/>
          <w:bCs/>
          <w:sz w:val="20"/>
          <w:szCs w:val="20"/>
        </w:rPr>
      </w:pPr>
    </w:p>
    <w:p w14:paraId="2EEA315C" w14:textId="77777777" w:rsidR="00D26ADD" w:rsidRPr="00371C52" w:rsidRDefault="00D26ADD" w:rsidP="00852440">
      <w:pPr>
        <w:tabs>
          <w:tab w:val="left" w:pos="851"/>
        </w:tabs>
        <w:ind w:left="720" w:right="720"/>
        <w:jc w:val="both"/>
        <w:rPr>
          <w:rFonts w:eastAsia="Cambria" w:cs="Times New Roman"/>
          <w:bCs/>
          <w:sz w:val="18"/>
          <w:szCs w:val="18"/>
        </w:rPr>
      </w:pPr>
      <w:r w:rsidRPr="00371C52">
        <w:rPr>
          <w:rFonts w:eastAsia="Cambria" w:cs="Times New Roman"/>
          <w:bCs/>
          <w:sz w:val="18"/>
          <w:szCs w:val="18"/>
        </w:rPr>
        <w:t xml:space="preserve">20. Este Tribunal valora positivamente los esfuerzos realizados por el Estado con la finalidad de localizar y pagar a las víctimas, máxime a la luz de la complejidad que dicha tarea representa por las circunstancias particulares del presente caso. Asimismo, la Corte resalta como positiva la actitud cooperativa de los representantes a tales efectos, así como la comunicación entre ambas partes. Todas estas acciones han posibilitado que, pese a las dificultades del caso, al </w:t>
      </w:r>
      <w:r w:rsidRPr="00371C52">
        <w:rPr>
          <w:rStyle w:val="apple-style-span"/>
          <w:sz w:val="18"/>
          <w:szCs w:val="18"/>
          <w:lang w:val="es-CR"/>
        </w:rPr>
        <w:t>momento</w:t>
      </w:r>
      <w:r w:rsidRPr="00371C52">
        <w:rPr>
          <w:rFonts w:eastAsia="Cambria" w:cs="Times New Roman"/>
          <w:bCs/>
          <w:sz w:val="18"/>
          <w:szCs w:val="18"/>
        </w:rPr>
        <w:t xml:space="preserve"> se haya localizado y pagado a 72 víctimas (supra Considerandos 10 y 12), presentándose asimismo avances con respecto a otras víctimas (supra Considerandos 13 a 19). En este sentido, se insta al Estado a continuar con dichos esfuerzos, y se le solicita que siga informando respecto de las acciones implementadas a los fines de dar cumplimiento con la medida ordenada en el punto resolutivo décimo segundo.</w:t>
      </w:r>
      <w:r w:rsidRPr="00371C52">
        <w:rPr>
          <w:rFonts w:eastAsia="Cambria" w:cs="Times New Roman"/>
          <w:bCs/>
          <w:sz w:val="18"/>
          <w:szCs w:val="18"/>
        </w:rPr>
        <w:cr/>
      </w:r>
    </w:p>
    <w:p w14:paraId="27EEC11F" w14:textId="77777777" w:rsidR="00371C52" w:rsidRPr="00281AAD" w:rsidRDefault="00371C52" w:rsidP="00371C52">
      <w:pPr>
        <w:numPr>
          <w:ilvl w:val="0"/>
          <w:numId w:val="6"/>
        </w:numPr>
        <w:tabs>
          <w:tab w:val="left" w:pos="720"/>
        </w:tabs>
        <w:ind w:right="-90"/>
        <w:contextualSpacing/>
        <w:jc w:val="both"/>
        <w:rPr>
          <w:rFonts w:eastAsia="Cambria" w:cs="Times New Roman"/>
          <w:bCs/>
          <w:sz w:val="20"/>
          <w:szCs w:val="20"/>
        </w:rPr>
      </w:pPr>
      <w:r w:rsidRPr="00281AAD">
        <w:rPr>
          <w:rFonts w:eastAsia="Cambria" w:cs="Times New Roman"/>
          <w:bCs/>
          <w:sz w:val="20"/>
          <w:szCs w:val="20"/>
        </w:rPr>
        <w:t>R</w:t>
      </w:r>
      <w:r w:rsidRPr="00281AAD">
        <w:rPr>
          <w:rFonts w:eastAsia="Cambria" w:cs="Arial"/>
          <w:iCs/>
          <w:sz w:val="20"/>
          <w:szCs w:val="20"/>
        </w:rPr>
        <w:t>einiciar, con la debida diligencia, las investigaciones y/o procesos penales que correspondan por los hechos constatados en marzo de 2000 en el presente caso para, en un plazo razonable, identificar, procesar y, en su caso, sancionar a los responsables</w:t>
      </w:r>
      <w:r w:rsidRPr="00281AAD">
        <w:rPr>
          <w:rFonts w:eastAsia="Cambria" w:cs="Times New Roman"/>
          <w:bCs/>
          <w:sz w:val="20"/>
          <w:szCs w:val="20"/>
        </w:rPr>
        <w:t xml:space="preserve">, de conformidad con lo establecido en los párrafos 444 a 446 de la Sentencia. </w:t>
      </w:r>
      <w:r w:rsidRPr="00281AAD">
        <w:rPr>
          <w:rFonts w:eastAsia="Cambria" w:cs="Arial"/>
          <w:iCs/>
          <w:sz w:val="20"/>
          <w:szCs w:val="20"/>
        </w:rPr>
        <w:t xml:space="preserve">En su caso, el Estado debe restablecer (o reconstruir) el proceso penal </w:t>
      </w:r>
      <w:r w:rsidRPr="00281AAD">
        <w:rPr>
          <w:rFonts w:eastAsia="Cambria" w:cs="Arial"/>
          <w:bCs/>
          <w:iCs/>
          <w:sz w:val="20"/>
          <w:szCs w:val="20"/>
          <w:lang w:val="es-MX"/>
        </w:rPr>
        <w:t xml:space="preserve">2001.39.01.000270-0, iniciado en 2001, ante la 2ª Vara de Justicia Federal de </w:t>
      </w:r>
      <w:proofErr w:type="spellStart"/>
      <w:r w:rsidRPr="00281AAD">
        <w:rPr>
          <w:rFonts w:eastAsia="Cambria" w:cs="Arial"/>
          <w:bCs/>
          <w:iCs/>
          <w:sz w:val="20"/>
          <w:szCs w:val="20"/>
          <w:lang w:val="es-MX"/>
        </w:rPr>
        <w:t>Marabá</w:t>
      </w:r>
      <w:proofErr w:type="spellEnd"/>
      <w:r w:rsidRPr="00281AAD">
        <w:rPr>
          <w:rFonts w:eastAsia="Cambria" w:cs="Arial"/>
          <w:bCs/>
          <w:iCs/>
          <w:sz w:val="20"/>
          <w:szCs w:val="20"/>
          <w:lang w:val="es-MX"/>
        </w:rPr>
        <w:t>, Estado de Pará</w:t>
      </w:r>
      <w:r w:rsidRPr="00281AAD">
        <w:rPr>
          <w:rFonts w:eastAsia="Cambria" w:cs="Times New Roman"/>
          <w:bCs/>
          <w:sz w:val="20"/>
          <w:szCs w:val="20"/>
        </w:rPr>
        <w:t>, de conformidad con lo establecido en los párrafos 444 a 446 de la Sentencia.</w:t>
      </w:r>
    </w:p>
    <w:p w14:paraId="7B557DBB" w14:textId="77777777" w:rsidR="00371C52" w:rsidRDefault="00371C52" w:rsidP="00371C52">
      <w:pPr>
        <w:tabs>
          <w:tab w:val="left" w:pos="720"/>
        </w:tabs>
        <w:ind w:right="-90"/>
        <w:contextualSpacing/>
        <w:jc w:val="both"/>
        <w:rPr>
          <w:rFonts w:eastAsia="Cambria" w:cs="Times New Roman"/>
          <w:bCs/>
          <w:sz w:val="20"/>
          <w:szCs w:val="20"/>
        </w:rPr>
      </w:pPr>
    </w:p>
    <w:p w14:paraId="468D4027" w14:textId="40E3579B" w:rsidR="00371C52" w:rsidRDefault="00371C52" w:rsidP="00371C52">
      <w:pPr>
        <w:tabs>
          <w:tab w:val="left" w:pos="720"/>
        </w:tabs>
        <w:ind w:right="-90"/>
        <w:contextualSpacing/>
        <w:jc w:val="both"/>
        <w:rPr>
          <w:rFonts w:eastAsia="Cambria" w:cs="Times New Roman"/>
          <w:bCs/>
          <w:sz w:val="20"/>
          <w:szCs w:val="20"/>
        </w:rPr>
      </w:pPr>
      <w:r w:rsidRPr="007D5EAA">
        <w:rPr>
          <w:rFonts w:eastAsia="Cambria" w:cs="Times New Roman"/>
          <w:bCs/>
          <w:sz w:val="20"/>
          <w:szCs w:val="20"/>
        </w:rPr>
        <w:t xml:space="preserve">En el Considerando </w:t>
      </w:r>
      <w:r w:rsidR="006B547F">
        <w:rPr>
          <w:rFonts w:eastAsia="Cambria" w:cs="Times New Roman"/>
          <w:bCs/>
          <w:sz w:val="20"/>
          <w:szCs w:val="20"/>
        </w:rPr>
        <w:t>9</w:t>
      </w:r>
      <w:r w:rsidRPr="007D5EAA">
        <w:rPr>
          <w:rFonts w:eastAsia="Cambria" w:cs="Times New Roman"/>
          <w:bCs/>
          <w:sz w:val="20"/>
          <w:szCs w:val="20"/>
        </w:rPr>
        <w:t xml:space="preserve"> de la resolución de la Corte de </w:t>
      </w:r>
      <w:r w:rsidR="006B547F">
        <w:rPr>
          <w:rFonts w:eastAsia="Cambria" w:cs="Times New Roman"/>
          <w:bCs/>
          <w:sz w:val="20"/>
          <w:szCs w:val="20"/>
        </w:rPr>
        <w:t>18 de octubre de 2023</w:t>
      </w:r>
      <w:r w:rsidRPr="007D5EAA">
        <w:rPr>
          <w:rFonts w:eastAsia="Cambria" w:cs="Times New Roman"/>
          <w:bCs/>
          <w:sz w:val="20"/>
          <w:szCs w:val="20"/>
        </w:rPr>
        <w:t xml:space="preserve"> se explica lo</w:t>
      </w:r>
      <w:r w:rsidR="006B547F">
        <w:rPr>
          <w:rFonts w:eastAsia="Cambria" w:cs="Times New Roman"/>
          <w:bCs/>
          <w:sz w:val="20"/>
          <w:szCs w:val="20"/>
        </w:rPr>
        <w:t xml:space="preserve"> </w:t>
      </w:r>
      <w:r w:rsidRPr="007D5EAA">
        <w:rPr>
          <w:rFonts w:eastAsia="Cambria" w:cs="Times New Roman"/>
          <w:bCs/>
          <w:sz w:val="20"/>
          <w:szCs w:val="20"/>
        </w:rPr>
        <w:t>que continúa pendiente de cumplimiento respecto a la presente medida de reparación:</w:t>
      </w:r>
    </w:p>
    <w:p w14:paraId="33E2FD9F" w14:textId="77777777" w:rsidR="00371C52" w:rsidRDefault="00371C52" w:rsidP="00371C52">
      <w:pPr>
        <w:tabs>
          <w:tab w:val="left" w:pos="720"/>
        </w:tabs>
        <w:ind w:right="-90"/>
        <w:contextualSpacing/>
        <w:jc w:val="both"/>
        <w:rPr>
          <w:rFonts w:eastAsia="Cambria" w:cs="Times New Roman"/>
          <w:bCs/>
          <w:sz w:val="20"/>
          <w:szCs w:val="20"/>
        </w:rPr>
      </w:pPr>
    </w:p>
    <w:p w14:paraId="30EFC3F0" w14:textId="3AE13BB5" w:rsidR="00031964" w:rsidRPr="00031964" w:rsidRDefault="00852440" w:rsidP="00852440">
      <w:pPr>
        <w:tabs>
          <w:tab w:val="left" w:pos="851"/>
        </w:tabs>
        <w:ind w:left="720" w:right="720"/>
        <w:jc w:val="both"/>
        <w:rPr>
          <w:sz w:val="20"/>
          <w:szCs w:val="20"/>
        </w:rPr>
      </w:pPr>
      <w:r w:rsidRPr="00852440">
        <w:rPr>
          <w:rFonts w:eastAsia="Cambria" w:cs="Times New Roman"/>
          <w:bCs/>
          <w:sz w:val="18"/>
          <w:szCs w:val="18"/>
        </w:rPr>
        <w:t>9. Teniendo en cuenta que el proceso penal avanzó hasta la emisión de una sentencia, en la cual se condenó al propietario y al gerente de la Hacienda Brasil Verde, pero no está firme debido a que no han sido resueltos los recursos interpuestos contra la misma, la Corte considera que el Estado ha dado cumplimiento parcial a la obligación de investigar, juzgar y, en su caso, sancionar a los responsables de los hechos, ordenada en el punto resolutivo noveno de la Sentencia. A fin de valorar el cumplimiento total de esta medida, la Corte estima necesario que Brasil proporcione información actualizada respecto a la decisión que resuelva los recursos contra la sentencia condenatoria.</w:t>
      </w:r>
    </w:p>
    <w:p w14:paraId="793CA2B4" w14:textId="77777777" w:rsidR="00E42392" w:rsidRPr="00D3440D" w:rsidRDefault="00E42392" w:rsidP="00031964">
      <w:pPr>
        <w:jc w:val="both"/>
        <w:rPr>
          <w:sz w:val="20"/>
          <w:szCs w:val="20"/>
        </w:rPr>
      </w:pPr>
    </w:p>
    <w:sectPr w:rsidR="00E42392" w:rsidRPr="00D344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2105" w14:textId="77777777" w:rsidR="00435753" w:rsidRDefault="00435753" w:rsidP="009F7EF4">
      <w:r>
        <w:separator/>
      </w:r>
    </w:p>
  </w:endnote>
  <w:endnote w:type="continuationSeparator" w:id="0">
    <w:p w14:paraId="5248CC7B" w14:textId="77777777" w:rsidR="00435753" w:rsidRDefault="00435753"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6C8F"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3DE6FEE"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7ACAE" w14:textId="77777777" w:rsidR="00435753" w:rsidRDefault="00435753" w:rsidP="009F7EF4">
      <w:r>
        <w:separator/>
      </w:r>
    </w:p>
  </w:footnote>
  <w:footnote w:type="continuationSeparator" w:id="0">
    <w:p w14:paraId="429A6F24" w14:textId="77777777" w:rsidR="00435753" w:rsidRDefault="00435753"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10C856A3"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4E2D19">
          <w:rPr>
            <w:noProof/>
            <w:sz w:val="20"/>
            <w:szCs w:val="20"/>
          </w:rPr>
          <w:t>1</w:t>
        </w:r>
        <w:r w:rsidRPr="00675FE7">
          <w:rPr>
            <w:noProof/>
            <w:sz w:val="20"/>
            <w:szCs w:val="20"/>
          </w:rPr>
          <w:fldChar w:fldCharType="end"/>
        </w:r>
      </w:p>
    </w:sdtContent>
  </w:sdt>
  <w:p w14:paraId="70B053F9"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E06E32"/>
    <w:multiLevelType w:val="hybridMultilevel"/>
    <w:tmpl w:val="40685940"/>
    <w:lvl w:ilvl="0" w:tplc="47AABC80">
      <w:start w:val="1"/>
      <w:numFmt w:val="decimal"/>
      <w:lvlText w:val="%1."/>
      <w:lvlJc w:val="left"/>
      <w:pPr>
        <w:tabs>
          <w:tab w:val="num" w:pos="5057"/>
        </w:tabs>
      </w:pPr>
      <w:rPr>
        <w:rFonts w:ascii="Verdana" w:eastAsia="Times New Roman" w:hAnsi="Verdana" w:cs="Times New Roman" w:hint="default"/>
        <w:b w:val="0"/>
        <w:i w:val="0"/>
        <w:strike w:val="0"/>
        <w:color w:val="auto"/>
        <w:sz w:val="20"/>
        <w:lang w:val="es-CR"/>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4"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5"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497258">
    <w:abstractNumId w:val="5"/>
  </w:num>
  <w:num w:numId="2" w16cid:durableId="212548133">
    <w:abstractNumId w:val="2"/>
  </w:num>
  <w:num w:numId="3" w16cid:durableId="702051092">
    <w:abstractNumId w:val="4"/>
  </w:num>
  <w:num w:numId="4" w16cid:durableId="414546869">
    <w:abstractNumId w:val="0"/>
  </w:num>
  <w:num w:numId="5" w16cid:durableId="1491290012">
    <w:abstractNumId w:val="1"/>
  </w:num>
  <w:num w:numId="6" w16cid:durableId="475142590">
    <w:abstractNumId w:val="3"/>
  </w:num>
  <w:num w:numId="7" w16cid:durableId="12733951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31964"/>
    <w:rsid w:val="000930F6"/>
    <w:rsid w:val="00101CC6"/>
    <w:rsid w:val="001426AA"/>
    <w:rsid w:val="00296578"/>
    <w:rsid w:val="00296F77"/>
    <w:rsid w:val="002A0D97"/>
    <w:rsid w:val="00371C52"/>
    <w:rsid w:val="003A7E5E"/>
    <w:rsid w:val="00435753"/>
    <w:rsid w:val="00474D04"/>
    <w:rsid w:val="00476F6E"/>
    <w:rsid w:val="004E2D19"/>
    <w:rsid w:val="00590F93"/>
    <w:rsid w:val="005D1A85"/>
    <w:rsid w:val="00617B3E"/>
    <w:rsid w:val="006B547F"/>
    <w:rsid w:val="006C38A6"/>
    <w:rsid w:val="00780BD9"/>
    <w:rsid w:val="00814D87"/>
    <w:rsid w:val="00852440"/>
    <w:rsid w:val="008C4982"/>
    <w:rsid w:val="00926FFB"/>
    <w:rsid w:val="009832C0"/>
    <w:rsid w:val="009D22BE"/>
    <w:rsid w:val="009F7EF4"/>
    <w:rsid w:val="00A62AFB"/>
    <w:rsid w:val="00A82904"/>
    <w:rsid w:val="00AE0035"/>
    <w:rsid w:val="00BA6BA9"/>
    <w:rsid w:val="00BC5824"/>
    <w:rsid w:val="00C807CF"/>
    <w:rsid w:val="00CA6BC3"/>
    <w:rsid w:val="00D26ADD"/>
    <w:rsid w:val="00D3440D"/>
    <w:rsid w:val="00D36D6D"/>
    <w:rsid w:val="00E1347D"/>
    <w:rsid w:val="00E15E70"/>
    <w:rsid w:val="00E42392"/>
    <w:rsid w:val="00E85D9E"/>
    <w:rsid w:val="00F068DB"/>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3BD5"/>
  <w15:docId w15:val="{ED5F8726-EE43-4E87-8F54-74FEA913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C52"/>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
    <w:basedOn w:val="Normal"/>
    <w:link w:val="PrrafodelistaCar"/>
    <w:uiPriority w:val="34"/>
    <w:qFormat/>
    <w:rsid w:val="00296F77"/>
    <w:pPr>
      <w:ind w:left="720"/>
      <w:contextualSpacing/>
    </w:pPr>
  </w:style>
  <w:style w:type="character" w:customStyle="1" w:styleId="PrrafodelistaCar">
    <w:name w:val="Párrafo de lista Car"/>
    <w:aliases w:val="Footnote Car"/>
    <w:link w:val="Prrafodelista"/>
    <w:uiPriority w:val="34"/>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NormalWeb">
    <w:name w:val="Normal (Web)"/>
    <w:basedOn w:val="Normal"/>
    <w:uiPriority w:val="99"/>
    <w:semiHidden/>
    <w:unhideWhenUsed/>
    <w:rsid w:val="00590F93"/>
    <w:pPr>
      <w:spacing w:before="100" w:beforeAutospacing="1" w:after="100" w:afterAutospacing="1"/>
    </w:pPr>
    <w:rPr>
      <w:rFonts w:ascii="Times New Roman" w:eastAsia="Times New Roman" w:hAnsi="Times New Roman" w:cs="Times New Roman"/>
      <w:sz w:val="24"/>
      <w:lang w:val="es-EC"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1801">
      <w:bodyDiv w:val="1"/>
      <w:marLeft w:val="0"/>
      <w:marRight w:val="0"/>
      <w:marTop w:val="0"/>
      <w:marBottom w:val="0"/>
      <w:divBdr>
        <w:top w:val="none" w:sz="0" w:space="0" w:color="auto"/>
        <w:left w:val="none" w:sz="0" w:space="0" w:color="auto"/>
        <w:bottom w:val="none" w:sz="0" w:space="0" w:color="auto"/>
        <w:right w:val="none" w:sz="0" w:space="0" w:color="auto"/>
      </w:divBdr>
      <w:divsChild>
        <w:div w:id="42557390">
          <w:marLeft w:val="0"/>
          <w:marRight w:val="0"/>
          <w:marTop w:val="0"/>
          <w:marBottom w:val="0"/>
          <w:divBdr>
            <w:top w:val="none" w:sz="0" w:space="0" w:color="auto"/>
            <w:left w:val="none" w:sz="0" w:space="0" w:color="auto"/>
            <w:bottom w:val="none" w:sz="0" w:space="0" w:color="auto"/>
            <w:right w:val="none" w:sz="0" w:space="0" w:color="auto"/>
          </w:divBdr>
          <w:divsChild>
            <w:div w:id="873929770">
              <w:marLeft w:val="0"/>
              <w:marRight w:val="0"/>
              <w:marTop w:val="0"/>
              <w:marBottom w:val="0"/>
              <w:divBdr>
                <w:top w:val="none" w:sz="0" w:space="0" w:color="auto"/>
                <w:left w:val="none" w:sz="0" w:space="0" w:color="auto"/>
                <w:bottom w:val="none" w:sz="0" w:space="0" w:color="auto"/>
                <w:right w:val="none" w:sz="0" w:space="0" w:color="auto"/>
              </w:divBdr>
              <w:divsChild>
                <w:div w:id="16544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2584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9</cp:revision>
  <cp:lastPrinted>2018-06-18T15:03:00Z</cp:lastPrinted>
  <dcterms:created xsi:type="dcterms:W3CDTF">2023-05-12T22:13:00Z</dcterms:created>
  <dcterms:modified xsi:type="dcterms:W3CDTF">2023-10-24T18:04:00Z</dcterms:modified>
</cp:coreProperties>
</file>