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834F1A" w:rsidRPr="00834F1A">
        <w:rPr>
          <w:b/>
          <w:sz w:val="20"/>
          <w:szCs w:val="20"/>
          <w:u w:val="single"/>
          <w:lang w:val="es-CR"/>
        </w:rPr>
        <w:t>Herzog y otros</w:t>
      </w:r>
      <w:r w:rsidRPr="00B32A37">
        <w:rPr>
          <w:b/>
          <w:i/>
          <w:sz w:val="20"/>
          <w:szCs w:val="20"/>
          <w:u w:val="single"/>
          <w:lang w:val="es-CR"/>
        </w:rPr>
        <w:t xml:space="preserve"> Vs. </w:t>
      </w:r>
      <w:r w:rsidRPr="00834F1A">
        <w:rPr>
          <w:b/>
          <w:sz w:val="20"/>
          <w:szCs w:val="20"/>
          <w:u w:val="single"/>
          <w:lang w:val="es-MX"/>
        </w:rPr>
        <w:t>Brasil</w:t>
      </w:r>
      <w:r w:rsidRPr="00296F77">
        <w:rPr>
          <w:b/>
          <w:sz w:val="20"/>
          <w:szCs w:val="20"/>
          <w:u w:val="single"/>
          <w:lang w:val="es-MX"/>
        </w:rPr>
        <w:t>: reparaciones pendientes de cumplimiento</w:t>
      </w:r>
    </w:p>
    <w:p w:rsidR="006E7F48" w:rsidRPr="00296F77" w:rsidRDefault="00945197"/>
    <w:p w:rsidR="00296F77" w:rsidRDefault="00296F77" w:rsidP="00296F77">
      <w:pPr>
        <w:tabs>
          <w:tab w:val="left" w:pos="709"/>
        </w:tabs>
        <w:ind w:right="99"/>
        <w:jc w:val="both"/>
      </w:pPr>
    </w:p>
    <w:p w:rsidR="002E376C" w:rsidRPr="002E376C" w:rsidRDefault="002E376C"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E376C">
        <w:rPr>
          <w:rFonts w:eastAsia="Cambria" w:cs="Times New Roman"/>
          <w:bCs/>
          <w:sz w:val="20"/>
          <w:szCs w:val="20"/>
          <w:lang w:val="es-ES"/>
        </w:rPr>
        <w:t xml:space="preserve">einiciar, con la debida diligencia, la investigación y proceso penal que corresponda por los hechos ocurridos el 25 de octubre de 1975 para identificar, procesar y, en su caso, sancionar a los responsables por la tortura y muerte de Vladimir Herzog, </w:t>
      </w:r>
      <w:r w:rsidRPr="002E376C">
        <w:rPr>
          <w:rFonts w:eastAsia="Calibri" w:cs="Times New Roman"/>
          <w:sz w:val="20"/>
          <w:szCs w:val="20"/>
          <w:lang w:val="es-ES"/>
        </w:rPr>
        <w:t>en atención al carácter de delito de crimen de lesa humanidad de tales hechos y las correspondientes consecuencias jurídicas de las mismas para el derecho internacional</w:t>
      </w:r>
      <w:r w:rsidRPr="002E376C">
        <w:rPr>
          <w:rFonts w:eastAsia="Cambria" w:cs="Times New Roman"/>
          <w:bCs/>
          <w:sz w:val="20"/>
          <w:szCs w:val="20"/>
          <w:lang w:val="es-ES"/>
        </w:rPr>
        <w:t xml:space="preserve">, en los términos de los párrafos 371 y 372 de la Sentencia. En particular, el Estado deberá observar los estándares y requisitos establecidos en el párrafo 372 de la Sentencia. </w:t>
      </w:r>
    </w:p>
    <w:p w:rsidR="002E376C" w:rsidRPr="002E376C" w:rsidRDefault="002E376C" w:rsidP="002E376C">
      <w:pPr>
        <w:pStyle w:val="Prrafodelista"/>
        <w:tabs>
          <w:tab w:val="left" w:pos="0"/>
        </w:tabs>
        <w:ind w:left="0" w:right="-90"/>
        <w:contextualSpacing w:val="0"/>
        <w:rPr>
          <w:rFonts w:eastAsia="Cambria" w:cs="Times New Roman"/>
          <w:bCs/>
          <w:sz w:val="20"/>
          <w:szCs w:val="20"/>
          <w:lang w:val="es-ES"/>
        </w:rPr>
      </w:pPr>
    </w:p>
    <w:p w:rsidR="002E376C" w:rsidRPr="002E376C" w:rsidRDefault="002E376C" w:rsidP="002E376C">
      <w:pPr>
        <w:pStyle w:val="Prrafodelista"/>
        <w:numPr>
          <w:ilvl w:val="3"/>
          <w:numId w:val="7"/>
        </w:numPr>
        <w:tabs>
          <w:tab w:val="left" w:pos="0"/>
        </w:tabs>
        <w:ind w:left="0" w:right="-90" w:firstLine="0"/>
        <w:contextualSpacing w:val="0"/>
        <w:jc w:val="both"/>
        <w:rPr>
          <w:rFonts w:eastAsia="Cambria" w:cs="Times New Roman"/>
          <w:bCs/>
          <w:sz w:val="20"/>
          <w:szCs w:val="20"/>
          <w:lang w:val="es-ES"/>
        </w:rPr>
      </w:pPr>
      <w:r>
        <w:rPr>
          <w:rFonts w:eastAsia="Times New Roman" w:cs="Courier New"/>
          <w:sz w:val="20"/>
          <w:szCs w:val="20"/>
          <w:lang w:val="es-ES" w:eastAsia="es-CR"/>
        </w:rPr>
        <w:t>A</w:t>
      </w:r>
      <w:r w:rsidRPr="002E376C">
        <w:rPr>
          <w:rFonts w:eastAsia="Times New Roman" w:cs="Courier New"/>
          <w:sz w:val="20"/>
          <w:szCs w:val="20"/>
          <w:lang w:val="es-ES" w:eastAsia="es-CR"/>
        </w:rPr>
        <w:t xml:space="preserve">doptar </w:t>
      </w:r>
      <w:r w:rsidRPr="002E376C">
        <w:rPr>
          <w:rFonts w:eastAsia="Calibri" w:cs="Times New Roman"/>
          <w:sz w:val="20"/>
          <w:szCs w:val="20"/>
          <w:lang w:val="es-ES"/>
        </w:rPr>
        <w:t>las medidas más idóneas conforme a sus instituciones, para que se reconozca, sin excepción, la imprescriptibilidad de las acciones emergentes de crímenes de lesa humanidad e internacionales, en atención a la Sentencia y a los estándares internacionales en la materia, en atención a lo dispuesto en la Sentencia en los términos del párrafo 376.</w:t>
      </w:r>
      <w:r w:rsidRPr="002E376C">
        <w:rPr>
          <w:rFonts w:eastAsia="Times New Roman" w:cs="Courier New"/>
          <w:sz w:val="20"/>
          <w:szCs w:val="20"/>
          <w:lang w:val="es-ES" w:eastAsia="es-CR"/>
        </w:rPr>
        <w:t xml:space="preserve"> </w:t>
      </w:r>
    </w:p>
    <w:p w:rsidR="002E376C" w:rsidRPr="002E376C" w:rsidRDefault="002E376C" w:rsidP="002E376C">
      <w:pPr>
        <w:pStyle w:val="Prrafodelista"/>
        <w:tabs>
          <w:tab w:val="left" w:pos="0"/>
        </w:tabs>
        <w:ind w:left="0"/>
        <w:contextualSpacing w:val="0"/>
        <w:rPr>
          <w:rFonts w:eastAsia="Cambria" w:cs="Times New Roman"/>
          <w:bCs/>
          <w:sz w:val="20"/>
          <w:szCs w:val="20"/>
          <w:lang w:val="es-ES"/>
        </w:rPr>
      </w:pPr>
    </w:p>
    <w:p w:rsidR="002E376C" w:rsidRPr="002E376C" w:rsidRDefault="002E376C"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E376C">
        <w:rPr>
          <w:rFonts w:eastAsia="Cambria" w:cs="Times New Roman"/>
          <w:bCs/>
          <w:sz w:val="20"/>
          <w:szCs w:val="20"/>
          <w:lang w:val="es-ES"/>
        </w:rPr>
        <w:t xml:space="preserve">ealizar un acto público de reconocimiento de responsabilidad internacional, </w:t>
      </w:r>
      <w:r w:rsidRPr="002E376C">
        <w:rPr>
          <w:rFonts w:eastAsia="Calibri" w:cs="Times New Roman"/>
          <w:sz w:val="20"/>
          <w:szCs w:val="20"/>
          <w:lang w:val="es-ES"/>
        </w:rPr>
        <w:t>por los hechos del presente caso en desagravio a la memoria de Vladimir Herzog y la falta de investigación, juzgamiento y sanción de los responsables por su tortura y muerte.</w:t>
      </w:r>
      <w:r w:rsidRPr="002E376C">
        <w:rPr>
          <w:rFonts w:eastAsia="Cambria" w:cs="Times New Roman"/>
          <w:bCs/>
          <w:sz w:val="20"/>
          <w:szCs w:val="20"/>
          <w:lang w:val="es-ES"/>
        </w:rPr>
        <w:t xml:space="preserve"> Dicho acto deberá llevarse a cabo de acuerdo a lo dispuesto en el párrafo 380 de la Sentencia. </w:t>
      </w:r>
    </w:p>
    <w:p w:rsidR="002E376C" w:rsidRPr="002E376C" w:rsidRDefault="002E376C" w:rsidP="002E376C">
      <w:pPr>
        <w:pStyle w:val="Prrafodelista"/>
        <w:tabs>
          <w:tab w:val="left" w:pos="720"/>
        </w:tabs>
        <w:ind w:left="0" w:right="-90"/>
        <w:contextualSpacing w:val="0"/>
        <w:rPr>
          <w:rFonts w:eastAsia="Cambria" w:cs="Times New Roman"/>
          <w:bCs/>
          <w:sz w:val="20"/>
          <w:szCs w:val="20"/>
          <w:lang w:val="es-ES"/>
        </w:rPr>
      </w:pPr>
    </w:p>
    <w:p w:rsidR="002E376C" w:rsidRPr="002E376C" w:rsidRDefault="002E376C"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sidRPr="002E376C">
        <w:rPr>
          <w:rFonts w:eastAsia="Cambria" w:cs="Times New Roman"/>
          <w:bCs/>
          <w:sz w:val="20"/>
          <w:szCs w:val="20"/>
          <w:lang w:val="es-ES"/>
        </w:rPr>
        <w:t>agar las cantidades fij</w:t>
      </w:r>
      <w:r w:rsidR="00AA6B2F">
        <w:rPr>
          <w:rFonts w:eastAsia="Cambria" w:cs="Times New Roman"/>
          <w:bCs/>
          <w:sz w:val="20"/>
          <w:szCs w:val="20"/>
          <w:lang w:val="es-ES"/>
        </w:rPr>
        <w:t xml:space="preserve">adas en los párrafos 392 397 </w:t>
      </w:r>
      <w:r w:rsidRPr="002E376C">
        <w:rPr>
          <w:rFonts w:eastAsia="Cambria" w:cs="Times New Roman"/>
          <w:bCs/>
          <w:sz w:val="20"/>
          <w:szCs w:val="20"/>
          <w:lang w:val="es-ES"/>
        </w:rPr>
        <w:t>de la Sentencia, por concepto de daños materiales e inmateriales; en los términos de los párrafos 410 a 415 de la Sentencia.</w:t>
      </w:r>
    </w:p>
    <w:p w:rsidR="002E376C" w:rsidRDefault="002E376C" w:rsidP="002E376C">
      <w:pPr>
        <w:pStyle w:val="Prrafodelista"/>
        <w:tabs>
          <w:tab w:val="left" w:pos="720"/>
        </w:tabs>
        <w:ind w:left="0" w:right="-90"/>
        <w:contextualSpacing w:val="0"/>
        <w:rPr>
          <w:rFonts w:eastAsia="Cambria" w:cs="Times New Roman"/>
          <w:bCs/>
          <w:sz w:val="20"/>
          <w:szCs w:val="20"/>
          <w:lang w:val="es-ES"/>
        </w:rPr>
      </w:pPr>
      <w:bookmarkStart w:id="0" w:name="_GoBack"/>
      <w:bookmarkEnd w:id="0"/>
    </w:p>
    <w:p w:rsidR="00AA6B2F" w:rsidRDefault="00AA6B2F" w:rsidP="002E376C">
      <w:pPr>
        <w:pStyle w:val="Prrafodelista"/>
        <w:tabs>
          <w:tab w:val="left" w:pos="720"/>
        </w:tabs>
        <w:ind w:left="0" w:right="-90"/>
        <w:contextualSpacing w:val="0"/>
        <w:rPr>
          <w:rFonts w:eastAsia="Cambria" w:cs="Times New Roman"/>
          <w:bCs/>
          <w:sz w:val="20"/>
          <w:szCs w:val="20"/>
          <w:lang w:val="es-ES"/>
        </w:rPr>
      </w:pPr>
    </w:p>
    <w:p w:rsidR="00C4747D" w:rsidRDefault="00AA6B2F" w:rsidP="00B32A37">
      <w:pPr>
        <w:jc w:val="both"/>
        <w:rPr>
          <w:b/>
          <w:sz w:val="20"/>
          <w:szCs w:val="20"/>
          <w:lang w:val="es-ES"/>
        </w:rPr>
      </w:pPr>
      <w:r>
        <w:rPr>
          <w:b/>
          <w:sz w:val="20"/>
          <w:szCs w:val="20"/>
          <w:lang w:val="es-ES"/>
        </w:rPr>
        <w:t>Cumplimiento parcial:</w:t>
      </w:r>
    </w:p>
    <w:p w:rsidR="00AA6B2F" w:rsidRDefault="00AA6B2F" w:rsidP="00B32A37">
      <w:pPr>
        <w:jc w:val="both"/>
        <w:rPr>
          <w:b/>
          <w:sz w:val="20"/>
          <w:szCs w:val="20"/>
          <w:lang w:val="es-ES"/>
        </w:rPr>
      </w:pPr>
    </w:p>
    <w:p w:rsidR="00AA6B2F" w:rsidRDefault="00AA6B2F" w:rsidP="00AA6B2F">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E376C">
        <w:rPr>
          <w:rFonts w:eastAsia="Cambria" w:cs="Times New Roman"/>
          <w:bCs/>
          <w:sz w:val="20"/>
          <w:szCs w:val="20"/>
          <w:lang w:val="es-ES"/>
        </w:rPr>
        <w:t>ealizar las publicaciones indicadas en el párrafo 383 de la Sentencia, en los términos dispuestos en la misma.</w:t>
      </w:r>
    </w:p>
    <w:p w:rsidR="00AA6B2F" w:rsidRDefault="00AA6B2F" w:rsidP="00AA6B2F">
      <w:pPr>
        <w:tabs>
          <w:tab w:val="left" w:pos="720"/>
        </w:tabs>
        <w:ind w:right="-90"/>
        <w:jc w:val="both"/>
        <w:rPr>
          <w:rFonts w:eastAsia="Cambria" w:cs="Times New Roman"/>
          <w:bCs/>
          <w:sz w:val="20"/>
          <w:szCs w:val="20"/>
          <w:lang w:val="es-ES"/>
        </w:rPr>
      </w:pPr>
    </w:p>
    <w:p w:rsidR="00AA6B2F" w:rsidRDefault="00AA6B2F" w:rsidP="00AA6B2F">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24 y 25 de la resolución de 30 de abril de 2021, se explica </w:t>
      </w:r>
      <w:r w:rsidRPr="00AA6B2F">
        <w:rPr>
          <w:rFonts w:eastAsia="Cambria" w:cs="Times New Roman"/>
          <w:bCs/>
          <w:sz w:val="20"/>
          <w:szCs w:val="20"/>
          <w:lang w:val="es-ES"/>
        </w:rPr>
        <w:t>lo que continúa pendiente de cumplimiento respecto a la presente medida de reparación:</w:t>
      </w:r>
    </w:p>
    <w:p w:rsidR="00AA6B2F" w:rsidRDefault="00AA6B2F" w:rsidP="00AA6B2F">
      <w:pPr>
        <w:tabs>
          <w:tab w:val="left" w:pos="720"/>
        </w:tabs>
        <w:ind w:right="-90"/>
        <w:jc w:val="both"/>
        <w:rPr>
          <w:rFonts w:eastAsia="Cambria" w:cs="Times New Roman"/>
          <w:bCs/>
          <w:sz w:val="20"/>
          <w:szCs w:val="20"/>
          <w:lang w:val="es-ES"/>
        </w:rPr>
      </w:pPr>
    </w:p>
    <w:p w:rsidR="00AA6B2F" w:rsidRPr="00AA6B2F" w:rsidRDefault="00AA6B2F" w:rsidP="00AA6B2F">
      <w:pPr>
        <w:tabs>
          <w:tab w:val="left" w:pos="720"/>
        </w:tabs>
        <w:ind w:left="567" w:right="567"/>
        <w:jc w:val="both"/>
        <w:rPr>
          <w:rFonts w:eastAsia="Cambria" w:cs="Times New Roman"/>
          <w:bCs/>
          <w:sz w:val="18"/>
          <w:szCs w:val="20"/>
        </w:rPr>
      </w:pPr>
      <w:r w:rsidRPr="00AA6B2F">
        <w:rPr>
          <w:rFonts w:eastAsia="Cambria" w:cs="Times New Roman"/>
          <w:bCs/>
          <w:sz w:val="18"/>
          <w:szCs w:val="20"/>
        </w:rPr>
        <w:t>24. La Corte ha constatado, con base en lo informado por el Estado y no controvertido por los representantes, que éste cumplió con publicar la Sentencia en su integridad y su resumen,</w:t>
      </w:r>
      <w:r w:rsidRPr="00AA6B2F">
        <w:rPr>
          <w:sz w:val="14"/>
        </w:rPr>
        <w:t xml:space="preserve"> </w:t>
      </w:r>
      <w:r w:rsidRPr="00AA6B2F">
        <w:rPr>
          <w:rFonts w:eastAsia="Cambria" w:cs="Times New Roman"/>
          <w:bCs/>
          <w:sz w:val="18"/>
          <w:szCs w:val="20"/>
        </w:rPr>
        <w:t>al menos por un período de un año, en el sitio web oficial del actual Ministerio de la Mujer, Familia y Derechos Humanos, así como con su divulgación en redes sociales.</w:t>
      </w:r>
    </w:p>
    <w:p w:rsidR="00AA6B2F" w:rsidRPr="00AA6B2F" w:rsidRDefault="00AA6B2F" w:rsidP="00AA6B2F">
      <w:pPr>
        <w:tabs>
          <w:tab w:val="left" w:pos="720"/>
        </w:tabs>
        <w:ind w:left="567" w:right="567"/>
        <w:jc w:val="both"/>
        <w:rPr>
          <w:rFonts w:eastAsia="Cambria" w:cs="Times New Roman"/>
          <w:bCs/>
          <w:sz w:val="18"/>
          <w:szCs w:val="20"/>
        </w:rPr>
      </w:pPr>
    </w:p>
    <w:p w:rsidR="00AA6B2F" w:rsidRPr="00AA6B2F" w:rsidRDefault="00AA6B2F" w:rsidP="00AA6B2F">
      <w:pPr>
        <w:tabs>
          <w:tab w:val="left" w:pos="720"/>
        </w:tabs>
        <w:ind w:left="567" w:right="567"/>
        <w:jc w:val="both"/>
        <w:rPr>
          <w:rFonts w:eastAsia="Cambria" w:cs="Times New Roman"/>
          <w:bCs/>
          <w:sz w:val="18"/>
          <w:szCs w:val="20"/>
        </w:rPr>
      </w:pPr>
      <w:r w:rsidRPr="00AA6B2F">
        <w:rPr>
          <w:rFonts w:eastAsia="Cambria" w:cs="Times New Roman"/>
          <w:bCs/>
          <w:sz w:val="18"/>
          <w:szCs w:val="20"/>
        </w:rPr>
        <w:t>25. En virtud de lo anterior, queda pendiente de cumplimiento la publicación de la Sentencia en su integridad en el Diario Oficial; el resumen oficial de la Sentencia en un diario de amplia circulación a nivel nacional, y la Sentencia en su integridad y su resumen en el sitio web oficial del Ejército brasileño. Debido a que el plazo para el cumplimiento de estas medidas venció el 7 de enero de 2019, se requiere al Estado que dé cumplimiento a la mayor brevedad.</w:t>
      </w:r>
    </w:p>
    <w:p w:rsidR="00AA6B2F" w:rsidRPr="00AA6B2F" w:rsidRDefault="00AA6B2F" w:rsidP="00B32A37">
      <w:pPr>
        <w:jc w:val="both"/>
        <w:rPr>
          <w:b/>
          <w:sz w:val="20"/>
          <w:szCs w:val="20"/>
          <w:lang w:val="es-ES"/>
        </w:rPr>
      </w:pPr>
    </w:p>
    <w:p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97" w:rsidRDefault="00945197" w:rsidP="009F7EF4">
      <w:r>
        <w:separator/>
      </w:r>
    </w:p>
  </w:endnote>
  <w:endnote w:type="continuationSeparator" w:id="0">
    <w:p w:rsidR="00945197" w:rsidRDefault="0094519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97" w:rsidRDefault="00945197" w:rsidP="009F7EF4">
      <w:r>
        <w:separator/>
      </w:r>
    </w:p>
  </w:footnote>
  <w:footnote w:type="continuationSeparator" w:id="0">
    <w:p w:rsidR="00945197" w:rsidRDefault="0094519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4348A5">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101CC6"/>
    <w:rsid w:val="001426AA"/>
    <w:rsid w:val="001F3394"/>
    <w:rsid w:val="00296F77"/>
    <w:rsid w:val="002B3295"/>
    <w:rsid w:val="002E376C"/>
    <w:rsid w:val="003A7E5E"/>
    <w:rsid w:val="003C561A"/>
    <w:rsid w:val="004348A5"/>
    <w:rsid w:val="00474D04"/>
    <w:rsid w:val="00476F6E"/>
    <w:rsid w:val="005A203D"/>
    <w:rsid w:val="005D1A85"/>
    <w:rsid w:val="00617B3E"/>
    <w:rsid w:val="006A777A"/>
    <w:rsid w:val="006C38A6"/>
    <w:rsid w:val="00792165"/>
    <w:rsid w:val="00834F1A"/>
    <w:rsid w:val="00926FFB"/>
    <w:rsid w:val="00945197"/>
    <w:rsid w:val="009832C0"/>
    <w:rsid w:val="009D22BE"/>
    <w:rsid w:val="009F7EF4"/>
    <w:rsid w:val="00AA6B2F"/>
    <w:rsid w:val="00AE0035"/>
    <w:rsid w:val="00B11B9B"/>
    <w:rsid w:val="00B32A37"/>
    <w:rsid w:val="00B33305"/>
    <w:rsid w:val="00BA6BA9"/>
    <w:rsid w:val="00BC5824"/>
    <w:rsid w:val="00C4747D"/>
    <w:rsid w:val="00C807CF"/>
    <w:rsid w:val="00D3440D"/>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BFCF"/>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cp:revision>
  <cp:lastPrinted>2018-07-09T19:23:00Z</cp:lastPrinted>
  <dcterms:created xsi:type="dcterms:W3CDTF">2018-07-09T19:23:00Z</dcterms:created>
  <dcterms:modified xsi:type="dcterms:W3CDTF">2022-01-18T15:48:00Z</dcterms:modified>
</cp:coreProperties>
</file>