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A0CB1" w14:textId="59C71BCE" w:rsidR="00867C99" w:rsidRPr="007B14CE" w:rsidRDefault="00861B57" w:rsidP="00214AB7">
      <w:pPr>
        <w:jc w:val="center"/>
        <w:rPr>
          <w:b/>
          <w:iCs/>
          <w:sz w:val="20"/>
          <w:szCs w:val="20"/>
          <w:u w:val="single"/>
          <w:lang w:val="pt-BR"/>
        </w:rPr>
      </w:pPr>
      <w:r>
        <w:rPr>
          <w:b/>
          <w:iCs/>
          <w:sz w:val="20"/>
          <w:szCs w:val="20"/>
          <w:u w:val="single"/>
          <w:lang w:val="pt-BR"/>
        </w:rPr>
        <w:t xml:space="preserve">Caso </w:t>
      </w:r>
      <w:r w:rsidR="007B14CE" w:rsidRPr="007B14CE">
        <w:rPr>
          <w:b/>
          <w:iCs/>
          <w:sz w:val="20"/>
          <w:szCs w:val="20"/>
          <w:u w:val="single"/>
          <w:lang w:val="pt-BR"/>
        </w:rPr>
        <w:t xml:space="preserve">Comunidades Quilombolas de Alcântara </w:t>
      </w:r>
      <w:r w:rsidR="007B14CE" w:rsidRPr="007B14CE">
        <w:rPr>
          <w:b/>
          <w:i/>
          <w:sz w:val="20"/>
          <w:szCs w:val="20"/>
          <w:u w:val="single"/>
          <w:lang w:val="pt-BR"/>
        </w:rPr>
        <w:t>Vs</w:t>
      </w:r>
      <w:r w:rsidR="007B14CE" w:rsidRPr="007B14CE">
        <w:rPr>
          <w:b/>
          <w:iCs/>
          <w:sz w:val="20"/>
          <w:szCs w:val="20"/>
          <w:u w:val="single"/>
          <w:lang w:val="pt-BR"/>
        </w:rPr>
        <w:t>. Brasil</w:t>
      </w:r>
      <w:r w:rsidR="00484D15" w:rsidRPr="007B14CE">
        <w:rPr>
          <w:b/>
          <w:iCs/>
          <w:sz w:val="20"/>
          <w:szCs w:val="20"/>
          <w:u w:val="single"/>
          <w:lang w:val="pt-BR"/>
        </w:rPr>
        <w:t>:</w:t>
      </w:r>
    </w:p>
    <w:p w14:paraId="6935786F" w14:textId="1159C011" w:rsidR="00214AB7" w:rsidRPr="00EA0D60" w:rsidRDefault="0033655E" w:rsidP="00214AB7">
      <w:pPr>
        <w:jc w:val="center"/>
      </w:pPr>
      <w:r w:rsidRPr="007B14CE">
        <w:rPr>
          <w:b/>
          <w:iCs/>
          <w:sz w:val="20"/>
          <w:szCs w:val="20"/>
          <w:u w:val="single"/>
          <w:lang w:val="pt-BR"/>
        </w:rPr>
        <w:t xml:space="preserve"> </w:t>
      </w:r>
      <w:r w:rsidR="00214AB7" w:rsidRPr="00EA0D60">
        <w:rPr>
          <w:b/>
          <w:sz w:val="20"/>
          <w:szCs w:val="20"/>
          <w:u w:val="single"/>
          <w:lang w:val="es-CR"/>
        </w:rPr>
        <w:t xml:space="preserve">reparaciones </w:t>
      </w:r>
      <w:r w:rsidR="00214AB7">
        <w:rPr>
          <w:b/>
          <w:sz w:val="20"/>
          <w:szCs w:val="20"/>
          <w:u w:val="single"/>
          <w:lang w:val="es-CR"/>
        </w:rPr>
        <w:t>pendientes de cumplimiento</w:t>
      </w:r>
    </w:p>
    <w:p w14:paraId="6ED6D9B2" w14:textId="1CA3834B" w:rsidR="00484D15" w:rsidRDefault="00484D15" w:rsidP="00097803">
      <w:pPr>
        <w:jc w:val="both"/>
        <w:rPr>
          <w:sz w:val="20"/>
          <w:szCs w:val="20"/>
        </w:rPr>
      </w:pPr>
    </w:p>
    <w:p w14:paraId="47F09BE1" w14:textId="77777777" w:rsidR="00F243DB" w:rsidRDefault="00F243DB" w:rsidP="00097803">
      <w:pPr>
        <w:jc w:val="both"/>
        <w:rPr>
          <w:sz w:val="20"/>
          <w:szCs w:val="20"/>
        </w:rPr>
      </w:pPr>
    </w:p>
    <w:p w14:paraId="6603F6BD" w14:textId="13512D9D" w:rsidR="004D15CC" w:rsidRPr="0083168A" w:rsidRDefault="00CD3155" w:rsidP="004D15CC">
      <w:pPr>
        <w:pStyle w:val="Prrafodelista"/>
        <w:numPr>
          <w:ilvl w:val="0"/>
          <w:numId w:val="10"/>
        </w:numPr>
        <w:spacing w:after="240"/>
        <w:ind w:left="0" w:firstLine="0"/>
        <w:contextualSpacing w:val="0"/>
        <w:jc w:val="both"/>
        <w:rPr>
          <w:rFonts w:eastAsia="Cambria" w:cs="Times New Roman"/>
          <w:bCs/>
          <w:sz w:val="20"/>
          <w:szCs w:val="20"/>
        </w:rPr>
      </w:pPr>
      <w:r w:rsidRPr="00CD3155">
        <w:rPr>
          <w:sz w:val="20"/>
          <w:szCs w:val="20"/>
        </w:rPr>
        <w:t>El Estado adoptará o concluirá las acciones pertinentes para garantizar el derecho de propiedad colectiva a todas las Comunidades Quilombolas de Alcântara víctimas del presente caso. Para ello, deberá ofrecer a las comunidades un título colectivo que reconozca las 78.105 hectáreas de su territorio y adoptar las medidas necesarias para delimitar, demarcar y sanear adecuadamente la propiedad, de conformidad con lo establecido en los párrafos 314 a 317 de la Sentencia</w:t>
      </w:r>
      <w:r w:rsidR="004D15CC" w:rsidRPr="004D15CC">
        <w:rPr>
          <w:sz w:val="20"/>
          <w:szCs w:val="20"/>
        </w:rPr>
        <w:t>.</w:t>
      </w:r>
      <w:r w:rsidR="001D1A56" w:rsidRPr="001D1A56">
        <w:rPr>
          <w:sz w:val="20"/>
          <w:szCs w:val="20"/>
        </w:rPr>
        <w:t xml:space="preserve"> </w:t>
      </w:r>
    </w:p>
    <w:p w14:paraId="3DA3452F" w14:textId="2C4FA678" w:rsidR="005F1D7F" w:rsidRDefault="00CD3155" w:rsidP="001D1A56">
      <w:pPr>
        <w:pStyle w:val="Prrafodelista"/>
        <w:numPr>
          <w:ilvl w:val="0"/>
          <w:numId w:val="10"/>
        </w:numPr>
        <w:spacing w:after="240"/>
        <w:ind w:left="0" w:firstLine="0"/>
        <w:contextualSpacing w:val="0"/>
        <w:jc w:val="both"/>
        <w:rPr>
          <w:rFonts w:eastAsia="Cambria" w:cs="Times New Roman"/>
          <w:bCs/>
          <w:sz w:val="20"/>
          <w:szCs w:val="20"/>
        </w:rPr>
      </w:pPr>
      <w:r w:rsidRPr="00CD3155">
        <w:rPr>
          <w:rFonts w:eastAsia="Cambria" w:cs="Times New Roman"/>
          <w:bCs/>
          <w:sz w:val="20"/>
          <w:szCs w:val="20"/>
        </w:rPr>
        <w:t>El Estado, mientras no concluya la titulación, demarcación y saneamiento del territorio de las Comunidades Quilombolas de Alcântara, se abstendrá de realizar actos que, ajenos al funcionamiento del CLA en los términos constatados en esta Sentencia, pudieran dar lugar a que agentes del propio Estado o terceros, actuando con consentimiento o tolerancia del Estado, puedan afectar la existencia, valor, uso o goce del territorio aludido, en detrimento de lo pactado en el Acuerdo firmado por las partes, de conformidad con lo establecido en el párrafo 318 de la Sentencia</w:t>
      </w:r>
      <w:r w:rsidR="004D15CC" w:rsidRPr="004D15CC">
        <w:rPr>
          <w:rFonts w:eastAsia="Cambria" w:cs="Times New Roman"/>
          <w:bCs/>
          <w:sz w:val="20"/>
          <w:szCs w:val="20"/>
        </w:rPr>
        <w:t>.</w:t>
      </w:r>
    </w:p>
    <w:p w14:paraId="589BC52F" w14:textId="798ABC10" w:rsidR="004D15CC" w:rsidRDefault="00CD3155" w:rsidP="001D1A56">
      <w:pPr>
        <w:pStyle w:val="Prrafodelista"/>
        <w:numPr>
          <w:ilvl w:val="0"/>
          <w:numId w:val="10"/>
        </w:numPr>
        <w:spacing w:after="240"/>
        <w:ind w:left="0" w:firstLine="0"/>
        <w:contextualSpacing w:val="0"/>
        <w:jc w:val="both"/>
        <w:rPr>
          <w:rFonts w:eastAsia="Cambria" w:cs="Times New Roman"/>
          <w:bCs/>
          <w:sz w:val="20"/>
          <w:szCs w:val="20"/>
        </w:rPr>
      </w:pPr>
      <w:r w:rsidRPr="00CD3155">
        <w:rPr>
          <w:rFonts w:eastAsia="Cambria" w:cs="Times New Roman"/>
          <w:bCs/>
          <w:sz w:val="20"/>
          <w:szCs w:val="20"/>
        </w:rPr>
        <w:t>El Estado instalará, una mesa de diálogo permanente de común acuerdo con las Comunidades Quilombolas de Alcântara, de conformidad con lo establecido en los párrafos 319 a 321 de la Sentencia.</w:t>
      </w:r>
    </w:p>
    <w:p w14:paraId="714833FE" w14:textId="06B2198C" w:rsidR="00CD3155" w:rsidRDefault="00CD3155" w:rsidP="001D1A56">
      <w:pPr>
        <w:pStyle w:val="Prrafodelista"/>
        <w:numPr>
          <w:ilvl w:val="0"/>
          <w:numId w:val="10"/>
        </w:numPr>
        <w:spacing w:after="240"/>
        <w:ind w:left="0" w:firstLine="0"/>
        <w:contextualSpacing w:val="0"/>
        <w:jc w:val="both"/>
        <w:rPr>
          <w:rFonts w:eastAsia="Cambria" w:cs="Times New Roman"/>
          <w:bCs/>
          <w:sz w:val="20"/>
          <w:szCs w:val="20"/>
        </w:rPr>
      </w:pPr>
      <w:r w:rsidRPr="00CD3155">
        <w:rPr>
          <w:rFonts w:eastAsia="Cambria" w:cs="Times New Roman"/>
          <w:bCs/>
          <w:sz w:val="20"/>
          <w:szCs w:val="20"/>
        </w:rPr>
        <w:t>El Estado realizará consultas previas, libres e informadas a las Comunidades Quilombolas de Alcântara en las hipótesis indicadas en los párrafos 322 y 323 de la</w:t>
      </w:r>
      <w:r w:rsidR="009328DC">
        <w:rPr>
          <w:rFonts w:eastAsia="Cambria" w:cs="Times New Roman"/>
          <w:bCs/>
          <w:sz w:val="20"/>
          <w:szCs w:val="20"/>
        </w:rPr>
        <w:t xml:space="preserve"> </w:t>
      </w:r>
      <w:r w:rsidR="009328DC" w:rsidRPr="009328DC">
        <w:rPr>
          <w:rFonts w:eastAsia="Cambria" w:cs="Times New Roman"/>
          <w:bCs/>
          <w:sz w:val="20"/>
          <w:szCs w:val="20"/>
        </w:rPr>
        <w:t>sentencia.</w:t>
      </w:r>
    </w:p>
    <w:p w14:paraId="5B06952E" w14:textId="5A5DB875" w:rsidR="009328DC" w:rsidRDefault="009328DC" w:rsidP="001D1A56">
      <w:pPr>
        <w:pStyle w:val="Prrafodelista"/>
        <w:numPr>
          <w:ilvl w:val="0"/>
          <w:numId w:val="10"/>
        </w:numPr>
        <w:spacing w:after="240"/>
        <w:ind w:left="0" w:firstLine="0"/>
        <w:contextualSpacing w:val="0"/>
        <w:jc w:val="both"/>
        <w:rPr>
          <w:rFonts w:eastAsia="Cambria" w:cs="Times New Roman"/>
          <w:bCs/>
          <w:sz w:val="20"/>
          <w:szCs w:val="20"/>
        </w:rPr>
      </w:pPr>
      <w:r w:rsidRPr="009328DC">
        <w:rPr>
          <w:rFonts w:eastAsia="Cambria" w:cs="Times New Roman"/>
          <w:bCs/>
          <w:sz w:val="20"/>
          <w:szCs w:val="20"/>
        </w:rPr>
        <w:t>El Estado realizará las publicaciones indicadas en el párrafo 327 y 328 de la Sentencia.</w:t>
      </w:r>
    </w:p>
    <w:p w14:paraId="7AE18421" w14:textId="404A3102" w:rsidR="009328DC" w:rsidRDefault="009328DC" w:rsidP="001D1A56">
      <w:pPr>
        <w:pStyle w:val="Prrafodelista"/>
        <w:numPr>
          <w:ilvl w:val="0"/>
          <w:numId w:val="10"/>
        </w:numPr>
        <w:spacing w:after="240"/>
        <w:ind w:left="0" w:firstLine="0"/>
        <w:contextualSpacing w:val="0"/>
        <w:jc w:val="both"/>
        <w:rPr>
          <w:rFonts w:eastAsia="Cambria" w:cs="Times New Roman"/>
          <w:bCs/>
          <w:sz w:val="20"/>
          <w:szCs w:val="20"/>
        </w:rPr>
      </w:pPr>
      <w:r w:rsidRPr="009328DC">
        <w:rPr>
          <w:rFonts w:eastAsia="Cambria" w:cs="Times New Roman"/>
          <w:bCs/>
          <w:sz w:val="20"/>
          <w:szCs w:val="20"/>
        </w:rPr>
        <w:t xml:space="preserve">El Estado realizará un acto público de reconocimiento de responsabilidad internacional en relación con los hechos y las violaciones declaradas en el presente caso, de conformidad con lo establecido en los párrafos 329 y 330 de </w:t>
      </w:r>
      <w:r w:rsidR="00064808">
        <w:rPr>
          <w:rFonts w:eastAsia="Cambria" w:cs="Times New Roman"/>
          <w:bCs/>
          <w:sz w:val="20"/>
          <w:szCs w:val="20"/>
        </w:rPr>
        <w:t>la</w:t>
      </w:r>
      <w:r w:rsidRPr="009328DC">
        <w:rPr>
          <w:rFonts w:eastAsia="Cambria" w:cs="Times New Roman"/>
          <w:bCs/>
          <w:sz w:val="20"/>
          <w:szCs w:val="20"/>
        </w:rPr>
        <w:t xml:space="preserve"> Sentencia.</w:t>
      </w:r>
    </w:p>
    <w:p w14:paraId="472BC3E6" w14:textId="549E63DC" w:rsidR="009328DC" w:rsidRDefault="009328DC" w:rsidP="001D1A56">
      <w:pPr>
        <w:pStyle w:val="Prrafodelista"/>
        <w:numPr>
          <w:ilvl w:val="0"/>
          <w:numId w:val="10"/>
        </w:numPr>
        <w:spacing w:after="240"/>
        <w:ind w:left="0" w:firstLine="0"/>
        <w:contextualSpacing w:val="0"/>
        <w:jc w:val="both"/>
        <w:rPr>
          <w:rFonts w:eastAsia="Cambria" w:cs="Times New Roman"/>
          <w:bCs/>
          <w:sz w:val="20"/>
          <w:szCs w:val="20"/>
        </w:rPr>
      </w:pPr>
      <w:r w:rsidRPr="009328DC">
        <w:rPr>
          <w:rFonts w:eastAsia="Cambria" w:cs="Times New Roman"/>
          <w:bCs/>
          <w:sz w:val="20"/>
          <w:szCs w:val="20"/>
        </w:rPr>
        <w:t xml:space="preserve">El Estado pagará la cantidad fijada en </w:t>
      </w:r>
      <w:r w:rsidR="00064808">
        <w:rPr>
          <w:rFonts w:eastAsia="Cambria" w:cs="Times New Roman"/>
          <w:bCs/>
          <w:sz w:val="20"/>
          <w:szCs w:val="20"/>
        </w:rPr>
        <w:t>el</w:t>
      </w:r>
      <w:r w:rsidRPr="009328DC">
        <w:rPr>
          <w:rFonts w:eastAsia="Cambria" w:cs="Times New Roman"/>
          <w:bCs/>
          <w:sz w:val="20"/>
          <w:szCs w:val="20"/>
        </w:rPr>
        <w:t xml:space="preserve"> párrafo 342 de </w:t>
      </w:r>
      <w:r w:rsidR="00064808">
        <w:rPr>
          <w:rFonts w:eastAsia="Cambria" w:cs="Times New Roman"/>
          <w:bCs/>
          <w:sz w:val="20"/>
          <w:szCs w:val="20"/>
        </w:rPr>
        <w:t>la</w:t>
      </w:r>
      <w:r w:rsidRPr="009328DC">
        <w:rPr>
          <w:rFonts w:eastAsia="Cambria" w:cs="Times New Roman"/>
          <w:bCs/>
          <w:sz w:val="20"/>
          <w:szCs w:val="20"/>
        </w:rPr>
        <w:t xml:space="preserve"> Sentencia por concepto de indemnización por daño material e inmaterial, en los términos de los párrafos 341, 343, 344 y 348 a 352 de </w:t>
      </w:r>
      <w:r w:rsidR="00064808">
        <w:rPr>
          <w:rFonts w:eastAsia="Cambria" w:cs="Times New Roman"/>
          <w:bCs/>
          <w:sz w:val="20"/>
          <w:szCs w:val="20"/>
        </w:rPr>
        <w:t>la</w:t>
      </w:r>
      <w:r w:rsidRPr="009328DC">
        <w:rPr>
          <w:rFonts w:eastAsia="Cambria" w:cs="Times New Roman"/>
          <w:bCs/>
          <w:sz w:val="20"/>
          <w:szCs w:val="20"/>
        </w:rPr>
        <w:t xml:space="preserve"> Sentencia.</w:t>
      </w:r>
    </w:p>
    <w:p w14:paraId="28E1D636" w14:textId="01DA3EDB" w:rsidR="009328DC" w:rsidRPr="0083168A" w:rsidRDefault="009328DC" w:rsidP="001D1A56">
      <w:pPr>
        <w:pStyle w:val="Prrafodelista"/>
        <w:numPr>
          <w:ilvl w:val="0"/>
          <w:numId w:val="10"/>
        </w:numPr>
        <w:spacing w:after="240"/>
        <w:ind w:left="0" w:firstLine="0"/>
        <w:contextualSpacing w:val="0"/>
        <w:jc w:val="both"/>
        <w:rPr>
          <w:rFonts w:eastAsia="Cambria" w:cs="Times New Roman"/>
          <w:bCs/>
          <w:sz w:val="20"/>
          <w:szCs w:val="20"/>
        </w:rPr>
      </w:pPr>
      <w:r w:rsidRPr="009328DC">
        <w:rPr>
          <w:rFonts w:eastAsia="Cambria" w:cs="Times New Roman"/>
          <w:bCs/>
          <w:sz w:val="20"/>
          <w:szCs w:val="20"/>
        </w:rPr>
        <w:t xml:space="preserve">El Estado pagará la cantidad fijada en </w:t>
      </w:r>
      <w:r w:rsidR="00064808">
        <w:rPr>
          <w:rFonts w:eastAsia="Cambria" w:cs="Times New Roman"/>
          <w:bCs/>
          <w:sz w:val="20"/>
          <w:szCs w:val="20"/>
        </w:rPr>
        <w:t>el</w:t>
      </w:r>
      <w:r w:rsidRPr="009328DC">
        <w:rPr>
          <w:rFonts w:eastAsia="Cambria" w:cs="Times New Roman"/>
          <w:bCs/>
          <w:sz w:val="20"/>
          <w:szCs w:val="20"/>
        </w:rPr>
        <w:t xml:space="preserve"> párrafo 347 de </w:t>
      </w:r>
      <w:r w:rsidR="00064808">
        <w:rPr>
          <w:rFonts w:eastAsia="Cambria" w:cs="Times New Roman"/>
          <w:bCs/>
          <w:sz w:val="20"/>
          <w:szCs w:val="20"/>
        </w:rPr>
        <w:t>la</w:t>
      </w:r>
      <w:r w:rsidRPr="009328DC">
        <w:rPr>
          <w:rFonts w:eastAsia="Cambria" w:cs="Times New Roman"/>
          <w:bCs/>
          <w:sz w:val="20"/>
          <w:szCs w:val="20"/>
        </w:rPr>
        <w:t xml:space="preserve"> Sentencia por el reintegro de costas y gastos, en los términos de los párrafos 341, 343, 344 y 348 a 352 de </w:t>
      </w:r>
      <w:r w:rsidR="00064808">
        <w:rPr>
          <w:rFonts w:eastAsia="Cambria" w:cs="Times New Roman"/>
          <w:bCs/>
          <w:sz w:val="20"/>
          <w:szCs w:val="20"/>
        </w:rPr>
        <w:t>la</w:t>
      </w:r>
      <w:r w:rsidRPr="009328DC">
        <w:rPr>
          <w:rFonts w:eastAsia="Cambria" w:cs="Times New Roman"/>
          <w:bCs/>
          <w:sz w:val="20"/>
          <w:szCs w:val="20"/>
        </w:rPr>
        <w:t xml:space="preserve"> Sentencia.</w:t>
      </w:r>
    </w:p>
    <w:sectPr w:rsidR="009328DC" w:rsidRPr="0083168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7692E" w14:textId="77777777" w:rsidR="00D06737" w:rsidRDefault="00D06737" w:rsidP="009F7EF4">
      <w:r>
        <w:separator/>
      </w:r>
    </w:p>
  </w:endnote>
  <w:endnote w:type="continuationSeparator" w:id="0">
    <w:p w14:paraId="221CBAA7" w14:textId="77777777" w:rsidR="00D06737" w:rsidRDefault="00D06737"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ECD29" w14:textId="77777777" w:rsidR="00D06737" w:rsidRDefault="00D06737" w:rsidP="009F7EF4">
      <w:r>
        <w:separator/>
      </w:r>
    </w:p>
  </w:footnote>
  <w:footnote w:type="continuationSeparator" w:id="0">
    <w:p w14:paraId="6A395C55" w14:textId="77777777" w:rsidR="00D06737" w:rsidRDefault="00D06737"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40231F2"/>
    <w:multiLevelType w:val="hybridMultilevel"/>
    <w:tmpl w:val="078A7B92"/>
    <w:lvl w:ilvl="0" w:tplc="4A1EB270">
      <w:start w:val="1"/>
      <w:numFmt w:val="decimal"/>
      <w:lvlText w:val="%1."/>
      <w:lvlJc w:val="left"/>
      <w:pPr>
        <w:ind w:left="720" w:hanging="360"/>
      </w:pPr>
      <w:rPr>
        <w:rFonts w:eastAsia="Batang" w:cs="Time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12612D0"/>
    <w:multiLevelType w:val="hybridMultilevel"/>
    <w:tmpl w:val="61EADAE6"/>
    <w:lvl w:ilvl="0" w:tplc="1B804368">
      <w:start w:val="1"/>
      <w:numFmt w:val="decimal"/>
      <w:lvlText w:val="%1."/>
      <w:lvlJc w:val="left"/>
      <w:pPr>
        <w:ind w:left="720" w:hanging="360"/>
      </w:pPr>
      <w:rPr>
        <w:rFonts w:eastAsia="Batang" w:cs="Time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73223C14"/>
    <w:multiLevelType w:val="hybridMultilevel"/>
    <w:tmpl w:val="A2FE5A9C"/>
    <w:lvl w:ilvl="0" w:tplc="BC604A08">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8"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9"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9"/>
  </w:num>
  <w:num w:numId="2" w16cid:durableId="1006977419">
    <w:abstractNumId w:val="3"/>
  </w:num>
  <w:num w:numId="3" w16cid:durableId="1898857309">
    <w:abstractNumId w:val="8"/>
  </w:num>
  <w:num w:numId="4" w16cid:durableId="813376198">
    <w:abstractNumId w:val="0"/>
  </w:num>
  <w:num w:numId="5" w16cid:durableId="1301183043">
    <w:abstractNumId w:val="2"/>
  </w:num>
  <w:num w:numId="6" w16cid:durableId="1987202998">
    <w:abstractNumId w:val="4"/>
  </w:num>
  <w:num w:numId="7" w16cid:durableId="834998481">
    <w:abstractNumId w:val="7"/>
  </w:num>
  <w:num w:numId="8" w16cid:durableId="951135220">
    <w:abstractNumId w:val="6"/>
  </w:num>
  <w:num w:numId="9" w16cid:durableId="2022466293">
    <w:abstractNumId w:val="5"/>
  </w:num>
  <w:num w:numId="10" w16cid:durableId="314267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00DC1"/>
    <w:rsid w:val="0001476E"/>
    <w:rsid w:val="000175CC"/>
    <w:rsid w:val="00025CD3"/>
    <w:rsid w:val="00037043"/>
    <w:rsid w:val="00064808"/>
    <w:rsid w:val="00084386"/>
    <w:rsid w:val="000930F6"/>
    <w:rsid w:val="0009537E"/>
    <w:rsid w:val="00097803"/>
    <w:rsid w:val="000A328D"/>
    <w:rsid w:val="000D6BA4"/>
    <w:rsid w:val="00101CC6"/>
    <w:rsid w:val="001426AA"/>
    <w:rsid w:val="001729AE"/>
    <w:rsid w:val="001D1A56"/>
    <w:rsid w:val="001F3394"/>
    <w:rsid w:val="0020026E"/>
    <w:rsid w:val="00206FE0"/>
    <w:rsid w:val="00214AB7"/>
    <w:rsid w:val="0027431F"/>
    <w:rsid w:val="00291327"/>
    <w:rsid w:val="00296F77"/>
    <w:rsid w:val="002B3295"/>
    <w:rsid w:val="002C605B"/>
    <w:rsid w:val="002E376C"/>
    <w:rsid w:val="00327391"/>
    <w:rsid w:val="0033655E"/>
    <w:rsid w:val="003A7E5E"/>
    <w:rsid w:val="003A7FFC"/>
    <w:rsid w:val="003C16B0"/>
    <w:rsid w:val="003C561A"/>
    <w:rsid w:val="003E2FF4"/>
    <w:rsid w:val="004022F2"/>
    <w:rsid w:val="00422916"/>
    <w:rsid w:val="0045626B"/>
    <w:rsid w:val="00474D04"/>
    <w:rsid w:val="00476F6E"/>
    <w:rsid w:val="00484D15"/>
    <w:rsid w:val="004D15CC"/>
    <w:rsid w:val="004D4FC6"/>
    <w:rsid w:val="005154EE"/>
    <w:rsid w:val="00516D57"/>
    <w:rsid w:val="005A203D"/>
    <w:rsid w:val="005C17DC"/>
    <w:rsid w:val="005D1A85"/>
    <w:rsid w:val="005F1D7F"/>
    <w:rsid w:val="006022F0"/>
    <w:rsid w:val="00617B3E"/>
    <w:rsid w:val="006913E6"/>
    <w:rsid w:val="006A777A"/>
    <w:rsid w:val="006C38A6"/>
    <w:rsid w:val="006D2115"/>
    <w:rsid w:val="006E15DE"/>
    <w:rsid w:val="00774C9B"/>
    <w:rsid w:val="00782A96"/>
    <w:rsid w:val="00792165"/>
    <w:rsid w:val="00794425"/>
    <w:rsid w:val="007B14CE"/>
    <w:rsid w:val="007C0B7C"/>
    <w:rsid w:val="0083168A"/>
    <w:rsid w:val="00834F1A"/>
    <w:rsid w:val="00861B57"/>
    <w:rsid w:val="00867C2F"/>
    <w:rsid w:val="00867C99"/>
    <w:rsid w:val="00876E46"/>
    <w:rsid w:val="008F7FCD"/>
    <w:rsid w:val="00911036"/>
    <w:rsid w:val="00926FFB"/>
    <w:rsid w:val="009328DC"/>
    <w:rsid w:val="009832C0"/>
    <w:rsid w:val="009A3089"/>
    <w:rsid w:val="009A6D74"/>
    <w:rsid w:val="009D22BE"/>
    <w:rsid w:val="009D6A26"/>
    <w:rsid w:val="009F1AA3"/>
    <w:rsid w:val="009F7EF4"/>
    <w:rsid w:val="00A1649A"/>
    <w:rsid w:val="00A721F8"/>
    <w:rsid w:val="00AA2296"/>
    <w:rsid w:val="00AA6B2F"/>
    <w:rsid w:val="00AD4A39"/>
    <w:rsid w:val="00AD65AD"/>
    <w:rsid w:val="00AE0035"/>
    <w:rsid w:val="00B03BA7"/>
    <w:rsid w:val="00B11B9B"/>
    <w:rsid w:val="00B26326"/>
    <w:rsid w:val="00B32A37"/>
    <w:rsid w:val="00B33305"/>
    <w:rsid w:val="00BA6BA9"/>
    <w:rsid w:val="00BB47B7"/>
    <w:rsid w:val="00BC5824"/>
    <w:rsid w:val="00BD2A02"/>
    <w:rsid w:val="00BE56CA"/>
    <w:rsid w:val="00C04CCC"/>
    <w:rsid w:val="00C4747D"/>
    <w:rsid w:val="00C66067"/>
    <w:rsid w:val="00C807CF"/>
    <w:rsid w:val="00C87CB7"/>
    <w:rsid w:val="00C933B8"/>
    <w:rsid w:val="00CA1142"/>
    <w:rsid w:val="00CA28DC"/>
    <w:rsid w:val="00CD3155"/>
    <w:rsid w:val="00CF3296"/>
    <w:rsid w:val="00CF5AE9"/>
    <w:rsid w:val="00D042E3"/>
    <w:rsid w:val="00D06737"/>
    <w:rsid w:val="00D26E80"/>
    <w:rsid w:val="00D3440D"/>
    <w:rsid w:val="00D843BF"/>
    <w:rsid w:val="00D963BA"/>
    <w:rsid w:val="00E42392"/>
    <w:rsid w:val="00E45105"/>
    <w:rsid w:val="00E50670"/>
    <w:rsid w:val="00E507C2"/>
    <w:rsid w:val="00E5304C"/>
    <w:rsid w:val="00E85D9E"/>
    <w:rsid w:val="00EC6891"/>
    <w:rsid w:val="00ED29C6"/>
    <w:rsid w:val="00F243DB"/>
    <w:rsid w:val="00F50093"/>
    <w:rsid w:val="00F9352E"/>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CC"/>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342</Words>
  <Characters>1882</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68</cp:revision>
  <cp:lastPrinted>2021-09-15T18:01:00Z</cp:lastPrinted>
  <dcterms:created xsi:type="dcterms:W3CDTF">2018-07-09T19:23:00Z</dcterms:created>
  <dcterms:modified xsi:type="dcterms:W3CDTF">2025-05-08T22:52:00Z</dcterms:modified>
</cp:coreProperties>
</file>