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46577BED" w:rsidR="00214AB7" w:rsidRPr="00DD563B" w:rsidRDefault="007B1621" w:rsidP="00214AB7">
      <w:pPr>
        <w:jc w:val="center"/>
        <w:rPr>
          <w:sz w:val="20"/>
          <w:szCs w:val="20"/>
        </w:rPr>
      </w:pPr>
      <w:r w:rsidRPr="00DD563B">
        <w:rPr>
          <w:b/>
          <w:iCs/>
          <w:sz w:val="20"/>
          <w:szCs w:val="20"/>
          <w:u w:val="single"/>
          <w:lang w:val="es-CR"/>
        </w:rPr>
        <w:t>Tavares Pereira</w:t>
      </w:r>
      <w:r w:rsidR="00BC3223" w:rsidRPr="00DD563B">
        <w:rPr>
          <w:b/>
          <w:iCs/>
          <w:sz w:val="20"/>
          <w:szCs w:val="20"/>
          <w:u w:val="single"/>
          <w:lang w:val="es-CR"/>
        </w:rPr>
        <w:t xml:space="preserve"> y otros</w:t>
      </w:r>
      <w:r w:rsidR="00484D15" w:rsidRPr="00DD563B">
        <w:rPr>
          <w:b/>
          <w:iCs/>
          <w:sz w:val="20"/>
          <w:szCs w:val="20"/>
          <w:u w:val="single"/>
          <w:lang w:val="es-CR"/>
        </w:rPr>
        <w:t xml:space="preserve"> </w:t>
      </w:r>
      <w:r w:rsidR="00484D15" w:rsidRPr="00DD563B">
        <w:rPr>
          <w:b/>
          <w:i/>
          <w:sz w:val="20"/>
          <w:szCs w:val="20"/>
          <w:u w:val="single"/>
          <w:lang w:val="es-CR"/>
        </w:rPr>
        <w:t>Vs</w:t>
      </w:r>
      <w:r w:rsidR="00484D15" w:rsidRPr="00DD563B">
        <w:rPr>
          <w:b/>
          <w:iCs/>
          <w:sz w:val="20"/>
          <w:szCs w:val="20"/>
          <w:u w:val="single"/>
          <w:lang w:val="es-CR"/>
        </w:rPr>
        <w:t xml:space="preserve">. </w:t>
      </w:r>
      <w:r w:rsidR="00B747D9" w:rsidRPr="00DD563B">
        <w:rPr>
          <w:b/>
          <w:iCs/>
          <w:sz w:val="20"/>
          <w:szCs w:val="20"/>
          <w:u w:val="single"/>
          <w:lang w:val="es-CR"/>
        </w:rPr>
        <w:t>Brasil</w:t>
      </w:r>
      <w:r w:rsidR="00484D15" w:rsidRPr="00DD563B">
        <w:rPr>
          <w:b/>
          <w:iCs/>
          <w:sz w:val="20"/>
          <w:szCs w:val="20"/>
          <w:u w:val="single"/>
          <w:lang w:val="es-CR"/>
        </w:rPr>
        <w:t>:</w:t>
      </w:r>
      <w:r w:rsidR="00484D15" w:rsidRPr="00DD563B">
        <w:rPr>
          <w:b/>
          <w:i/>
          <w:sz w:val="20"/>
          <w:szCs w:val="20"/>
          <w:u w:val="single"/>
          <w:lang w:val="es-CR"/>
        </w:rPr>
        <w:t xml:space="preserve"> </w:t>
      </w:r>
      <w:r w:rsidR="00214AB7" w:rsidRPr="00DD563B">
        <w:rPr>
          <w:b/>
          <w:sz w:val="20"/>
          <w:szCs w:val="20"/>
          <w:u w:val="single"/>
          <w:lang w:val="es-CR"/>
        </w:rPr>
        <w:t>reparaciones pendientes de cumplimiento</w:t>
      </w:r>
    </w:p>
    <w:p w14:paraId="47F09BE1" w14:textId="77777777" w:rsidR="00F243DB" w:rsidRPr="00DD563B" w:rsidRDefault="00F243DB" w:rsidP="00097803">
      <w:pPr>
        <w:jc w:val="both"/>
        <w:rPr>
          <w:sz w:val="20"/>
          <w:szCs w:val="20"/>
        </w:rPr>
      </w:pPr>
    </w:p>
    <w:p w14:paraId="5D443906" w14:textId="63FE40DD" w:rsidR="00FC7AE0" w:rsidRPr="00DD563B" w:rsidRDefault="009A4FBE" w:rsidP="002D1474">
      <w:pPr>
        <w:pStyle w:val="Prrafodelista"/>
        <w:ind w:left="0"/>
        <w:jc w:val="both"/>
        <w:rPr>
          <w:sz w:val="20"/>
          <w:szCs w:val="20"/>
        </w:rPr>
      </w:pPr>
      <w:r w:rsidRPr="00DD563B">
        <w:rPr>
          <w:sz w:val="20"/>
          <w:szCs w:val="20"/>
        </w:rPr>
        <w:t>1</w:t>
      </w:r>
      <w:r w:rsidR="00FC7AE0" w:rsidRPr="00DD563B">
        <w:rPr>
          <w:sz w:val="20"/>
          <w:szCs w:val="20"/>
        </w:rPr>
        <w:t>.</w:t>
      </w:r>
      <w:r w:rsidRPr="00DD563B">
        <w:rPr>
          <w:sz w:val="20"/>
          <w:szCs w:val="20"/>
        </w:rPr>
        <w:tab/>
      </w:r>
      <w:r w:rsidR="00FC7AE0" w:rsidRPr="00DD563B">
        <w:rPr>
          <w:sz w:val="20"/>
          <w:szCs w:val="20"/>
        </w:rPr>
        <w:t xml:space="preserve">El Estado brindará gratuitamente, y de forma oportuna, adecuada y efectiva, tratamiento médico, psicológico y/o psiquiátrico, a través de sus instituciones de salud especializadas, a los familiares del señor Tavares Pereira y las víctimas que constan del Anexo I que así lo requieran, de conformidad con lo establecido en los párrafos 189 a 191 de </w:t>
      </w:r>
      <w:r w:rsidRPr="00DD563B">
        <w:rPr>
          <w:sz w:val="20"/>
          <w:szCs w:val="20"/>
        </w:rPr>
        <w:t>la</w:t>
      </w:r>
      <w:r w:rsidR="00FC7AE0" w:rsidRPr="00DD563B">
        <w:rPr>
          <w:sz w:val="20"/>
          <w:szCs w:val="20"/>
        </w:rPr>
        <w:t xml:space="preserve"> Sentencia.</w:t>
      </w:r>
    </w:p>
    <w:p w14:paraId="1AB900E7" w14:textId="77777777" w:rsidR="00FC7AE0" w:rsidRPr="00DD563B" w:rsidRDefault="00FC7AE0" w:rsidP="002D1474">
      <w:pPr>
        <w:pStyle w:val="Prrafodelista"/>
        <w:ind w:left="0"/>
        <w:jc w:val="both"/>
        <w:rPr>
          <w:sz w:val="20"/>
          <w:szCs w:val="20"/>
        </w:rPr>
      </w:pPr>
    </w:p>
    <w:p w14:paraId="6F6744F6" w14:textId="2C0B3AD3" w:rsidR="00FC7AE0" w:rsidRPr="00DD563B" w:rsidRDefault="009A4FBE" w:rsidP="002D1474">
      <w:pPr>
        <w:pStyle w:val="Prrafodelista"/>
        <w:ind w:left="0"/>
        <w:jc w:val="both"/>
        <w:rPr>
          <w:sz w:val="20"/>
          <w:szCs w:val="20"/>
        </w:rPr>
      </w:pPr>
      <w:r w:rsidRPr="00DD563B">
        <w:rPr>
          <w:sz w:val="20"/>
          <w:szCs w:val="20"/>
        </w:rPr>
        <w:t>2</w:t>
      </w:r>
      <w:r w:rsidR="00FC7AE0" w:rsidRPr="00DD563B">
        <w:rPr>
          <w:sz w:val="20"/>
          <w:szCs w:val="20"/>
        </w:rPr>
        <w:t>.</w:t>
      </w:r>
      <w:r w:rsidRPr="00DD563B">
        <w:rPr>
          <w:sz w:val="20"/>
          <w:szCs w:val="20"/>
        </w:rPr>
        <w:tab/>
      </w:r>
      <w:r w:rsidR="00FC7AE0" w:rsidRPr="00DD563B">
        <w:rPr>
          <w:sz w:val="20"/>
          <w:szCs w:val="20"/>
        </w:rPr>
        <w:t>El Estado realizará las publicaciones indicadas en el párrafo 195 de la Sentencia.</w:t>
      </w:r>
    </w:p>
    <w:p w14:paraId="51FD9AE4" w14:textId="77777777" w:rsidR="00FC7AE0" w:rsidRPr="00DD563B" w:rsidRDefault="00FC7AE0" w:rsidP="002D1474">
      <w:pPr>
        <w:pStyle w:val="Prrafodelista"/>
        <w:ind w:left="0"/>
        <w:jc w:val="both"/>
        <w:rPr>
          <w:sz w:val="20"/>
          <w:szCs w:val="20"/>
        </w:rPr>
      </w:pPr>
    </w:p>
    <w:p w14:paraId="5D42B12D" w14:textId="2F599B87" w:rsidR="00FC7AE0" w:rsidRPr="00DD563B" w:rsidRDefault="009A4FBE" w:rsidP="002D1474">
      <w:pPr>
        <w:pStyle w:val="Prrafodelista"/>
        <w:ind w:left="0"/>
        <w:jc w:val="both"/>
        <w:rPr>
          <w:sz w:val="20"/>
          <w:szCs w:val="20"/>
        </w:rPr>
      </w:pPr>
      <w:r w:rsidRPr="00DD563B">
        <w:rPr>
          <w:sz w:val="20"/>
          <w:szCs w:val="20"/>
        </w:rPr>
        <w:t>3</w:t>
      </w:r>
      <w:r w:rsidR="00FC7AE0" w:rsidRPr="00DD563B">
        <w:rPr>
          <w:sz w:val="20"/>
          <w:szCs w:val="20"/>
        </w:rPr>
        <w:t>.</w:t>
      </w:r>
      <w:r w:rsidRPr="00DD563B">
        <w:rPr>
          <w:sz w:val="20"/>
          <w:szCs w:val="20"/>
        </w:rPr>
        <w:tab/>
      </w:r>
      <w:r w:rsidR="00FC7AE0" w:rsidRPr="00DD563B">
        <w:rPr>
          <w:sz w:val="20"/>
          <w:szCs w:val="20"/>
        </w:rPr>
        <w:t xml:space="preserve">El Estado realizará un acto público de reconocimiento de responsabilidad internacional en relación con los hechos del presente caso, de conformidad con lo establecido en el párrafo 196 de </w:t>
      </w:r>
      <w:r w:rsidRPr="00DD563B">
        <w:rPr>
          <w:sz w:val="20"/>
          <w:szCs w:val="20"/>
        </w:rPr>
        <w:t>la</w:t>
      </w:r>
      <w:r w:rsidR="00FC7AE0" w:rsidRPr="00DD563B">
        <w:rPr>
          <w:sz w:val="20"/>
          <w:szCs w:val="20"/>
        </w:rPr>
        <w:t xml:space="preserve"> Sentencia.</w:t>
      </w:r>
    </w:p>
    <w:p w14:paraId="62E28508" w14:textId="77777777" w:rsidR="00FC7AE0" w:rsidRPr="00DD563B" w:rsidRDefault="00FC7AE0" w:rsidP="002D1474">
      <w:pPr>
        <w:pStyle w:val="Prrafodelista"/>
        <w:ind w:left="0"/>
        <w:jc w:val="both"/>
        <w:rPr>
          <w:sz w:val="20"/>
          <w:szCs w:val="20"/>
        </w:rPr>
      </w:pPr>
    </w:p>
    <w:p w14:paraId="3652A05E" w14:textId="4F8561AE" w:rsidR="009A4FBE" w:rsidRPr="00DD563B" w:rsidRDefault="009A4FBE" w:rsidP="002D1474">
      <w:pPr>
        <w:pStyle w:val="Prrafodelista"/>
        <w:ind w:left="0"/>
        <w:jc w:val="both"/>
        <w:rPr>
          <w:sz w:val="20"/>
          <w:szCs w:val="20"/>
        </w:rPr>
      </w:pPr>
      <w:r w:rsidRPr="00DD563B">
        <w:rPr>
          <w:sz w:val="20"/>
          <w:szCs w:val="20"/>
        </w:rPr>
        <w:t>4</w:t>
      </w:r>
      <w:r w:rsidR="00FC7AE0" w:rsidRPr="00DD563B">
        <w:rPr>
          <w:sz w:val="20"/>
          <w:szCs w:val="20"/>
        </w:rPr>
        <w:t>.</w:t>
      </w:r>
      <w:r w:rsidRPr="00DD563B">
        <w:rPr>
          <w:sz w:val="20"/>
          <w:szCs w:val="20"/>
        </w:rPr>
        <w:tab/>
      </w:r>
      <w:r w:rsidR="00FC7AE0" w:rsidRPr="00DD563B">
        <w:rPr>
          <w:sz w:val="20"/>
          <w:szCs w:val="20"/>
        </w:rPr>
        <w:t xml:space="preserve">El Estado adoptará todas las medidas adecuadas para proteger de manera efectiva el Monumento Antônio Tavares Pereira en el lugar en que está edificado, de conformidad con lo establecido en el párrafo 199 de </w:t>
      </w:r>
      <w:r w:rsidR="00DD563B" w:rsidRPr="00DD563B">
        <w:rPr>
          <w:sz w:val="20"/>
          <w:szCs w:val="20"/>
        </w:rPr>
        <w:t>la</w:t>
      </w:r>
      <w:r w:rsidR="00FC7AE0" w:rsidRPr="00DD563B">
        <w:rPr>
          <w:sz w:val="20"/>
          <w:szCs w:val="20"/>
        </w:rPr>
        <w:t xml:space="preserve"> Sentencia. </w:t>
      </w:r>
    </w:p>
    <w:p w14:paraId="77982F8F" w14:textId="77777777" w:rsidR="009A4FBE" w:rsidRPr="00DD563B" w:rsidRDefault="009A4FBE" w:rsidP="002D1474">
      <w:pPr>
        <w:pStyle w:val="Prrafodelista"/>
        <w:ind w:left="0"/>
        <w:jc w:val="both"/>
        <w:rPr>
          <w:sz w:val="20"/>
          <w:szCs w:val="20"/>
        </w:rPr>
      </w:pPr>
    </w:p>
    <w:p w14:paraId="2F65D6B9" w14:textId="05347D6B" w:rsidR="006D1896" w:rsidRPr="00DD563B" w:rsidRDefault="009A4FBE" w:rsidP="002D1474">
      <w:pPr>
        <w:pStyle w:val="Prrafodelista"/>
        <w:ind w:left="0"/>
        <w:jc w:val="both"/>
        <w:rPr>
          <w:sz w:val="20"/>
          <w:szCs w:val="20"/>
        </w:rPr>
      </w:pPr>
      <w:r w:rsidRPr="00DD563B">
        <w:rPr>
          <w:sz w:val="20"/>
          <w:szCs w:val="20"/>
        </w:rPr>
        <w:t>5.</w:t>
      </w:r>
      <w:r w:rsidRPr="00DD563B">
        <w:rPr>
          <w:sz w:val="20"/>
          <w:szCs w:val="20"/>
        </w:rPr>
        <w:tab/>
      </w:r>
      <w:r w:rsidR="00FC7AE0" w:rsidRPr="00DD563B">
        <w:rPr>
          <w:sz w:val="20"/>
          <w:szCs w:val="20"/>
        </w:rPr>
        <w:t xml:space="preserve">El Estado incluirá un contenido específico en la curricula permanente de formación de las fuerzas de seguridad que actúan en el contexto de manifestaciones públicas en el estado de Paraná, en los términos del párrafo 206 de </w:t>
      </w:r>
      <w:r w:rsidRPr="00DD563B">
        <w:rPr>
          <w:sz w:val="20"/>
          <w:szCs w:val="20"/>
        </w:rPr>
        <w:t>la</w:t>
      </w:r>
      <w:r w:rsidR="00FC7AE0" w:rsidRPr="00DD563B">
        <w:rPr>
          <w:sz w:val="20"/>
          <w:szCs w:val="20"/>
        </w:rPr>
        <w:t xml:space="preserve"> Sentencia.</w:t>
      </w:r>
    </w:p>
    <w:p w14:paraId="615651A0" w14:textId="77777777" w:rsidR="00FC7AE0" w:rsidRPr="00DD563B" w:rsidRDefault="00FC7AE0" w:rsidP="002D1474">
      <w:pPr>
        <w:pStyle w:val="Prrafodelista"/>
        <w:ind w:left="0"/>
        <w:jc w:val="both"/>
        <w:rPr>
          <w:sz w:val="20"/>
          <w:szCs w:val="20"/>
        </w:rPr>
      </w:pPr>
    </w:p>
    <w:p w14:paraId="3052DF61" w14:textId="06FD7B1C" w:rsidR="009A4FBE" w:rsidRPr="00DD563B" w:rsidRDefault="009A4FBE" w:rsidP="002D1474">
      <w:pPr>
        <w:pStyle w:val="Prrafodelista"/>
        <w:ind w:left="0"/>
        <w:jc w:val="both"/>
        <w:rPr>
          <w:sz w:val="20"/>
          <w:szCs w:val="20"/>
        </w:rPr>
      </w:pPr>
      <w:r w:rsidRPr="00DD563B">
        <w:rPr>
          <w:sz w:val="20"/>
          <w:szCs w:val="20"/>
        </w:rPr>
        <w:t>6</w:t>
      </w:r>
      <w:r w:rsidR="00FC7AE0" w:rsidRPr="00DD563B">
        <w:rPr>
          <w:sz w:val="20"/>
          <w:szCs w:val="20"/>
        </w:rPr>
        <w:t>.</w:t>
      </w:r>
      <w:r w:rsidRPr="00DD563B">
        <w:rPr>
          <w:sz w:val="20"/>
          <w:szCs w:val="20"/>
        </w:rPr>
        <w:tab/>
      </w:r>
      <w:r w:rsidR="00FC7AE0" w:rsidRPr="00DD563B">
        <w:rPr>
          <w:sz w:val="20"/>
          <w:szCs w:val="20"/>
        </w:rPr>
        <w:t>El Estado adecuará su ordenamiento jurídico respecto de la competencia de la Justicia</w:t>
      </w:r>
      <w:r w:rsidR="00FC7AE0" w:rsidRPr="00DD563B">
        <w:rPr>
          <w:sz w:val="20"/>
          <w:szCs w:val="20"/>
        </w:rPr>
        <w:t xml:space="preserve"> </w:t>
      </w:r>
      <w:r w:rsidR="00FC7AE0" w:rsidRPr="00DD563B">
        <w:rPr>
          <w:sz w:val="20"/>
          <w:szCs w:val="20"/>
        </w:rPr>
        <w:t xml:space="preserve">Militar a los principios establecidos en la jurisprudencia de este Tribunal, de conformidad con el párrafo 209 de </w:t>
      </w:r>
      <w:r w:rsidRPr="00DD563B">
        <w:rPr>
          <w:sz w:val="20"/>
          <w:szCs w:val="20"/>
        </w:rPr>
        <w:t>la</w:t>
      </w:r>
      <w:r w:rsidR="00FC7AE0" w:rsidRPr="00DD563B">
        <w:rPr>
          <w:sz w:val="20"/>
          <w:szCs w:val="20"/>
        </w:rPr>
        <w:t xml:space="preserve"> Sentencia. </w:t>
      </w:r>
    </w:p>
    <w:p w14:paraId="02AB7E7F" w14:textId="77777777" w:rsidR="009A4FBE" w:rsidRPr="00DD563B" w:rsidRDefault="009A4FBE" w:rsidP="002D1474">
      <w:pPr>
        <w:pStyle w:val="Prrafodelista"/>
        <w:ind w:left="0"/>
        <w:jc w:val="both"/>
        <w:rPr>
          <w:sz w:val="20"/>
          <w:szCs w:val="20"/>
        </w:rPr>
      </w:pPr>
    </w:p>
    <w:p w14:paraId="09735BFC" w14:textId="011C7955" w:rsidR="00FC7AE0" w:rsidRDefault="009A4FBE" w:rsidP="002D1474">
      <w:pPr>
        <w:pStyle w:val="Prrafodelista"/>
        <w:ind w:left="0"/>
        <w:jc w:val="both"/>
        <w:rPr>
          <w:sz w:val="20"/>
          <w:szCs w:val="20"/>
        </w:rPr>
      </w:pPr>
      <w:r w:rsidRPr="00DD563B">
        <w:rPr>
          <w:sz w:val="20"/>
          <w:szCs w:val="20"/>
        </w:rPr>
        <w:t>7.</w:t>
      </w:r>
      <w:r w:rsidRPr="00DD563B">
        <w:rPr>
          <w:sz w:val="20"/>
          <w:szCs w:val="20"/>
        </w:rPr>
        <w:tab/>
      </w:r>
      <w:r w:rsidR="00FC7AE0" w:rsidRPr="00DD563B">
        <w:rPr>
          <w:sz w:val="20"/>
          <w:szCs w:val="20"/>
        </w:rPr>
        <w:t>El Estado pagará las cantidades fijadas en los párrafos 226, 227</w:t>
      </w:r>
      <w:r w:rsidR="003E6FFC">
        <w:rPr>
          <w:sz w:val="20"/>
          <w:szCs w:val="20"/>
        </w:rPr>
        <w:t xml:space="preserve"> y</w:t>
      </w:r>
      <w:r w:rsidR="00FC7AE0" w:rsidRPr="00DD563B">
        <w:rPr>
          <w:sz w:val="20"/>
          <w:szCs w:val="20"/>
        </w:rPr>
        <w:t xml:space="preserve"> 231 por concepto de indemnización por daño material e inmaterial, en los términos de los párrafos 240 a 245 de </w:t>
      </w:r>
      <w:r w:rsidRPr="00DD563B">
        <w:rPr>
          <w:sz w:val="20"/>
          <w:szCs w:val="20"/>
        </w:rPr>
        <w:t>la</w:t>
      </w:r>
      <w:r w:rsidR="00FC7AE0" w:rsidRPr="00DD563B">
        <w:rPr>
          <w:sz w:val="20"/>
          <w:szCs w:val="20"/>
        </w:rPr>
        <w:t xml:space="preserve"> Sentencia.</w:t>
      </w:r>
    </w:p>
    <w:p w14:paraId="2C866024" w14:textId="77777777" w:rsidR="00DD563B" w:rsidRDefault="00DD563B" w:rsidP="002D1474">
      <w:pPr>
        <w:pStyle w:val="Prrafodelista"/>
        <w:ind w:left="0"/>
        <w:jc w:val="both"/>
        <w:rPr>
          <w:sz w:val="20"/>
          <w:szCs w:val="20"/>
        </w:rPr>
      </w:pPr>
    </w:p>
    <w:p w14:paraId="5F5C409E" w14:textId="5BF82273" w:rsidR="00DD563B" w:rsidRPr="00DD563B" w:rsidRDefault="006E49BE" w:rsidP="00DD563B">
      <w:pPr>
        <w:pStyle w:val="Prrafodelista"/>
        <w:ind w:left="0"/>
        <w:jc w:val="both"/>
        <w:rPr>
          <w:rFonts w:eastAsia="Cambria" w:cs="Times New Roman"/>
          <w:bCs/>
          <w:sz w:val="20"/>
          <w:szCs w:val="20"/>
        </w:rPr>
      </w:pPr>
      <w:r>
        <w:rPr>
          <w:sz w:val="20"/>
          <w:szCs w:val="20"/>
        </w:rPr>
        <w:t>8</w:t>
      </w:r>
      <w:r w:rsidR="00DD563B" w:rsidRPr="00DD563B">
        <w:rPr>
          <w:sz w:val="20"/>
          <w:szCs w:val="20"/>
        </w:rPr>
        <w:t>.</w:t>
      </w:r>
      <w:r w:rsidR="00DD563B" w:rsidRPr="00DD563B">
        <w:rPr>
          <w:sz w:val="20"/>
          <w:szCs w:val="20"/>
        </w:rPr>
        <w:tab/>
        <w:t xml:space="preserve">El Estado pagará las cantidades fijadas en </w:t>
      </w:r>
      <w:r w:rsidR="00B731E9">
        <w:rPr>
          <w:sz w:val="20"/>
          <w:szCs w:val="20"/>
        </w:rPr>
        <w:t>el párrafo</w:t>
      </w:r>
      <w:r w:rsidR="00DD563B" w:rsidRPr="00DD563B">
        <w:rPr>
          <w:sz w:val="20"/>
          <w:szCs w:val="20"/>
        </w:rPr>
        <w:t xml:space="preserve"> 238 de </w:t>
      </w:r>
      <w:r w:rsidR="00B731E9">
        <w:rPr>
          <w:sz w:val="20"/>
          <w:szCs w:val="20"/>
        </w:rPr>
        <w:t>la</w:t>
      </w:r>
      <w:r w:rsidR="00DD563B" w:rsidRPr="00DD563B">
        <w:rPr>
          <w:sz w:val="20"/>
          <w:szCs w:val="20"/>
        </w:rPr>
        <w:t xml:space="preserve"> Sentencia por concepto de</w:t>
      </w:r>
      <w:r w:rsidR="003E6FFC">
        <w:rPr>
          <w:sz w:val="20"/>
          <w:szCs w:val="20"/>
        </w:rPr>
        <w:t xml:space="preserve">l </w:t>
      </w:r>
      <w:r w:rsidR="00DD563B" w:rsidRPr="00DD563B">
        <w:rPr>
          <w:sz w:val="20"/>
          <w:szCs w:val="20"/>
        </w:rPr>
        <w:t>reintegro de costas y gastos, en los términos de los párrafos 240 a 245 de la Sentencia.</w:t>
      </w:r>
    </w:p>
    <w:p w14:paraId="28F52369" w14:textId="77777777" w:rsidR="00DD563B" w:rsidRPr="00DD563B" w:rsidRDefault="00DD563B" w:rsidP="002D1474">
      <w:pPr>
        <w:pStyle w:val="Prrafodelista"/>
        <w:ind w:left="0"/>
        <w:jc w:val="both"/>
        <w:rPr>
          <w:rFonts w:eastAsia="Cambria" w:cs="Times New Roman"/>
          <w:bCs/>
          <w:sz w:val="20"/>
          <w:szCs w:val="20"/>
        </w:rPr>
      </w:pPr>
    </w:p>
    <w:sectPr w:rsidR="00DD563B" w:rsidRPr="00DD56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E0112" w14:textId="77777777" w:rsidR="006A16F7" w:rsidRDefault="006A16F7" w:rsidP="009F7EF4">
      <w:r>
        <w:separator/>
      </w:r>
    </w:p>
  </w:endnote>
  <w:endnote w:type="continuationSeparator" w:id="0">
    <w:p w14:paraId="4B8F1ACF" w14:textId="77777777" w:rsidR="006A16F7" w:rsidRDefault="006A16F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89B8" w14:textId="77777777" w:rsidR="006A16F7" w:rsidRDefault="006A16F7" w:rsidP="009F7EF4">
      <w:r>
        <w:separator/>
      </w:r>
    </w:p>
  </w:footnote>
  <w:footnote w:type="continuationSeparator" w:id="0">
    <w:p w14:paraId="26969F3B" w14:textId="77777777" w:rsidR="006A16F7" w:rsidRDefault="006A16F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B3685"/>
    <w:multiLevelType w:val="hybridMultilevel"/>
    <w:tmpl w:val="69B60D04"/>
    <w:lvl w:ilvl="0" w:tplc="47700DA2">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7"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8"/>
  </w:num>
  <w:num w:numId="2" w16cid:durableId="1006977419">
    <w:abstractNumId w:val="3"/>
  </w:num>
  <w:num w:numId="3" w16cid:durableId="1898857309">
    <w:abstractNumId w:val="7"/>
  </w:num>
  <w:num w:numId="4" w16cid:durableId="813376198">
    <w:abstractNumId w:val="0"/>
  </w:num>
  <w:num w:numId="5" w16cid:durableId="1301183043">
    <w:abstractNumId w:val="2"/>
  </w:num>
  <w:num w:numId="6" w16cid:durableId="1987202998">
    <w:abstractNumId w:val="5"/>
  </w:num>
  <w:num w:numId="7" w16cid:durableId="834998481">
    <w:abstractNumId w:val="6"/>
  </w:num>
  <w:num w:numId="8" w16cid:durableId="620764753">
    <w:abstractNumId w:val="1"/>
  </w:num>
  <w:num w:numId="9" w16cid:durableId="561210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4581F"/>
    <w:rsid w:val="0005607A"/>
    <w:rsid w:val="00077037"/>
    <w:rsid w:val="000930F6"/>
    <w:rsid w:val="0009537E"/>
    <w:rsid w:val="00097803"/>
    <w:rsid w:val="000F6F91"/>
    <w:rsid w:val="00101CC6"/>
    <w:rsid w:val="00141D68"/>
    <w:rsid w:val="001426AA"/>
    <w:rsid w:val="001729AE"/>
    <w:rsid w:val="001B7174"/>
    <w:rsid w:val="001E40BF"/>
    <w:rsid w:val="001F3394"/>
    <w:rsid w:val="00206FE0"/>
    <w:rsid w:val="00214AB7"/>
    <w:rsid w:val="00232DAE"/>
    <w:rsid w:val="002358EE"/>
    <w:rsid w:val="00253D4B"/>
    <w:rsid w:val="00291327"/>
    <w:rsid w:val="00296F77"/>
    <w:rsid w:val="002B0CCE"/>
    <w:rsid w:val="002B3295"/>
    <w:rsid w:val="002D1474"/>
    <w:rsid w:val="002E376C"/>
    <w:rsid w:val="00377219"/>
    <w:rsid w:val="00380998"/>
    <w:rsid w:val="003A7E5E"/>
    <w:rsid w:val="003B6482"/>
    <w:rsid w:val="003C561A"/>
    <w:rsid w:val="003E2FF4"/>
    <w:rsid w:val="003E5DDB"/>
    <w:rsid w:val="003E6FFC"/>
    <w:rsid w:val="00467507"/>
    <w:rsid w:val="00474D04"/>
    <w:rsid w:val="00476F6E"/>
    <w:rsid w:val="00484D15"/>
    <w:rsid w:val="00486E65"/>
    <w:rsid w:val="004D4FC6"/>
    <w:rsid w:val="005154EE"/>
    <w:rsid w:val="005A203D"/>
    <w:rsid w:val="005C720F"/>
    <w:rsid w:val="005D1A85"/>
    <w:rsid w:val="006022F0"/>
    <w:rsid w:val="00610937"/>
    <w:rsid w:val="00617B3E"/>
    <w:rsid w:val="006A16F7"/>
    <w:rsid w:val="006A777A"/>
    <w:rsid w:val="006C38A6"/>
    <w:rsid w:val="006D1896"/>
    <w:rsid w:val="006E15DE"/>
    <w:rsid w:val="006E49BE"/>
    <w:rsid w:val="00792165"/>
    <w:rsid w:val="007B1621"/>
    <w:rsid w:val="007C5D62"/>
    <w:rsid w:val="00827E37"/>
    <w:rsid w:val="00834F1A"/>
    <w:rsid w:val="00867C2F"/>
    <w:rsid w:val="00876E46"/>
    <w:rsid w:val="008A10E9"/>
    <w:rsid w:val="00925155"/>
    <w:rsid w:val="00926FFB"/>
    <w:rsid w:val="00955D28"/>
    <w:rsid w:val="00961371"/>
    <w:rsid w:val="009832C0"/>
    <w:rsid w:val="009A4FBE"/>
    <w:rsid w:val="009D22BE"/>
    <w:rsid w:val="009D6A26"/>
    <w:rsid w:val="009E2E1E"/>
    <w:rsid w:val="009F7EF4"/>
    <w:rsid w:val="00A1649A"/>
    <w:rsid w:val="00A721F8"/>
    <w:rsid w:val="00AA2296"/>
    <w:rsid w:val="00AA6B2F"/>
    <w:rsid w:val="00AE0035"/>
    <w:rsid w:val="00B005CF"/>
    <w:rsid w:val="00B03BA7"/>
    <w:rsid w:val="00B11B9B"/>
    <w:rsid w:val="00B32A37"/>
    <w:rsid w:val="00B33305"/>
    <w:rsid w:val="00B731E9"/>
    <w:rsid w:val="00B747D9"/>
    <w:rsid w:val="00BA6BA9"/>
    <w:rsid w:val="00BC3223"/>
    <w:rsid w:val="00BC5824"/>
    <w:rsid w:val="00BE56CA"/>
    <w:rsid w:val="00BF3ECD"/>
    <w:rsid w:val="00C04CCC"/>
    <w:rsid w:val="00C4747D"/>
    <w:rsid w:val="00C66067"/>
    <w:rsid w:val="00C807CF"/>
    <w:rsid w:val="00C92FA9"/>
    <w:rsid w:val="00CA1142"/>
    <w:rsid w:val="00CD14E6"/>
    <w:rsid w:val="00CF3296"/>
    <w:rsid w:val="00CF5AE9"/>
    <w:rsid w:val="00D042E3"/>
    <w:rsid w:val="00D045E9"/>
    <w:rsid w:val="00D26E80"/>
    <w:rsid w:val="00D3440D"/>
    <w:rsid w:val="00D843BF"/>
    <w:rsid w:val="00DD563B"/>
    <w:rsid w:val="00DD716D"/>
    <w:rsid w:val="00E42392"/>
    <w:rsid w:val="00E45105"/>
    <w:rsid w:val="00E50670"/>
    <w:rsid w:val="00E507C2"/>
    <w:rsid w:val="00E5304C"/>
    <w:rsid w:val="00E63D8D"/>
    <w:rsid w:val="00E85D9E"/>
    <w:rsid w:val="00ED29C6"/>
    <w:rsid w:val="00F00A58"/>
    <w:rsid w:val="00F243DB"/>
    <w:rsid w:val="00F50093"/>
    <w:rsid w:val="00F53F1F"/>
    <w:rsid w:val="00F877C5"/>
    <w:rsid w:val="00F9141F"/>
    <w:rsid w:val="00FC7AE0"/>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277</Words>
  <Characters>1526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34</cp:revision>
  <cp:lastPrinted>2022-12-20T16:37:00Z</cp:lastPrinted>
  <dcterms:created xsi:type="dcterms:W3CDTF">2024-04-03T21:04:00Z</dcterms:created>
  <dcterms:modified xsi:type="dcterms:W3CDTF">2024-04-04T01:52:00Z</dcterms:modified>
</cp:coreProperties>
</file>