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0052" w14:textId="190CD0C0"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32A06">
        <w:rPr>
          <w:b/>
          <w:sz w:val="20"/>
          <w:szCs w:val="20"/>
          <w:u w:val="single"/>
        </w:rPr>
        <w:t>P</w:t>
      </w:r>
      <w:r w:rsidR="00DD00E5">
        <w:rPr>
          <w:b/>
          <w:sz w:val="20"/>
          <w:szCs w:val="20"/>
          <w:u w:val="single"/>
        </w:rPr>
        <w:t>oblete Vilches y otros</w:t>
      </w:r>
      <w:r w:rsidR="00232A06">
        <w:rPr>
          <w:b/>
          <w:sz w:val="20"/>
          <w:szCs w:val="20"/>
          <w:u w:val="single"/>
        </w:rPr>
        <w:t xml:space="preserve"> Vs. Chile</w:t>
      </w:r>
      <w:r w:rsidRPr="00296F77">
        <w:rPr>
          <w:b/>
          <w:sz w:val="20"/>
          <w:szCs w:val="20"/>
          <w:u w:val="single"/>
          <w:lang w:val="es-MX"/>
        </w:rPr>
        <w:t xml:space="preserve">: reparaciones </w:t>
      </w:r>
      <w:r w:rsidR="00094341">
        <w:rPr>
          <w:b/>
          <w:sz w:val="20"/>
          <w:szCs w:val="20"/>
          <w:u w:val="single"/>
          <w:lang w:val="es-MX"/>
        </w:rPr>
        <w:t>declaradas cumplidas</w:t>
      </w:r>
    </w:p>
    <w:p w14:paraId="61262B45" w14:textId="77777777" w:rsidR="008F7858" w:rsidRPr="00296F77" w:rsidRDefault="008F7858"/>
    <w:p w14:paraId="1056DBF9" w14:textId="77777777" w:rsidR="00296F77" w:rsidRDefault="00296F77" w:rsidP="00296F77">
      <w:pPr>
        <w:tabs>
          <w:tab w:val="left" w:pos="709"/>
        </w:tabs>
        <w:ind w:right="99"/>
        <w:jc w:val="both"/>
      </w:pPr>
    </w:p>
    <w:p w14:paraId="41DCAA6D" w14:textId="1C66CC2A" w:rsidR="00750BE1" w:rsidRPr="00750BE1" w:rsidRDefault="0009434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094341">
        <w:rPr>
          <w:rFonts w:eastAsia="Cambria" w:cs="Times New Roman"/>
          <w:bCs/>
          <w:sz w:val="20"/>
          <w:szCs w:val="20"/>
        </w:rPr>
        <w:t>Realizar, dentro del plazo de seis meses contado a partir de la notificación de la Sentencia, las publicaciones indicadas en el párrafo 226 de la presente Sentencia</w:t>
      </w:r>
      <w:r w:rsidR="00232A06" w:rsidRPr="00232A06">
        <w:rPr>
          <w:rFonts w:eastAsia="Cambria" w:cs="Times New Roman"/>
          <w:bCs/>
          <w:sz w:val="20"/>
          <w:szCs w:val="20"/>
        </w:rPr>
        <w:t>.</w:t>
      </w:r>
    </w:p>
    <w:p w14:paraId="5EAD8E3F" w14:textId="13EF4960" w:rsidR="00094341" w:rsidRPr="00DD00E5" w:rsidRDefault="00094341" w:rsidP="0009434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DD00E5">
        <w:rPr>
          <w:rFonts w:eastAsia="Cambria" w:cs="Times New Roman"/>
          <w:bCs/>
          <w:sz w:val="20"/>
          <w:szCs w:val="20"/>
        </w:rPr>
        <w:t xml:space="preserve">agar las cantidades fijadas en los párrafos </w:t>
      </w:r>
      <w:r>
        <w:rPr>
          <w:rFonts w:eastAsia="Cambria" w:cs="Times New Roman"/>
          <w:bCs/>
          <w:sz w:val="20"/>
          <w:szCs w:val="20"/>
        </w:rPr>
        <w:t>247 y</w:t>
      </w:r>
      <w:r w:rsidRPr="00DD00E5">
        <w:rPr>
          <w:rFonts w:eastAsia="Cambria" w:cs="Times New Roman"/>
          <w:bCs/>
          <w:sz w:val="20"/>
          <w:szCs w:val="20"/>
        </w:rPr>
        <w:t xml:space="preserve"> </w:t>
      </w:r>
      <w:r>
        <w:rPr>
          <w:rFonts w:eastAsia="Cambria" w:cs="Times New Roman"/>
          <w:bCs/>
          <w:sz w:val="20"/>
          <w:szCs w:val="20"/>
        </w:rPr>
        <w:t>249</w:t>
      </w:r>
      <w:r w:rsidRPr="00DD00E5">
        <w:rPr>
          <w:rFonts w:eastAsia="Cambria" w:cs="Times New Roman"/>
          <w:bCs/>
          <w:sz w:val="20"/>
          <w:szCs w:val="20"/>
        </w:rPr>
        <w:t xml:space="preserve"> de la presente Sentencia, por concepto de compensación por daño material en los términos de los referidos párrafos y de lo previsto en los párrafos 250, 253, 259 y 262 a 267 de esta Sentencia</w:t>
      </w:r>
      <w:r>
        <w:rPr>
          <w:rFonts w:eastAsia="Cambria" w:cs="Times New Roman"/>
          <w:bCs/>
          <w:sz w:val="20"/>
          <w:szCs w:val="20"/>
        </w:rPr>
        <w:t>.</w:t>
      </w:r>
    </w:p>
    <w:p w14:paraId="41DD87A4" w14:textId="655B0928" w:rsidR="00094341" w:rsidRPr="00DD00E5" w:rsidRDefault="00094341" w:rsidP="0009434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DD00E5">
        <w:rPr>
          <w:rFonts w:eastAsia="Cambria" w:cs="Times New Roman"/>
          <w:bCs/>
          <w:sz w:val="20"/>
          <w:szCs w:val="20"/>
        </w:rPr>
        <w:t xml:space="preserve">agar las cantidades fijadas en </w:t>
      </w:r>
      <w:r>
        <w:rPr>
          <w:rFonts w:eastAsia="Cambria" w:cs="Times New Roman"/>
          <w:bCs/>
          <w:sz w:val="20"/>
          <w:szCs w:val="20"/>
        </w:rPr>
        <w:t>el párrafo 259</w:t>
      </w:r>
      <w:r w:rsidRPr="00DD00E5">
        <w:rPr>
          <w:rFonts w:eastAsia="Cambria" w:cs="Times New Roman"/>
          <w:bCs/>
          <w:sz w:val="20"/>
          <w:szCs w:val="20"/>
        </w:rPr>
        <w:t xml:space="preserve"> de la presente Sentencia, por concepto de </w:t>
      </w:r>
      <w:r>
        <w:rPr>
          <w:rFonts w:eastAsia="Cambria" w:cs="Times New Roman"/>
          <w:bCs/>
          <w:sz w:val="20"/>
          <w:szCs w:val="20"/>
        </w:rPr>
        <w:t>reintegro de costas y gastos</w:t>
      </w:r>
      <w:r w:rsidRPr="00DD00E5">
        <w:rPr>
          <w:rFonts w:eastAsia="Cambria" w:cs="Times New Roman"/>
          <w:bCs/>
          <w:sz w:val="20"/>
          <w:szCs w:val="20"/>
        </w:rPr>
        <w:t xml:space="preserve"> en los términos </w:t>
      </w:r>
      <w:r>
        <w:rPr>
          <w:rFonts w:eastAsia="Cambria" w:cs="Times New Roman"/>
          <w:bCs/>
          <w:sz w:val="20"/>
          <w:szCs w:val="20"/>
        </w:rPr>
        <w:t>del referido párrafo</w:t>
      </w:r>
      <w:r w:rsidRPr="00DD00E5">
        <w:rPr>
          <w:rFonts w:eastAsia="Cambria" w:cs="Times New Roman"/>
          <w:bCs/>
          <w:sz w:val="20"/>
          <w:szCs w:val="20"/>
        </w:rPr>
        <w:t xml:space="preserve"> y de lo previsto en los párrafos 250, 253, 259 y 262 a 267 de esta Sentencia</w:t>
      </w:r>
      <w:r>
        <w:rPr>
          <w:rFonts w:eastAsia="Cambria" w:cs="Times New Roman"/>
          <w:bCs/>
          <w:sz w:val="20"/>
          <w:szCs w:val="20"/>
        </w:rPr>
        <w:t>.</w:t>
      </w:r>
    </w:p>
    <w:p w14:paraId="1804DEC4" w14:textId="77777777" w:rsidR="00094341" w:rsidRPr="00BE4D0F" w:rsidRDefault="0009434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094341">
        <w:rPr>
          <w:rFonts w:eastAsia="Cambria" w:cs="Times New Roman"/>
          <w:bCs/>
          <w:sz w:val="20"/>
          <w:szCs w:val="20"/>
        </w:rPr>
        <w:t>Reintegrar al Fondo de Asistencia Legal de Víctimas de la Corte Interamericana de Derechos Humanos, la cantidad erogada durante la tramitación del caso, en los términos del párrafo 261 de la Sentencia</w:t>
      </w:r>
    </w:p>
    <w:p w14:paraId="54343AC7" w14:textId="032B6170" w:rsidR="00BE4D0F" w:rsidRPr="00094341" w:rsidRDefault="008F7858"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r w:rsidRPr="008F7858">
        <w:rPr>
          <w:rFonts w:eastAsia="Cambria" w:cs="Times New Roman"/>
          <w:bCs/>
          <w:sz w:val="20"/>
          <w:szCs w:val="20"/>
          <w:lang w:val="es-ES"/>
        </w:rPr>
        <w:t>segurar, a través de las medidas suficientes y necesarias, que el Hospital Sótero del Río cuente con los medios de infraestructura indispensables para brindar una atención adecuada, oportuna y de calidad a sus pacientes, particularmente relacionados con situaciones de urgencia en atención de la salud, brindando una protección reforzada a las personas mayores</w:t>
      </w:r>
      <w:r>
        <w:rPr>
          <w:rFonts w:eastAsia="Cambria" w:cs="Times New Roman"/>
          <w:bCs/>
          <w:sz w:val="20"/>
          <w:szCs w:val="20"/>
          <w:lang w:val="es-ES"/>
        </w:rPr>
        <w:t>, en los términos del párrafo 238 de la Sentencia.</w:t>
      </w:r>
    </w:p>
    <w:p w14:paraId="7E2E1500" w14:textId="1D02CC34" w:rsidR="00DD00E5" w:rsidRPr="00DD00E5" w:rsidRDefault="00DD00E5" w:rsidP="00DD00E5">
      <w:pPr>
        <w:tabs>
          <w:tab w:val="left" w:pos="720"/>
        </w:tabs>
        <w:spacing w:after="240"/>
        <w:ind w:right="-90"/>
        <w:jc w:val="both"/>
        <w:rPr>
          <w:rFonts w:eastAsia="Cambria" w:cs="Times New Roman"/>
          <w:b/>
          <w:sz w:val="20"/>
          <w:szCs w:val="20"/>
          <w:u w:val="single"/>
          <w:lang w:val="es-ES"/>
        </w:rPr>
      </w:pPr>
      <w:r w:rsidRPr="00DD00E5">
        <w:rPr>
          <w:rFonts w:eastAsia="Cambria" w:cs="Times New Roman"/>
          <w:b/>
          <w:sz w:val="20"/>
          <w:szCs w:val="20"/>
          <w:u w:val="single"/>
          <w:lang w:val="es-ES"/>
        </w:rPr>
        <w:t xml:space="preserve">Cumplimiento parcial: </w:t>
      </w:r>
    </w:p>
    <w:p w14:paraId="0F60B019" w14:textId="76A4070A" w:rsidR="00DD00E5" w:rsidRPr="00DD00E5" w:rsidRDefault="00DD00E5" w:rsidP="00DD00E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DD00E5">
        <w:rPr>
          <w:rFonts w:eastAsia="Cambria" w:cs="Times New Roman"/>
          <w:bCs/>
          <w:sz w:val="20"/>
          <w:szCs w:val="20"/>
        </w:rPr>
        <w:t>agar las cantidades fijadas en los párrafos 252</w:t>
      </w:r>
      <w:r>
        <w:rPr>
          <w:rFonts w:eastAsia="Cambria" w:cs="Times New Roman"/>
          <w:bCs/>
          <w:sz w:val="20"/>
          <w:szCs w:val="20"/>
        </w:rPr>
        <w:t xml:space="preserve"> y</w:t>
      </w:r>
      <w:r w:rsidRPr="00DD00E5">
        <w:rPr>
          <w:rFonts w:eastAsia="Cambria" w:cs="Times New Roman"/>
          <w:bCs/>
          <w:sz w:val="20"/>
          <w:szCs w:val="20"/>
        </w:rPr>
        <w:t xml:space="preserve"> 253 de la presente Sentencia, por concepto de compensación por daño </w:t>
      </w:r>
      <w:r w:rsidR="004F5739">
        <w:rPr>
          <w:rFonts w:eastAsia="Cambria" w:cs="Times New Roman"/>
          <w:bCs/>
          <w:sz w:val="20"/>
          <w:szCs w:val="20"/>
        </w:rPr>
        <w:t>in</w:t>
      </w:r>
      <w:r w:rsidRPr="00DD00E5">
        <w:rPr>
          <w:rFonts w:eastAsia="Cambria" w:cs="Times New Roman"/>
          <w:bCs/>
          <w:sz w:val="20"/>
          <w:szCs w:val="20"/>
        </w:rPr>
        <w:t>material en los términos de los referidos párrafos y de lo previsto en los párrafos 250, 253, 259 y 262 a 267 de esta Sentencia</w:t>
      </w:r>
      <w:r>
        <w:rPr>
          <w:rFonts w:eastAsia="Cambria" w:cs="Times New Roman"/>
          <w:bCs/>
          <w:sz w:val="20"/>
          <w:szCs w:val="20"/>
        </w:rPr>
        <w:t>.</w:t>
      </w:r>
    </w:p>
    <w:p w14:paraId="03A363B3" w14:textId="3C402BE6" w:rsidR="00DD00E5" w:rsidRDefault="00DD00E5" w:rsidP="00DD00E5">
      <w:pPr>
        <w:tabs>
          <w:tab w:val="left" w:pos="720"/>
        </w:tabs>
        <w:spacing w:after="240"/>
        <w:ind w:right="-90"/>
        <w:jc w:val="both"/>
        <w:rPr>
          <w:rFonts w:eastAsia="Cambria" w:cs="Times New Roman"/>
          <w:bCs/>
          <w:sz w:val="20"/>
          <w:szCs w:val="20"/>
          <w:lang w:val="es-ES"/>
        </w:rPr>
      </w:pPr>
      <w:r>
        <w:rPr>
          <w:rFonts w:eastAsia="Cambria" w:cs="Times New Roman"/>
          <w:bCs/>
          <w:sz w:val="20"/>
          <w:szCs w:val="20"/>
          <w:lang w:val="es-ES"/>
        </w:rPr>
        <w:t>En el considerando 4 de la Resolución de supervisión de cumplimiento de 5 de abril de 2022, la Corte dispuso que:</w:t>
      </w:r>
    </w:p>
    <w:p w14:paraId="77D8C78E" w14:textId="2CFDEFA8" w:rsidR="00D3440D" w:rsidRPr="004F5739" w:rsidRDefault="00DD00E5" w:rsidP="004F5739">
      <w:pPr>
        <w:tabs>
          <w:tab w:val="left" w:pos="720"/>
        </w:tabs>
        <w:spacing w:after="240"/>
        <w:ind w:left="567" w:right="567"/>
        <w:jc w:val="both"/>
        <w:rPr>
          <w:rFonts w:eastAsia="Cambria" w:cs="Times New Roman"/>
          <w:bCs/>
          <w:sz w:val="18"/>
          <w:szCs w:val="18"/>
          <w:lang w:val="es-ES"/>
        </w:rPr>
      </w:pPr>
      <w:r w:rsidRPr="00DD00E5">
        <w:rPr>
          <w:rFonts w:eastAsia="Cambria" w:cs="Times New Roman"/>
          <w:bCs/>
          <w:sz w:val="18"/>
          <w:szCs w:val="18"/>
        </w:rPr>
        <w:t xml:space="preserve">En lo que respecta a las indemnizaciones ordenadas en el punto resolutivo décimo séptimo y en los párrafos 252 y 253 de la Sentencia por los daños inmateriales sufridos por la víctima Vinicio Antonio Poblete Vilches y las indemnizaciones por daño inmaterial ordenadas a favor de las otras dos víctimas que fallecieron previo a la Sentencia (su esposa Blanca Tapia Encina y su hijo Gonzalo Poblete Tapia), se dispuso que las mismas debían ser entregadas a sus herederos o derechohabientes. Al respecto, el Estado aportó comprobantes que permiten constatar que realizó el pago de los montos de la distribución de esas indemnizaciones que corresponden a Vinicio Marco Poblete Tapia y Cesia Poblete Tapia (hijos de Vinicio Antonio Poblete Vilches y Blanca Tapia Encina, y hermanos de Gonzalo Poblete Tapia) y explicó que se encuentra pendiente pagar la parte que les corresponde a Aristóteles Poblete Tapia y a los herederos de Marylin Poblete Tapia, otros derechohabientes conforme al derecho interno aplicable. Por consiguiente, la Corte considera que el Estado ha dado cumplimiento parcial al pago de las referidas indemnizaciones de daños inmateriales ordenadas en el punto resolutivo décimo séptimo y en los párrafos 252 y 253 de la Sentencia, y le solicita que, en el informe requerido en el punto resolutivo quinto de la presente Resolución, remita información actualizada sobre el pago de los montos restantes y refiera las medidas adoptadas para superar las dificultades que indicó con respecto a la realización de tales pagos. </w:t>
      </w:r>
    </w:p>
    <w:sectPr w:rsidR="00D3440D" w:rsidRPr="004F57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6B36" w14:textId="77777777" w:rsidR="00363AA0" w:rsidRDefault="00363AA0" w:rsidP="009F7EF4">
      <w:r>
        <w:separator/>
      </w:r>
    </w:p>
  </w:endnote>
  <w:endnote w:type="continuationSeparator" w:id="0">
    <w:p w14:paraId="2FB47613" w14:textId="77777777" w:rsidR="00363AA0" w:rsidRDefault="00363AA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8C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6BDE00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0252" w14:textId="77777777" w:rsidR="00363AA0" w:rsidRDefault="00363AA0" w:rsidP="009F7EF4">
      <w:r>
        <w:separator/>
      </w:r>
    </w:p>
  </w:footnote>
  <w:footnote w:type="continuationSeparator" w:id="0">
    <w:p w14:paraId="23B92EBF" w14:textId="77777777" w:rsidR="00363AA0" w:rsidRDefault="00363AA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43B9D77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821">
          <w:rPr>
            <w:noProof/>
            <w:sz w:val="20"/>
            <w:szCs w:val="20"/>
          </w:rPr>
          <w:t>1</w:t>
        </w:r>
        <w:r w:rsidRPr="00675FE7">
          <w:rPr>
            <w:noProof/>
            <w:sz w:val="20"/>
            <w:szCs w:val="20"/>
          </w:rPr>
          <w:fldChar w:fldCharType="end"/>
        </w:r>
      </w:p>
    </w:sdtContent>
  </w:sdt>
  <w:p w14:paraId="4B8CA58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912066">
    <w:abstractNumId w:val="6"/>
  </w:num>
  <w:num w:numId="2" w16cid:durableId="319429600">
    <w:abstractNumId w:val="2"/>
  </w:num>
  <w:num w:numId="3" w16cid:durableId="987635216">
    <w:abstractNumId w:val="5"/>
  </w:num>
  <w:num w:numId="4" w16cid:durableId="957949189">
    <w:abstractNumId w:val="0"/>
  </w:num>
  <w:num w:numId="5" w16cid:durableId="1208755871">
    <w:abstractNumId w:val="1"/>
  </w:num>
  <w:num w:numId="6" w16cid:durableId="1147629451">
    <w:abstractNumId w:val="3"/>
  </w:num>
  <w:num w:numId="7" w16cid:durableId="55955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094341"/>
    <w:rsid w:val="00101CC6"/>
    <w:rsid w:val="001426AA"/>
    <w:rsid w:val="00232A06"/>
    <w:rsid w:val="00296F77"/>
    <w:rsid w:val="002B3295"/>
    <w:rsid w:val="002E376C"/>
    <w:rsid w:val="00306821"/>
    <w:rsid w:val="00363AA0"/>
    <w:rsid w:val="003A5A68"/>
    <w:rsid w:val="003A7E5E"/>
    <w:rsid w:val="003C561A"/>
    <w:rsid w:val="004458A1"/>
    <w:rsid w:val="00474D04"/>
    <w:rsid w:val="00476F6E"/>
    <w:rsid w:val="004F5739"/>
    <w:rsid w:val="005A203D"/>
    <w:rsid w:val="005D1A85"/>
    <w:rsid w:val="00617B3E"/>
    <w:rsid w:val="00637F70"/>
    <w:rsid w:val="006A777A"/>
    <w:rsid w:val="006C38A6"/>
    <w:rsid w:val="00750BE1"/>
    <w:rsid w:val="00792165"/>
    <w:rsid w:val="007C583B"/>
    <w:rsid w:val="00834F1A"/>
    <w:rsid w:val="008C0B61"/>
    <w:rsid w:val="008C1FD0"/>
    <w:rsid w:val="008C63A9"/>
    <w:rsid w:val="008F7858"/>
    <w:rsid w:val="00926FFB"/>
    <w:rsid w:val="009832C0"/>
    <w:rsid w:val="009D22BE"/>
    <w:rsid w:val="009F7EF4"/>
    <w:rsid w:val="00AB2467"/>
    <w:rsid w:val="00AE0035"/>
    <w:rsid w:val="00B11B9B"/>
    <w:rsid w:val="00B32A37"/>
    <w:rsid w:val="00B33305"/>
    <w:rsid w:val="00B37AB9"/>
    <w:rsid w:val="00B6418D"/>
    <w:rsid w:val="00BA6BA9"/>
    <w:rsid w:val="00BC5824"/>
    <w:rsid w:val="00BE4D0F"/>
    <w:rsid w:val="00C4747D"/>
    <w:rsid w:val="00C807CF"/>
    <w:rsid w:val="00CB5BB1"/>
    <w:rsid w:val="00CF7246"/>
    <w:rsid w:val="00D3440D"/>
    <w:rsid w:val="00DD00E5"/>
    <w:rsid w:val="00E210BA"/>
    <w:rsid w:val="00E217FA"/>
    <w:rsid w:val="00E42392"/>
    <w:rsid w:val="00E45CE6"/>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796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4</cp:revision>
  <cp:lastPrinted>2018-07-09T19:23:00Z</cp:lastPrinted>
  <dcterms:created xsi:type="dcterms:W3CDTF">2022-10-14T16:43:00Z</dcterms:created>
  <dcterms:modified xsi:type="dcterms:W3CDTF">2025-02-28T20:51:00Z</dcterms:modified>
</cp:coreProperties>
</file>