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0E74290B"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4B642A">
        <w:rPr>
          <w:rFonts w:ascii="Verdana" w:hAnsi="Verdana"/>
          <w:b/>
          <w:sz w:val="22"/>
          <w:szCs w:val="22"/>
          <w:u w:val="single"/>
        </w:rPr>
        <w:t>Bedoya Lima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w:t>
      </w:r>
      <w:r w:rsidR="00587C2A">
        <w:rPr>
          <w:rFonts w:ascii="Verdana" w:hAnsi="Verdana"/>
          <w:b/>
          <w:sz w:val="22"/>
          <w:szCs w:val="22"/>
          <w:u w:val="single"/>
        </w:rPr>
        <w:t xml:space="preserve">reparaciones </w:t>
      </w:r>
      <w:r w:rsidR="003163B9">
        <w:rPr>
          <w:rFonts w:ascii="Verdana" w:hAnsi="Verdana"/>
          <w:b/>
          <w:sz w:val="22"/>
          <w:szCs w:val="22"/>
          <w:u w:val="single"/>
        </w:rPr>
        <w:t>declaradas cumplidas</w:t>
      </w:r>
    </w:p>
    <w:p w14:paraId="555E0DD9" w14:textId="77777777" w:rsidR="004C665B" w:rsidRDefault="004C665B" w:rsidP="004C665B">
      <w:pPr>
        <w:pStyle w:val="Default"/>
      </w:pPr>
    </w:p>
    <w:p w14:paraId="7D8DD2E6" w14:textId="0162E6BF" w:rsidR="004B642A" w:rsidRPr="004B642A" w:rsidRDefault="004C665B" w:rsidP="00025717">
      <w:pPr>
        <w:pStyle w:val="Default"/>
        <w:jc w:val="both"/>
      </w:pPr>
      <w:r w:rsidRPr="004B642A">
        <w:t xml:space="preserve"> </w:t>
      </w:r>
    </w:p>
    <w:p w14:paraId="409BB0A0" w14:textId="13C39E74" w:rsidR="004B642A" w:rsidRDefault="00332924" w:rsidP="00344D7A">
      <w:pPr>
        <w:pStyle w:val="Default"/>
        <w:numPr>
          <w:ilvl w:val="0"/>
          <w:numId w:val="2"/>
        </w:numPr>
        <w:jc w:val="both"/>
        <w:rPr>
          <w:sz w:val="20"/>
          <w:szCs w:val="20"/>
        </w:rPr>
      </w:pPr>
      <w:r>
        <w:rPr>
          <w:sz w:val="20"/>
          <w:szCs w:val="20"/>
        </w:rPr>
        <w:t>R</w:t>
      </w:r>
      <w:r w:rsidR="004B642A" w:rsidRPr="004B642A">
        <w:rPr>
          <w:sz w:val="20"/>
          <w:szCs w:val="20"/>
        </w:rPr>
        <w:t>ealizar las pub</w:t>
      </w:r>
      <w:r w:rsidR="00344D7A">
        <w:rPr>
          <w:sz w:val="20"/>
          <w:szCs w:val="20"/>
        </w:rPr>
        <w:t>licaciones</w:t>
      </w:r>
      <w:r>
        <w:rPr>
          <w:sz w:val="20"/>
          <w:szCs w:val="20"/>
        </w:rPr>
        <w:t xml:space="preserve"> de la Sentencia y de su resumen oficial, indicadas en el párrafo 175 de la misma.</w:t>
      </w:r>
    </w:p>
    <w:p w14:paraId="069E9442" w14:textId="77777777" w:rsidR="004B642A" w:rsidRDefault="004B642A" w:rsidP="00EB5413"/>
    <w:p w14:paraId="53CC21E2" w14:textId="2E82C719" w:rsidR="00CC177A" w:rsidRPr="00CC177A" w:rsidRDefault="003348E5" w:rsidP="00CC177A">
      <w:pPr>
        <w:pStyle w:val="Default"/>
        <w:numPr>
          <w:ilvl w:val="0"/>
          <w:numId w:val="2"/>
        </w:numPr>
        <w:jc w:val="both"/>
        <w:rPr>
          <w:sz w:val="20"/>
          <w:szCs w:val="20"/>
        </w:rPr>
      </w:pPr>
      <w:r>
        <w:rPr>
          <w:sz w:val="20"/>
          <w:szCs w:val="20"/>
        </w:rPr>
        <w:t>P</w:t>
      </w:r>
      <w:r w:rsidR="00CC177A" w:rsidRPr="00CC177A">
        <w:rPr>
          <w:sz w:val="20"/>
          <w:szCs w:val="20"/>
        </w:rPr>
        <w:t xml:space="preserve">agar </w:t>
      </w:r>
      <w:r>
        <w:rPr>
          <w:sz w:val="20"/>
          <w:szCs w:val="20"/>
        </w:rPr>
        <w:t xml:space="preserve">a las señoras Jineth Bedoya Lima y Luz Nelly Lima </w:t>
      </w:r>
      <w:r w:rsidR="00CC177A" w:rsidRPr="00CC177A">
        <w:rPr>
          <w:sz w:val="20"/>
          <w:szCs w:val="20"/>
        </w:rPr>
        <w:t>las cantidades fijadas en el párrafo 183 de la presente Sentencia por concepto</w:t>
      </w:r>
      <w:r w:rsidR="00CC177A">
        <w:rPr>
          <w:sz w:val="20"/>
          <w:szCs w:val="20"/>
        </w:rPr>
        <w:t xml:space="preserve"> </w:t>
      </w:r>
      <w:r w:rsidR="00CC177A" w:rsidRPr="00CC177A">
        <w:rPr>
          <w:sz w:val="20"/>
          <w:szCs w:val="20"/>
        </w:rPr>
        <w:t>de rehabilitación</w:t>
      </w:r>
      <w:r>
        <w:rPr>
          <w:sz w:val="20"/>
          <w:szCs w:val="20"/>
        </w:rPr>
        <w:t xml:space="preserve"> (gastos por tratamiento médico, psicológico y psiquiátrico)</w:t>
      </w:r>
      <w:r w:rsidR="00CC177A" w:rsidRPr="00CC177A">
        <w:rPr>
          <w:sz w:val="20"/>
          <w:szCs w:val="20"/>
        </w:rPr>
        <w:t>.</w:t>
      </w:r>
    </w:p>
    <w:p w14:paraId="2A1D8D4F" w14:textId="77777777" w:rsidR="004B642A" w:rsidRDefault="004B642A" w:rsidP="00EB5413"/>
    <w:p w14:paraId="222E3C7F" w14:textId="208F079A" w:rsidR="000405CD" w:rsidRDefault="008F6FB6" w:rsidP="004B642A">
      <w:pPr>
        <w:pStyle w:val="Default"/>
        <w:numPr>
          <w:ilvl w:val="0"/>
          <w:numId w:val="2"/>
        </w:numPr>
        <w:jc w:val="both"/>
        <w:rPr>
          <w:sz w:val="20"/>
          <w:szCs w:val="20"/>
        </w:rPr>
      </w:pPr>
      <w:r>
        <w:rPr>
          <w:sz w:val="20"/>
          <w:szCs w:val="20"/>
        </w:rPr>
        <w:t>P</w:t>
      </w:r>
      <w:r w:rsidR="004B642A" w:rsidRPr="004B642A">
        <w:rPr>
          <w:sz w:val="20"/>
          <w:szCs w:val="20"/>
        </w:rPr>
        <w:t>agar las cantidades fijadas en los párrafos 202</w:t>
      </w:r>
      <w:r w:rsidR="000405CD">
        <w:rPr>
          <w:sz w:val="20"/>
          <w:szCs w:val="20"/>
        </w:rPr>
        <w:t xml:space="preserve"> y</w:t>
      </w:r>
      <w:r w:rsidR="004B642A" w:rsidRPr="004B642A">
        <w:rPr>
          <w:sz w:val="20"/>
          <w:szCs w:val="20"/>
        </w:rPr>
        <w:t xml:space="preserve"> 209 de la presente Sentencia</w:t>
      </w:r>
      <w:r w:rsidR="000405CD">
        <w:rPr>
          <w:sz w:val="20"/>
          <w:szCs w:val="20"/>
        </w:rPr>
        <w:t>,</w:t>
      </w:r>
      <w:r w:rsidR="004B642A">
        <w:rPr>
          <w:sz w:val="20"/>
          <w:szCs w:val="20"/>
        </w:rPr>
        <w:t xml:space="preserve"> </w:t>
      </w:r>
      <w:r w:rsidR="004B642A" w:rsidRPr="004B642A">
        <w:rPr>
          <w:sz w:val="20"/>
          <w:szCs w:val="20"/>
        </w:rPr>
        <w:t xml:space="preserve">por concepto de </w:t>
      </w:r>
      <w:r w:rsidR="000405CD" w:rsidRPr="004B642A">
        <w:rPr>
          <w:sz w:val="20"/>
          <w:szCs w:val="20"/>
        </w:rPr>
        <w:t>indemnizaci</w:t>
      </w:r>
      <w:r w:rsidR="000405CD">
        <w:rPr>
          <w:sz w:val="20"/>
          <w:szCs w:val="20"/>
        </w:rPr>
        <w:t>ones</w:t>
      </w:r>
      <w:r w:rsidR="000405CD" w:rsidRPr="004B642A">
        <w:rPr>
          <w:sz w:val="20"/>
          <w:szCs w:val="20"/>
        </w:rPr>
        <w:t xml:space="preserve"> </w:t>
      </w:r>
      <w:r w:rsidR="004B642A" w:rsidRPr="004B642A">
        <w:rPr>
          <w:sz w:val="20"/>
          <w:szCs w:val="20"/>
        </w:rPr>
        <w:t>por daño material e inmaterial</w:t>
      </w:r>
    </w:p>
    <w:p w14:paraId="690169A4" w14:textId="77777777" w:rsidR="000405CD" w:rsidRDefault="000405CD" w:rsidP="00943944">
      <w:pPr>
        <w:pStyle w:val="Prrafodelista"/>
      </w:pPr>
    </w:p>
    <w:p w14:paraId="37DA785A" w14:textId="6DB01D71" w:rsidR="00086934" w:rsidRPr="004B642A" w:rsidRDefault="000405CD" w:rsidP="004B642A">
      <w:pPr>
        <w:pStyle w:val="Default"/>
        <w:numPr>
          <w:ilvl w:val="0"/>
          <w:numId w:val="2"/>
        </w:numPr>
        <w:jc w:val="both"/>
        <w:rPr>
          <w:sz w:val="20"/>
          <w:szCs w:val="20"/>
        </w:rPr>
      </w:pPr>
      <w:r>
        <w:rPr>
          <w:sz w:val="20"/>
          <w:szCs w:val="20"/>
          <w:lang w:val="es-ES_tradnl"/>
        </w:rPr>
        <w:t>Pagar las cantidades fijadas en el párrafo 214 de la Sentencia</w:t>
      </w:r>
      <w:r w:rsidR="004B642A" w:rsidRPr="004B642A">
        <w:rPr>
          <w:sz w:val="20"/>
          <w:szCs w:val="20"/>
        </w:rPr>
        <w:t xml:space="preserve">, </w:t>
      </w:r>
      <w:r>
        <w:rPr>
          <w:sz w:val="20"/>
          <w:szCs w:val="20"/>
        </w:rPr>
        <w:t xml:space="preserve">por concepto de reintegro de </w:t>
      </w:r>
      <w:r w:rsidR="004B642A" w:rsidRPr="004B642A">
        <w:rPr>
          <w:sz w:val="20"/>
          <w:szCs w:val="20"/>
        </w:rPr>
        <w:t>costas y gastos.</w:t>
      </w:r>
    </w:p>
    <w:p w14:paraId="31996C08" w14:textId="77777777" w:rsidR="004B642A" w:rsidRDefault="004B642A"/>
    <w:sectPr w:rsidR="004B64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2B95" w14:textId="77777777" w:rsidR="00F3513F" w:rsidRDefault="00F3513F">
      <w:r>
        <w:separator/>
      </w:r>
    </w:p>
  </w:endnote>
  <w:endnote w:type="continuationSeparator" w:id="0">
    <w:p w14:paraId="128336EB" w14:textId="77777777" w:rsidR="00F3513F" w:rsidRDefault="00F3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B014A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2160" w14:textId="77777777" w:rsidR="00F3513F" w:rsidRDefault="00F3513F">
      <w:r>
        <w:separator/>
      </w:r>
    </w:p>
  </w:footnote>
  <w:footnote w:type="continuationSeparator" w:id="0">
    <w:p w14:paraId="1FACE174" w14:textId="77777777" w:rsidR="00F3513F" w:rsidRDefault="00F3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1DB0793C"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943944">
          <w:rPr>
            <w:rFonts w:ascii="Verdana" w:hAnsi="Verdana"/>
            <w:noProof/>
          </w:rPr>
          <w:t>1</w:t>
        </w:r>
        <w:r w:rsidRPr="00675FE7">
          <w:rPr>
            <w:rFonts w:ascii="Verdana" w:hAnsi="Verdana"/>
            <w:noProof/>
          </w:rPr>
          <w:fldChar w:fldCharType="end"/>
        </w:r>
      </w:p>
    </w:sdtContent>
  </w:sdt>
  <w:p w14:paraId="1EF4AC7C" w14:textId="77777777" w:rsidR="0015679C" w:rsidRDefault="00B014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72047936">
    <w:abstractNumId w:val="1"/>
  </w:num>
  <w:num w:numId="2" w16cid:durableId="1707438907">
    <w:abstractNumId w:val="0"/>
  </w:num>
  <w:num w:numId="3" w16cid:durableId="283587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E2499"/>
    <w:rsid w:val="003163B9"/>
    <w:rsid w:val="00327C85"/>
    <w:rsid w:val="00332924"/>
    <w:rsid w:val="003348E5"/>
    <w:rsid w:val="00344D7A"/>
    <w:rsid w:val="004B642A"/>
    <w:rsid w:val="004C665B"/>
    <w:rsid w:val="00581650"/>
    <w:rsid w:val="005839D6"/>
    <w:rsid w:val="00587C2A"/>
    <w:rsid w:val="005C16F6"/>
    <w:rsid w:val="006C4B02"/>
    <w:rsid w:val="007052C7"/>
    <w:rsid w:val="00742BD2"/>
    <w:rsid w:val="00781DAA"/>
    <w:rsid w:val="007D7186"/>
    <w:rsid w:val="008F6FB6"/>
    <w:rsid w:val="00943944"/>
    <w:rsid w:val="009D529F"/>
    <w:rsid w:val="00A73E79"/>
    <w:rsid w:val="00A85FFA"/>
    <w:rsid w:val="00B058A0"/>
    <w:rsid w:val="00BE4B32"/>
    <w:rsid w:val="00CA15C2"/>
    <w:rsid w:val="00CC177A"/>
    <w:rsid w:val="00E34D8E"/>
    <w:rsid w:val="00E83954"/>
    <w:rsid w:val="00EB5413"/>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F955-8955-4A01-806B-DA960BDA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550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3</cp:revision>
  <dcterms:created xsi:type="dcterms:W3CDTF">2023-03-03T18:01:00Z</dcterms:created>
  <dcterms:modified xsi:type="dcterms:W3CDTF">2023-03-03T18:02:00Z</dcterms:modified>
</cp:coreProperties>
</file>