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D242" w14:textId="74B5227C" w:rsidR="0063307C" w:rsidRPr="00DC15CE" w:rsidRDefault="0063307C" w:rsidP="0063307C">
      <w:pPr>
        <w:jc w:val="center"/>
        <w:rPr>
          <w:rFonts w:ascii="Verdana" w:hAnsi="Verdana"/>
          <w:b/>
          <w:sz w:val="22"/>
          <w:szCs w:val="22"/>
          <w:u w:val="single"/>
        </w:rPr>
      </w:pPr>
      <w:r w:rsidRPr="00DC15CE">
        <w:rPr>
          <w:rFonts w:ascii="Verdana" w:hAnsi="Verdana"/>
          <w:b/>
          <w:sz w:val="22"/>
          <w:szCs w:val="22"/>
          <w:u w:val="single"/>
        </w:rPr>
        <w:t xml:space="preserve">Caso </w:t>
      </w:r>
      <w:r w:rsidR="002A06CB">
        <w:rPr>
          <w:rFonts w:ascii="Verdana" w:hAnsi="Verdana"/>
          <w:b/>
          <w:sz w:val="22"/>
          <w:szCs w:val="22"/>
          <w:u w:val="single"/>
        </w:rPr>
        <w:t xml:space="preserve">Carvajal </w:t>
      </w:r>
      <w:proofErr w:type="spellStart"/>
      <w:r w:rsidR="002A06CB">
        <w:rPr>
          <w:rFonts w:ascii="Verdana" w:hAnsi="Verdana"/>
          <w:b/>
          <w:sz w:val="22"/>
          <w:szCs w:val="22"/>
          <w:u w:val="single"/>
        </w:rPr>
        <w:t>Carvajal</w:t>
      </w:r>
      <w:proofErr w:type="spellEnd"/>
      <w:r w:rsidR="002A06CB">
        <w:rPr>
          <w:rFonts w:ascii="Verdana" w:hAnsi="Verdana"/>
          <w:b/>
          <w:sz w:val="22"/>
          <w:szCs w:val="22"/>
          <w:u w:val="single"/>
        </w:rPr>
        <w:t xml:space="preserve"> </w:t>
      </w:r>
      <w:r w:rsidR="00515D52">
        <w:rPr>
          <w:rFonts w:ascii="Verdana" w:hAnsi="Verdana"/>
          <w:b/>
          <w:sz w:val="22"/>
          <w:szCs w:val="22"/>
          <w:u w:val="single"/>
        </w:rPr>
        <w:t>y otros</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515D52">
        <w:rPr>
          <w:rFonts w:ascii="Verdana" w:hAnsi="Verdana"/>
          <w:b/>
          <w:sz w:val="22"/>
          <w:szCs w:val="22"/>
          <w:u w:val="single"/>
        </w:rPr>
        <w:t>Colombia</w:t>
      </w:r>
      <w:r w:rsidRPr="00DC15CE">
        <w:rPr>
          <w:rFonts w:ascii="Verdana" w:hAnsi="Verdana"/>
          <w:b/>
          <w:sz w:val="22"/>
          <w:szCs w:val="22"/>
          <w:u w:val="single"/>
        </w:rPr>
        <w:t xml:space="preserve">: reparaciones </w:t>
      </w:r>
      <w:r w:rsidR="00DB0FF8">
        <w:rPr>
          <w:rFonts w:ascii="Verdana" w:hAnsi="Verdana"/>
          <w:b/>
          <w:sz w:val="22"/>
          <w:szCs w:val="22"/>
          <w:u w:val="single"/>
        </w:rPr>
        <w:t>declaradas cumplidas</w:t>
      </w:r>
    </w:p>
    <w:p w14:paraId="5F7DFDA0" w14:textId="6A664C79" w:rsidR="0063307C" w:rsidRDefault="0063307C" w:rsidP="0063307C">
      <w:pPr>
        <w:pStyle w:val="Default"/>
      </w:pPr>
    </w:p>
    <w:p w14:paraId="7F77C02F" w14:textId="5C5F1898" w:rsidR="0063307C" w:rsidRPr="00F22D6C" w:rsidRDefault="0063307C" w:rsidP="0063307C">
      <w:pPr>
        <w:pStyle w:val="Default"/>
        <w:jc w:val="both"/>
      </w:pPr>
      <w:r w:rsidRPr="004B642A">
        <w:t xml:space="preserve"> </w:t>
      </w:r>
    </w:p>
    <w:p w14:paraId="26770F2F" w14:textId="76903AA0" w:rsidR="0063307C" w:rsidRDefault="003A0E4C" w:rsidP="0063307C">
      <w:pPr>
        <w:pStyle w:val="Default"/>
        <w:numPr>
          <w:ilvl w:val="0"/>
          <w:numId w:val="1"/>
        </w:numPr>
        <w:jc w:val="both"/>
        <w:rPr>
          <w:sz w:val="20"/>
          <w:szCs w:val="20"/>
        </w:rPr>
      </w:pPr>
      <w:r w:rsidRPr="009E01B5">
        <w:rPr>
          <w:sz w:val="20"/>
          <w:szCs w:val="20"/>
        </w:rPr>
        <w:t>Realizar las publicaciones indicadas en el párrafo 210 de la Sentencia.</w:t>
      </w:r>
    </w:p>
    <w:p w14:paraId="1625F6AD" w14:textId="77777777" w:rsidR="009E01B5" w:rsidRPr="009E01B5" w:rsidRDefault="009E01B5" w:rsidP="009E01B5">
      <w:pPr>
        <w:pStyle w:val="Default"/>
        <w:ind w:left="363"/>
        <w:jc w:val="both"/>
        <w:rPr>
          <w:sz w:val="20"/>
          <w:szCs w:val="20"/>
        </w:rPr>
      </w:pPr>
    </w:p>
    <w:p w14:paraId="69C18BE8" w14:textId="497509B6" w:rsidR="009E01B5" w:rsidRDefault="003A0E4C" w:rsidP="009E01B5">
      <w:pPr>
        <w:pStyle w:val="Default"/>
        <w:numPr>
          <w:ilvl w:val="0"/>
          <w:numId w:val="1"/>
        </w:numPr>
        <w:jc w:val="both"/>
        <w:rPr>
          <w:sz w:val="20"/>
          <w:szCs w:val="20"/>
        </w:rPr>
      </w:pPr>
      <w:r w:rsidRPr="009E01B5">
        <w:rPr>
          <w:sz w:val="20"/>
          <w:szCs w:val="20"/>
        </w:rPr>
        <w:t>Realizar un acto público de reconocimiento de responsabilidad internacional, en relación con los hechos de este caso, en los términos del párrafo 212 de la Sentencia</w:t>
      </w:r>
      <w:r w:rsidR="009E01B5" w:rsidRPr="009E01B5">
        <w:rPr>
          <w:sz w:val="20"/>
          <w:szCs w:val="20"/>
        </w:rPr>
        <w:t>.</w:t>
      </w:r>
    </w:p>
    <w:p w14:paraId="2A02742B" w14:textId="77777777" w:rsidR="009E01B5" w:rsidRPr="009E01B5" w:rsidRDefault="009E01B5" w:rsidP="009E01B5">
      <w:pPr>
        <w:pStyle w:val="Default"/>
        <w:jc w:val="both"/>
        <w:rPr>
          <w:sz w:val="20"/>
          <w:szCs w:val="20"/>
        </w:rPr>
      </w:pPr>
    </w:p>
    <w:p w14:paraId="75BA6E6D" w14:textId="00D35388" w:rsidR="009E01B5" w:rsidRDefault="009E01B5" w:rsidP="009E01B5">
      <w:pPr>
        <w:pStyle w:val="Default"/>
        <w:numPr>
          <w:ilvl w:val="0"/>
          <w:numId w:val="1"/>
        </w:numPr>
        <w:jc w:val="both"/>
        <w:rPr>
          <w:sz w:val="20"/>
          <w:szCs w:val="20"/>
        </w:rPr>
      </w:pPr>
      <w:r w:rsidRPr="009E01B5">
        <w:rPr>
          <w:sz w:val="20"/>
          <w:szCs w:val="20"/>
        </w:rPr>
        <w:t>Pagar las cantidades fijadas por concepto de indemnización del daño material e inmaterial.</w:t>
      </w:r>
    </w:p>
    <w:p w14:paraId="46382FE5" w14:textId="77777777" w:rsidR="009E01B5" w:rsidRPr="009E01B5" w:rsidRDefault="009E01B5" w:rsidP="009E01B5">
      <w:pPr>
        <w:pStyle w:val="Default"/>
        <w:jc w:val="both"/>
        <w:rPr>
          <w:sz w:val="20"/>
          <w:szCs w:val="20"/>
        </w:rPr>
      </w:pPr>
    </w:p>
    <w:p w14:paraId="1D0A3D65" w14:textId="6C6B2384" w:rsidR="009E01B5" w:rsidRDefault="009E01B5" w:rsidP="009E01B5">
      <w:pPr>
        <w:pStyle w:val="Default"/>
        <w:numPr>
          <w:ilvl w:val="0"/>
          <w:numId w:val="1"/>
        </w:numPr>
        <w:jc w:val="both"/>
        <w:rPr>
          <w:sz w:val="20"/>
          <w:szCs w:val="20"/>
        </w:rPr>
      </w:pPr>
      <w:r w:rsidRPr="009E01B5">
        <w:rPr>
          <w:sz w:val="20"/>
          <w:szCs w:val="20"/>
        </w:rPr>
        <w:t>Pagar las cantidades fijadas por concepto de reintegro de costas y gastos.</w:t>
      </w:r>
    </w:p>
    <w:p w14:paraId="405465D4" w14:textId="77777777" w:rsidR="009E01B5" w:rsidRPr="009E01B5" w:rsidRDefault="009E01B5" w:rsidP="009E01B5">
      <w:pPr>
        <w:pStyle w:val="Default"/>
        <w:ind w:left="3"/>
        <w:jc w:val="both"/>
        <w:rPr>
          <w:sz w:val="20"/>
          <w:szCs w:val="20"/>
        </w:rPr>
      </w:pPr>
    </w:p>
    <w:p w14:paraId="16A6DF24" w14:textId="3D60760D" w:rsidR="009E01B5" w:rsidRDefault="009E01B5" w:rsidP="009E01B5">
      <w:pPr>
        <w:pStyle w:val="Default"/>
        <w:numPr>
          <w:ilvl w:val="0"/>
          <w:numId w:val="1"/>
        </w:numPr>
        <w:jc w:val="both"/>
        <w:rPr>
          <w:sz w:val="20"/>
          <w:szCs w:val="20"/>
        </w:rPr>
      </w:pPr>
      <w:r w:rsidRPr="009E01B5">
        <w:rPr>
          <w:sz w:val="20"/>
          <w:szCs w:val="20"/>
        </w:rPr>
        <w:t xml:space="preserve">Pagar la cantidad fijada a favor de los familiares de Nelson Carvajal </w:t>
      </w:r>
      <w:proofErr w:type="spellStart"/>
      <w:r w:rsidRPr="009E01B5">
        <w:rPr>
          <w:sz w:val="20"/>
          <w:szCs w:val="20"/>
        </w:rPr>
        <w:t>Carvajal</w:t>
      </w:r>
      <w:proofErr w:type="spellEnd"/>
      <w:r w:rsidRPr="009E01B5">
        <w:rPr>
          <w:sz w:val="20"/>
          <w:szCs w:val="20"/>
        </w:rPr>
        <w:t xml:space="preserve"> que se encuentran viviendo fuera de Colombia, por concepto de indemnizaciones para los tratamientos psicológico o psiquiátrico.</w:t>
      </w:r>
    </w:p>
    <w:p w14:paraId="389D99B4" w14:textId="77777777" w:rsidR="006F6653" w:rsidRPr="009E01B5" w:rsidRDefault="006F6653" w:rsidP="006F6653">
      <w:pPr>
        <w:pStyle w:val="Default"/>
        <w:jc w:val="both"/>
        <w:rPr>
          <w:sz w:val="20"/>
          <w:szCs w:val="20"/>
        </w:rPr>
      </w:pPr>
    </w:p>
    <w:p w14:paraId="71DA8A73" w14:textId="0EA2C2C1" w:rsidR="00572721" w:rsidRDefault="009E01B5" w:rsidP="00572721">
      <w:pPr>
        <w:pStyle w:val="Default"/>
        <w:numPr>
          <w:ilvl w:val="0"/>
          <w:numId w:val="1"/>
        </w:numPr>
        <w:jc w:val="both"/>
        <w:rPr>
          <w:sz w:val="20"/>
          <w:szCs w:val="20"/>
        </w:rPr>
      </w:pPr>
      <w:r w:rsidRPr="009E01B5">
        <w:rPr>
          <w:sz w:val="20"/>
          <w:szCs w:val="20"/>
        </w:rPr>
        <w:t>Remitir los informes periódicos que envía a los organismos especializados de la OEA y de las Naciones Unidas, relacionados con las medidas implementadas para la prevención y protección de los periodistas en Colombia.</w:t>
      </w:r>
    </w:p>
    <w:p w14:paraId="0AEF1265" w14:textId="77777777" w:rsidR="00572721" w:rsidRPr="00572721" w:rsidRDefault="00572721" w:rsidP="00572721">
      <w:pPr>
        <w:pStyle w:val="Default"/>
        <w:jc w:val="both"/>
        <w:rPr>
          <w:sz w:val="20"/>
          <w:szCs w:val="20"/>
        </w:rPr>
      </w:pPr>
    </w:p>
    <w:p w14:paraId="7C978BF1" w14:textId="4EA12230" w:rsidR="003A0E4C" w:rsidRPr="00572721" w:rsidRDefault="00572721" w:rsidP="003A0E4C">
      <w:pPr>
        <w:pStyle w:val="Default"/>
        <w:numPr>
          <w:ilvl w:val="0"/>
          <w:numId w:val="1"/>
        </w:numPr>
        <w:jc w:val="both"/>
        <w:rPr>
          <w:sz w:val="20"/>
          <w:szCs w:val="20"/>
        </w:rPr>
      </w:pPr>
      <w:r w:rsidRPr="00E65B3D">
        <w:rPr>
          <w:sz w:val="20"/>
          <w:szCs w:val="20"/>
        </w:rPr>
        <w:t>Brindar el tratamiento psicológico o psiquiátrico a las víctimas que así lo soliciten.</w:t>
      </w:r>
    </w:p>
    <w:p w14:paraId="2E6EFAEF" w14:textId="729D63B6" w:rsidR="003A0E4C" w:rsidRDefault="003A0E4C" w:rsidP="003A0E4C">
      <w:pPr>
        <w:pStyle w:val="Default"/>
        <w:jc w:val="both"/>
        <w:rPr>
          <w:sz w:val="16"/>
        </w:rPr>
      </w:pPr>
    </w:p>
    <w:p w14:paraId="09A4A438" w14:textId="2FB871D4" w:rsidR="008F52FF" w:rsidRDefault="008F52FF" w:rsidP="008F52FF">
      <w:pPr>
        <w:pStyle w:val="Default"/>
        <w:jc w:val="both"/>
        <w:rPr>
          <w:b/>
          <w:sz w:val="20"/>
          <w:szCs w:val="20"/>
          <w:u w:val="single"/>
        </w:rPr>
      </w:pPr>
      <w:r>
        <w:rPr>
          <w:b/>
          <w:sz w:val="20"/>
          <w:szCs w:val="20"/>
          <w:u w:val="single"/>
        </w:rPr>
        <w:t>Medida sobre la cual se ha concluido el proceso de supervisión de cumplimiento</w:t>
      </w:r>
    </w:p>
    <w:p w14:paraId="0C3CADE9" w14:textId="77777777" w:rsidR="008F52FF" w:rsidRDefault="008F52FF" w:rsidP="008F52FF">
      <w:pPr>
        <w:pStyle w:val="Default"/>
        <w:jc w:val="both"/>
        <w:rPr>
          <w:b/>
          <w:sz w:val="20"/>
          <w:szCs w:val="20"/>
          <w:u w:val="single"/>
        </w:rPr>
      </w:pPr>
    </w:p>
    <w:p w14:paraId="7301E289" w14:textId="26381778" w:rsidR="008F52FF" w:rsidRPr="00EE7BA0" w:rsidRDefault="00EE7BA0" w:rsidP="00EE7BA0">
      <w:pPr>
        <w:pStyle w:val="Default"/>
        <w:numPr>
          <w:ilvl w:val="0"/>
          <w:numId w:val="2"/>
        </w:numPr>
        <w:jc w:val="both"/>
        <w:rPr>
          <w:sz w:val="20"/>
          <w:szCs w:val="20"/>
        </w:rPr>
      </w:pPr>
      <w:r w:rsidRPr="00EE7BA0">
        <w:rPr>
          <w:sz w:val="20"/>
          <w:szCs w:val="20"/>
        </w:rPr>
        <w:t>Garantizar las condiciones de seguridad adecuadas para que los familiares del Nelson</w:t>
      </w:r>
      <w:r>
        <w:rPr>
          <w:sz w:val="20"/>
          <w:szCs w:val="20"/>
        </w:rPr>
        <w:t xml:space="preserve"> </w:t>
      </w:r>
      <w:r w:rsidRPr="00EE7BA0">
        <w:rPr>
          <w:sz w:val="20"/>
          <w:szCs w:val="20"/>
        </w:rPr>
        <w:t xml:space="preserve">Carvajal </w:t>
      </w:r>
      <w:proofErr w:type="spellStart"/>
      <w:proofErr w:type="gramStart"/>
      <w:r w:rsidRPr="00EE7BA0">
        <w:rPr>
          <w:sz w:val="20"/>
          <w:szCs w:val="20"/>
        </w:rPr>
        <w:t>Carvajal</w:t>
      </w:r>
      <w:proofErr w:type="spellEnd"/>
      <w:r w:rsidRPr="00EE7BA0">
        <w:rPr>
          <w:sz w:val="20"/>
          <w:szCs w:val="20"/>
        </w:rPr>
        <w:t>,</w:t>
      </w:r>
      <w:proofErr w:type="gramEnd"/>
      <w:r w:rsidRPr="00EE7BA0">
        <w:rPr>
          <w:sz w:val="20"/>
          <w:szCs w:val="20"/>
        </w:rPr>
        <w:t xml:space="preserve"> puedan retornar a su país de origen, de ser el caso y si así lo</w:t>
      </w:r>
      <w:r>
        <w:rPr>
          <w:sz w:val="20"/>
          <w:szCs w:val="20"/>
        </w:rPr>
        <w:t xml:space="preserve"> </w:t>
      </w:r>
      <w:r w:rsidRPr="00EE7BA0">
        <w:rPr>
          <w:sz w:val="20"/>
          <w:szCs w:val="20"/>
        </w:rPr>
        <w:t>desean, sin que ello represente un gasto adicional para los beneficiarios de la presente</w:t>
      </w:r>
      <w:r>
        <w:rPr>
          <w:sz w:val="20"/>
          <w:szCs w:val="20"/>
        </w:rPr>
        <w:t xml:space="preserve"> </w:t>
      </w:r>
      <w:r w:rsidRPr="00EE7BA0">
        <w:rPr>
          <w:sz w:val="20"/>
          <w:szCs w:val="20"/>
        </w:rPr>
        <w:t>medida, en los términos del párrafo 215 de la Sentencia.</w:t>
      </w:r>
    </w:p>
    <w:p w14:paraId="30F5BC80" w14:textId="77777777" w:rsidR="008F52FF" w:rsidRDefault="008F52FF" w:rsidP="008F52FF">
      <w:pPr>
        <w:pStyle w:val="Default"/>
        <w:ind w:left="363"/>
        <w:jc w:val="both"/>
        <w:rPr>
          <w:sz w:val="20"/>
          <w:szCs w:val="20"/>
        </w:rPr>
      </w:pPr>
    </w:p>
    <w:p w14:paraId="2A5C94C9" w14:textId="627C330A" w:rsidR="008F52FF" w:rsidRDefault="008F52FF" w:rsidP="008F52FF">
      <w:pPr>
        <w:pStyle w:val="Default"/>
        <w:ind w:left="363"/>
        <w:jc w:val="both"/>
        <w:rPr>
          <w:sz w:val="20"/>
          <w:szCs w:val="20"/>
        </w:rPr>
      </w:pPr>
      <w:r>
        <w:rPr>
          <w:sz w:val="20"/>
          <w:szCs w:val="20"/>
        </w:rPr>
        <w:t xml:space="preserve">En </w:t>
      </w:r>
      <w:r w:rsidR="002A06CB">
        <w:rPr>
          <w:sz w:val="20"/>
          <w:szCs w:val="20"/>
        </w:rPr>
        <w:t>los</w:t>
      </w:r>
      <w:r>
        <w:rPr>
          <w:sz w:val="20"/>
          <w:szCs w:val="20"/>
        </w:rPr>
        <w:t xml:space="preserve"> Considerando</w:t>
      </w:r>
      <w:r w:rsidR="002A06CB">
        <w:rPr>
          <w:sz w:val="20"/>
          <w:szCs w:val="20"/>
        </w:rPr>
        <w:t>s</w:t>
      </w:r>
      <w:r>
        <w:rPr>
          <w:sz w:val="20"/>
          <w:szCs w:val="20"/>
        </w:rPr>
        <w:t xml:space="preserve"> </w:t>
      </w:r>
      <w:r w:rsidR="002A06CB">
        <w:rPr>
          <w:sz w:val="20"/>
          <w:szCs w:val="20"/>
        </w:rPr>
        <w:t>14 y 15</w:t>
      </w:r>
      <w:r w:rsidRPr="0063307C">
        <w:rPr>
          <w:sz w:val="20"/>
          <w:szCs w:val="20"/>
        </w:rPr>
        <w:t xml:space="preserve"> de la Resolución </w:t>
      </w:r>
      <w:r w:rsidR="00EE7BA0">
        <w:rPr>
          <w:sz w:val="20"/>
          <w:szCs w:val="20"/>
        </w:rPr>
        <w:t>de 7 de octubre de 2019</w:t>
      </w:r>
      <w:r w:rsidRPr="0063307C">
        <w:rPr>
          <w:sz w:val="20"/>
          <w:szCs w:val="20"/>
        </w:rPr>
        <w:t xml:space="preserve"> se explica </w:t>
      </w:r>
      <w:r>
        <w:rPr>
          <w:sz w:val="20"/>
          <w:szCs w:val="20"/>
        </w:rPr>
        <w:t>la razón por la cual se concluye el proceso de supervisión de cumplimiento</w:t>
      </w:r>
      <w:r w:rsidRPr="0063307C">
        <w:rPr>
          <w:sz w:val="20"/>
          <w:szCs w:val="20"/>
        </w:rPr>
        <w:t>:</w:t>
      </w:r>
    </w:p>
    <w:p w14:paraId="3CC4B5F7" w14:textId="77777777" w:rsidR="008F52FF" w:rsidRDefault="008F52FF" w:rsidP="008F52FF">
      <w:pPr>
        <w:pStyle w:val="Default"/>
        <w:ind w:left="363"/>
        <w:jc w:val="both"/>
        <w:rPr>
          <w:sz w:val="20"/>
          <w:szCs w:val="20"/>
        </w:rPr>
      </w:pPr>
    </w:p>
    <w:p w14:paraId="43C47FD8" w14:textId="6BC03487" w:rsidR="002A06CB" w:rsidRDefault="002A06CB" w:rsidP="002A06CB">
      <w:pPr>
        <w:pStyle w:val="Prrafodelista"/>
        <w:ind w:left="1134"/>
        <w:jc w:val="both"/>
        <w:rPr>
          <w:rFonts w:ascii="Verdana" w:hAnsi="Verdana"/>
          <w:sz w:val="16"/>
        </w:rPr>
      </w:pPr>
      <w:r w:rsidRPr="002A06CB">
        <w:rPr>
          <w:rFonts w:ascii="Verdana" w:hAnsi="Verdana"/>
          <w:sz w:val="16"/>
        </w:rPr>
        <w:t>14. La Corte constata que los representantes de las víctimas indicaron en junio de 2019</w:t>
      </w:r>
      <w:r>
        <w:rPr>
          <w:rFonts w:ascii="Verdana" w:hAnsi="Verdana"/>
          <w:sz w:val="16"/>
        </w:rPr>
        <w:t xml:space="preserve"> </w:t>
      </w:r>
      <w:r w:rsidRPr="002A06CB">
        <w:rPr>
          <w:rFonts w:ascii="Verdana" w:hAnsi="Verdana"/>
          <w:sz w:val="16"/>
        </w:rPr>
        <w:t>que “[l]as víctimas que residen en el exterior han manifestado que no desean retornar al</w:t>
      </w:r>
      <w:r>
        <w:rPr>
          <w:rFonts w:ascii="Verdana" w:hAnsi="Verdana"/>
          <w:sz w:val="16"/>
        </w:rPr>
        <w:t xml:space="preserve"> </w:t>
      </w:r>
      <w:r w:rsidRPr="002A06CB">
        <w:rPr>
          <w:rFonts w:ascii="Verdana" w:hAnsi="Verdana"/>
          <w:sz w:val="16"/>
        </w:rPr>
        <w:t>país”. Asimismo, señalaron que, “[d]</w:t>
      </w:r>
      <w:proofErr w:type="spellStart"/>
      <w:r w:rsidRPr="002A06CB">
        <w:rPr>
          <w:rFonts w:ascii="Verdana" w:hAnsi="Verdana"/>
          <w:sz w:val="16"/>
        </w:rPr>
        <w:t>ado</w:t>
      </w:r>
      <w:proofErr w:type="spellEnd"/>
      <w:r w:rsidRPr="002A06CB">
        <w:rPr>
          <w:rFonts w:ascii="Verdana" w:hAnsi="Verdana"/>
          <w:sz w:val="16"/>
        </w:rPr>
        <w:t xml:space="preserve"> el plazo otorgado por la Corte para manifestar la</w:t>
      </w:r>
      <w:r>
        <w:rPr>
          <w:rFonts w:ascii="Verdana" w:hAnsi="Verdana"/>
          <w:sz w:val="16"/>
        </w:rPr>
        <w:t xml:space="preserve"> </w:t>
      </w:r>
      <w:r w:rsidRPr="002A06CB">
        <w:rPr>
          <w:rFonts w:ascii="Verdana" w:hAnsi="Verdana"/>
          <w:sz w:val="16"/>
        </w:rPr>
        <w:t xml:space="preserve">intención de retorno, considera[n] que este punto puede darse por cerrado”. </w:t>
      </w:r>
      <w:proofErr w:type="gramStart"/>
      <w:r w:rsidRPr="002A06CB">
        <w:rPr>
          <w:rFonts w:ascii="Verdana" w:hAnsi="Verdana"/>
          <w:sz w:val="16"/>
        </w:rPr>
        <w:t>En razón de</w:t>
      </w:r>
      <w:proofErr w:type="gramEnd"/>
      <w:r>
        <w:rPr>
          <w:rFonts w:ascii="Verdana" w:hAnsi="Verdana"/>
          <w:sz w:val="16"/>
        </w:rPr>
        <w:t xml:space="preserve"> </w:t>
      </w:r>
      <w:r w:rsidRPr="002A06CB">
        <w:rPr>
          <w:rFonts w:ascii="Verdana" w:hAnsi="Verdana"/>
          <w:sz w:val="16"/>
        </w:rPr>
        <w:t>lo anterior, tanto el Estado como la Comisión Interamericana han estimado que dicha</w:t>
      </w:r>
      <w:r>
        <w:rPr>
          <w:rFonts w:ascii="Verdana" w:hAnsi="Verdana"/>
          <w:sz w:val="16"/>
        </w:rPr>
        <w:t xml:space="preserve"> </w:t>
      </w:r>
      <w:r w:rsidRPr="002A06CB">
        <w:rPr>
          <w:rFonts w:ascii="Verdana" w:hAnsi="Verdana"/>
          <w:sz w:val="16"/>
        </w:rPr>
        <w:t>reparación “se encuentra cumplida”.</w:t>
      </w:r>
    </w:p>
    <w:p w14:paraId="47ABFCEE" w14:textId="77777777" w:rsidR="002A06CB" w:rsidRDefault="002A06CB" w:rsidP="002A06CB">
      <w:pPr>
        <w:pStyle w:val="Prrafodelista"/>
        <w:ind w:left="1134"/>
        <w:jc w:val="both"/>
        <w:rPr>
          <w:rFonts w:ascii="Verdana" w:hAnsi="Verdana"/>
          <w:sz w:val="16"/>
        </w:rPr>
      </w:pPr>
    </w:p>
    <w:p w14:paraId="58215D76" w14:textId="3954229A" w:rsidR="002A5E8D" w:rsidRPr="002A5E8D" w:rsidRDefault="002A06CB" w:rsidP="002A06CB">
      <w:pPr>
        <w:pStyle w:val="Prrafodelista"/>
        <w:ind w:left="1134"/>
        <w:jc w:val="both"/>
        <w:rPr>
          <w:rFonts w:ascii="Verdana" w:hAnsi="Verdana"/>
          <w:sz w:val="16"/>
        </w:rPr>
      </w:pPr>
      <w:r w:rsidRPr="002A06CB">
        <w:rPr>
          <w:rFonts w:ascii="Verdana" w:hAnsi="Verdana"/>
          <w:sz w:val="16"/>
        </w:rPr>
        <w:t>15. Este Tribunal considera que, una vez conocida la voluntad de las referidas víctimas</w:t>
      </w:r>
      <w:r>
        <w:rPr>
          <w:rFonts w:ascii="Verdana" w:hAnsi="Verdana"/>
          <w:sz w:val="16"/>
        </w:rPr>
        <w:t xml:space="preserve"> </w:t>
      </w:r>
      <w:r w:rsidRPr="002A06CB">
        <w:rPr>
          <w:rFonts w:ascii="Verdana" w:hAnsi="Verdana"/>
          <w:sz w:val="16"/>
        </w:rPr>
        <w:t>de no querer regresar a residir en Colombia, en efecto el Estado no tiene una medida de</w:t>
      </w:r>
      <w:r>
        <w:rPr>
          <w:rFonts w:ascii="Verdana" w:hAnsi="Verdana"/>
          <w:sz w:val="16"/>
        </w:rPr>
        <w:t xml:space="preserve"> </w:t>
      </w:r>
      <w:r w:rsidRPr="002A06CB">
        <w:rPr>
          <w:rFonts w:ascii="Verdana" w:hAnsi="Verdana"/>
          <w:sz w:val="16"/>
        </w:rPr>
        <w:t>reparación que cumplir al respecto y por tanto debe cerrarse la supervisión de la presente</w:t>
      </w:r>
      <w:r>
        <w:rPr>
          <w:rFonts w:ascii="Verdana" w:hAnsi="Verdana"/>
          <w:sz w:val="16"/>
        </w:rPr>
        <w:t xml:space="preserve"> </w:t>
      </w:r>
      <w:r w:rsidRPr="002A06CB">
        <w:rPr>
          <w:rFonts w:ascii="Verdana" w:hAnsi="Verdana"/>
          <w:sz w:val="16"/>
        </w:rPr>
        <w:t>medida ordenada en el punto resolutivo décimo tercero de la Sentencia.</w:t>
      </w:r>
    </w:p>
    <w:sectPr w:rsidR="002A5E8D" w:rsidRPr="002A5E8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CB74" w14:textId="77777777" w:rsidR="00040B36" w:rsidRDefault="00040B36">
      <w:r>
        <w:separator/>
      </w:r>
    </w:p>
  </w:endnote>
  <w:endnote w:type="continuationSeparator" w:id="0">
    <w:p w14:paraId="483458D2" w14:textId="77777777" w:rsidR="00040B36" w:rsidRDefault="0004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C7C5" w14:textId="77777777" w:rsidR="00000000" w:rsidRPr="009B6E42" w:rsidRDefault="00371BDA"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B4BB100" w14:textId="77777777" w:rsidR="00000000"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C09B" w14:textId="77777777" w:rsidR="00040B36" w:rsidRDefault="00040B36">
      <w:r>
        <w:separator/>
      </w:r>
    </w:p>
  </w:footnote>
  <w:footnote w:type="continuationSeparator" w:id="0">
    <w:p w14:paraId="26F874CD" w14:textId="77777777" w:rsidR="00040B36" w:rsidRDefault="0004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57D9E86" w14:textId="77777777" w:rsidR="00000000" w:rsidRPr="00675FE7" w:rsidRDefault="00371BDA"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Pr>
            <w:rFonts w:ascii="Verdana" w:hAnsi="Verdana"/>
            <w:noProof/>
          </w:rPr>
          <w:t>2</w:t>
        </w:r>
        <w:r w:rsidRPr="00675FE7">
          <w:rPr>
            <w:rFonts w:ascii="Verdana" w:hAnsi="Verdana"/>
            <w:noProof/>
          </w:rPr>
          <w:fldChar w:fldCharType="end"/>
        </w:r>
      </w:p>
    </w:sdtContent>
  </w:sdt>
  <w:p w14:paraId="2F373979"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16cid:durableId="565452217">
    <w:abstractNumId w:val="0"/>
  </w:num>
  <w:num w:numId="2" w16cid:durableId="1714034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7C"/>
    <w:rsid w:val="00037A36"/>
    <w:rsid w:val="00040B36"/>
    <w:rsid w:val="000F0C6F"/>
    <w:rsid w:val="002A06CB"/>
    <w:rsid w:val="002A5E8D"/>
    <w:rsid w:val="002C04FB"/>
    <w:rsid w:val="00304E64"/>
    <w:rsid w:val="00371BDA"/>
    <w:rsid w:val="00382A71"/>
    <w:rsid w:val="003A0E4C"/>
    <w:rsid w:val="003A20BD"/>
    <w:rsid w:val="003A7470"/>
    <w:rsid w:val="003B37D3"/>
    <w:rsid w:val="00515D52"/>
    <w:rsid w:val="00572721"/>
    <w:rsid w:val="0063307C"/>
    <w:rsid w:val="00683F7B"/>
    <w:rsid w:val="006D0A49"/>
    <w:rsid w:val="006F6653"/>
    <w:rsid w:val="007D461F"/>
    <w:rsid w:val="008F52FF"/>
    <w:rsid w:val="009233BC"/>
    <w:rsid w:val="00952C0C"/>
    <w:rsid w:val="009638C9"/>
    <w:rsid w:val="009E01B5"/>
    <w:rsid w:val="00A72E11"/>
    <w:rsid w:val="00B268A9"/>
    <w:rsid w:val="00C75043"/>
    <w:rsid w:val="00D154D7"/>
    <w:rsid w:val="00DB0FF8"/>
    <w:rsid w:val="00EE7BA0"/>
    <w:rsid w:val="00F22D6C"/>
    <w:rsid w:val="00F56A01"/>
    <w:rsid w:val="00F828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C915"/>
  <w15:chartTrackingRefBased/>
  <w15:docId w15:val="{5C401249-8E45-4F0D-B77B-F3B6BDCE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7C"/>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307C"/>
    <w:pPr>
      <w:tabs>
        <w:tab w:val="center" w:pos="4680"/>
        <w:tab w:val="right" w:pos="9360"/>
      </w:tabs>
    </w:pPr>
  </w:style>
  <w:style w:type="character" w:customStyle="1" w:styleId="EncabezadoCar">
    <w:name w:val="Encabezado Car"/>
    <w:basedOn w:val="Fuentedeprrafopredeter"/>
    <w:link w:val="Encabezado"/>
    <w:uiPriority w:val="99"/>
    <w:rsid w:val="0063307C"/>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63307C"/>
    <w:pPr>
      <w:tabs>
        <w:tab w:val="center" w:pos="4680"/>
        <w:tab w:val="right" w:pos="9360"/>
      </w:tabs>
    </w:pPr>
  </w:style>
  <w:style w:type="character" w:customStyle="1" w:styleId="PiedepginaCar">
    <w:name w:val="Pie de página Car"/>
    <w:basedOn w:val="Fuentedeprrafopredeter"/>
    <w:link w:val="Piedepgina"/>
    <w:uiPriority w:val="99"/>
    <w:rsid w:val="0063307C"/>
    <w:rPr>
      <w:rFonts w:ascii="Arial" w:eastAsia="Times New Roman" w:hAnsi="Arial" w:cs="Times New Roman"/>
      <w:sz w:val="20"/>
      <w:szCs w:val="20"/>
      <w:lang w:val="es-ES_tradnl" w:eastAsia="es-ES"/>
    </w:rPr>
  </w:style>
  <w:style w:type="paragraph" w:customStyle="1" w:styleId="Default">
    <w:name w:val="Default"/>
    <w:rsid w:val="0063307C"/>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633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Oviedo</dc:creator>
  <cp:keywords/>
  <dc:description/>
  <cp:lastModifiedBy>Natalia Oviedo</cp:lastModifiedBy>
  <cp:revision>4</cp:revision>
  <dcterms:created xsi:type="dcterms:W3CDTF">2022-07-19T18:13:00Z</dcterms:created>
  <dcterms:modified xsi:type="dcterms:W3CDTF">2023-10-09T17:25:00Z</dcterms:modified>
</cp:coreProperties>
</file>