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A79" w:rsidRDefault="00E20A79" w:rsidP="00DB0490">
      <w:pPr>
        <w:ind w:right="99"/>
        <w:jc w:val="center"/>
        <w:rPr>
          <w:b/>
          <w:sz w:val="20"/>
          <w:u w:val="single"/>
        </w:rPr>
      </w:pPr>
    </w:p>
    <w:p w:rsidR="00DB0490" w:rsidRPr="00DB0490" w:rsidRDefault="00DB0490" w:rsidP="00DB0490">
      <w:pPr>
        <w:ind w:right="99"/>
        <w:jc w:val="center"/>
        <w:rPr>
          <w:b/>
          <w:color w:val="00B050"/>
          <w:sz w:val="20"/>
          <w:u w:val="single"/>
        </w:rPr>
      </w:pPr>
      <w:r w:rsidRPr="00DB0490">
        <w:rPr>
          <w:b/>
          <w:sz w:val="20"/>
          <w:u w:val="single"/>
        </w:rPr>
        <w:t xml:space="preserve">Caso Manuel Cepeda Vargas </w:t>
      </w:r>
      <w:r w:rsidRPr="00DB0490">
        <w:rPr>
          <w:b/>
          <w:i/>
          <w:sz w:val="20"/>
          <w:u w:val="single"/>
        </w:rPr>
        <w:t>Vs.</w:t>
      </w:r>
      <w:r w:rsidRPr="00DB0490">
        <w:rPr>
          <w:b/>
          <w:sz w:val="20"/>
          <w:u w:val="single"/>
        </w:rPr>
        <w:t xml:space="preserve"> Colombia: reparaciones declaradas cumplidas</w:t>
      </w:r>
    </w:p>
    <w:p w:rsidR="00DB0490" w:rsidRDefault="00DB0490" w:rsidP="00DB0490">
      <w:pPr>
        <w:ind w:right="99"/>
        <w:jc w:val="both"/>
        <w:rPr>
          <w:color w:val="00B050"/>
          <w:sz w:val="20"/>
        </w:rPr>
      </w:pPr>
    </w:p>
    <w:p w:rsidR="00DB0490" w:rsidRDefault="00DB0490" w:rsidP="00DB0490">
      <w:pPr>
        <w:ind w:right="99"/>
        <w:jc w:val="both"/>
        <w:rPr>
          <w:sz w:val="20"/>
        </w:rPr>
      </w:pPr>
    </w:p>
    <w:p w:rsidR="00DB0490" w:rsidRDefault="00DB0490" w:rsidP="00DB0490">
      <w:pPr>
        <w:pStyle w:val="Prrafodelista"/>
        <w:numPr>
          <w:ilvl w:val="0"/>
          <w:numId w:val="1"/>
        </w:numPr>
        <w:ind w:left="360" w:right="99"/>
        <w:jc w:val="both"/>
        <w:rPr>
          <w:sz w:val="20"/>
          <w:szCs w:val="20"/>
        </w:rPr>
      </w:pPr>
      <w:r>
        <w:rPr>
          <w:sz w:val="20"/>
          <w:szCs w:val="20"/>
        </w:rPr>
        <w:t>P</w:t>
      </w:r>
      <w:r w:rsidRPr="00DB0490">
        <w:rPr>
          <w:sz w:val="20"/>
          <w:szCs w:val="20"/>
        </w:rPr>
        <w:t>ublicar</w:t>
      </w:r>
      <w:r w:rsidRPr="00DB0490">
        <w:rPr>
          <w:sz w:val="20"/>
          <w:szCs w:val="20"/>
          <w:lang w:val="es-ES"/>
        </w:rPr>
        <w:t xml:space="preserve">, por una sola vez, en el Diario Oficial y en otro diario de circulación nacional, </w:t>
      </w:r>
      <w:r w:rsidRPr="00DB0490">
        <w:rPr>
          <w:rFonts w:eastAsia="Times New Roman"/>
          <w:sz w:val="20"/>
          <w:szCs w:val="20"/>
          <w:lang w:val="es-ES"/>
        </w:rPr>
        <w:t xml:space="preserve">los párrafos </w:t>
      </w:r>
      <w:r w:rsidRPr="00DB0490">
        <w:rPr>
          <w:sz w:val="20"/>
        </w:rPr>
        <w:t xml:space="preserve">1 a 5, 13 a 23, 71 a 73, 85 a 87, 88, 100 a 102, 103, 114, 115, 122 a 126, 167, 175 a 177, 179, 180, 181, 194 a 196, 201, 202, 204, 209, 210, 216 a 218, 220, 223, 228, 233 y 235 </w:t>
      </w:r>
      <w:r w:rsidRPr="00DB0490">
        <w:rPr>
          <w:rFonts w:eastAsia="Times New Roman"/>
          <w:sz w:val="20"/>
          <w:szCs w:val="20"/>
          <w:lang w:val="es-ES"/>
        </w:rPr>
        <w:t xml:space="preserve">de la presente Sentencia, </w:t>
      </w:r>
      <w:r w:rsidRPr="00DB0490">
        <w:rPr>
          <w:sz w:val="20"/>
          <w:szCs w:val="20"/>
        </w:rPr>
        <w:t xml:space="preserve">incluyendo los nombres de cada capítulo y del apartado respectivo, </w:t>
      </w:r>
      <w:r w:rsidRPr="00DB0490">
        <w:rPr>
          <w:rFonts w:eastAsia="Times New Roman"/>
          <w:sz w:val="20"/>
          <w:szCs w:val="20"/>
          <w:lang w:val="es-ES"/>
        </w:rPr>
        <w:t xml:space="preserve">sin las notas al pie de página correspondientes, así como la </w:t>
      </w:r>
      <w:r w:rsidRPr="00DB0490">
        <w:rPr>
          <w:sz w:val="20"/>
          <w:szCs w:val="20"/>
        </w:rPr>
        <w:t>parte</w:t>
      </w:r>
      <w:r w:rsidRPr="00DB0490">
        <w:rPr>
          <w:rFonts w:eastAsia="Times New Roman"/>
          <w:sz w:val="20"/>
          <w:szCs w:val="20"/>
          <w:lang w:val="es-ES"/>
        </w:rPr>
        <w:t xml:space="preserve"> resolutiva de la misma</w:t>
      </w:r>
      <w:r w:rsidRPr="00DB0490">
        <w:rPr>
          <w:sz w:val="20"/>
          <w:szCs w:val="20"/>
          <w:lang w:val="es-ES"/>
        </w:rPr>
        <w:t xml:space="preserve">.  </w:t>
      </w:r>
      <w:r w:rsidRPr="00DB0490">
        <w:rPr>
          <w:sz w:val="20"/>
          <w:szCs w:val="20"/>
        </w:rPr>
        <w:t xml:space="preserve">Adicionalmente, </w:t>
      </w:r>
      <w:r w:rsidRPr="00DB0490">
        <w:rPr>
          <w:rFonts w:cs="Verdana"/>
          <w:sz w:val="20"/>
          <w:szCs w:val="20"/>
          <w:lang w:val="es-ES" w:eastAsia="es-ES"/>
        </w:rPr>
        <w:t xml:space="preserve">la presente </w:t>
      </w:r>
      <w:r w:rsidRPr="00DB0490">
        <w:rPr>
          <w:sz w:val="20"/>
          <w:szCs w:val="20"/>
        </w:rPr>
        <w:t xml:space="preserve">Sentencia deberá publicarse íntegramente, al menos por un año, </w:t>
      </w:r>
      <w:r w:rsidRPr="00DB0490">
        <w:rPr>
          <w:rFonts w:cs="Verdana"/>
          <w:sz w:val="20"/>
          <w:szCs w:val="20"/>
        </w:rPr>
        <w:t xml:space="preserve">en un sitio </w:t>
      </w:r>
      <w:r w:rsidRPr="00DB0490">
        <w:rPr>
          <w:rFonts w:cs="Verdana"/>
          <w:i/>
          <w:sz w:val="20"/>
          <w:szCs w:val="20"/>
        </w:rPr>
        <w:t>web</w:t>
      </w:r>
      <w:r w:rsidRPr="00DB0490">
        <w:rPr>
          <w:rFonts w:cs="Verdana"/>
          <w:sz w:val="20"/>
          <w:szCs w:val="20"/>
        </w:rPr>
        <w:t xml:space="preserve"> oficial</w:t>
      </w:r>
      <w:r w:rsidRPr="00DB0490">
        <w:rPr>
          <w:sz w:val="20"/>
          <w:szCs w:val="20"/>
        </w:rPr>
        <w:t xml:space="preserve"> </w:t>
      </w:r>
      <w:r w:rsidRPr="00DB0490">
        <w:rPr>
          <w:rFonts w:cs="Verdana"/>
          <w:sz w:val="20"/>
          <w:szCs w:val="20"/>
        </w:rPr>
        <w:t xml:space="preserve">estatal </w:t>
      </w:r>
      <w:r w:rsidRPr="00DB0490">
        <w:rPr>
          <w:sz w:val="20"/>
          <w:szCs w:val="20"/>
        </w:rPr>
        <w:t>adecuado, en los términos del párrafo 220 del Fallo.</w:t>
      </w:r>
    </w:p>
    <w:p w:rsidR="00DB0490" w:rsidRDefault="00DB0490" w:rsidP="00DB0490">
      <w:pPr>
        <w:pStyle w:val="Prrafodelista"/>
        <w:ind w:left="360" w:right="99" w:hanging="360"/>
        <w:jc w:val="both"/>
        <w:rPr>
          <w:sz w:val="20"/>
          <w:szCs w:val="20"/>
        </w:rPr>
      </w:pPr>
    </w:p>
    <w:p w:rsidR="00DB0490" w:rsidRDefault="00DB0490" w:rsidP="00DB0490">
      <w:pPr>
        <w:pStyle w:val="Prrafodelista"/>
        <w:numPr>
          <w:ilvl w:val="0"/>
          <w:numId w:val="1"/>
        </w:numPr>
        <w:ind w:left="360" w:right="99"/>
        <w:jc w:val="both"/>
        <w:rPr>
          <w:sz w:val="20"/>
          <w:szCs w:val="20"/>
        </w:rPr>
      </w:pPr>
      <w:r w:rsidRPr="00DB0490">
        <w:rPr>
          <w:sz w:val="20"/>
          <w:szCs w:val="20"/>
        </w:rPr>
        <w:t xml:space="preserve">Realizar </w:t>
      </w:r>
      <w:r w:rsidRPr="00DB0490">
        <w:rPr>
          <w:sz w:val="20"/>
          <w:szCs w:val="20"/>
          <w:lang w:val="es-ES"/>
        </w:rPr>
        <w:t xml:space="preserve">un acto público de reconocimiento de responsabilidad internacional por los hechos del presente caso, </w:t>
      </w:r>
      <w:r w:rsidRPr="00DB0490">
        <w:rPr>
          <w:sz w:val="20"/>
          <w:szCs w:val="20"/>
        </w:rPr>
        <w:t>en los términos de los párrafos 223 a 225 de esta Sentencia.</w:t>
      </w:r>
    </w:p>
    <w:p w:rsidR="00DB0490" w:rsidRPr="00DB0490" w:rsidRDefault="00DB0490" w:rsidP="00DB0490">
      <w:pPr>
        <w:pStyle w:val="Prrafodelista"/>
        <w:ind w:left="360" w:hanging="360"/>
        <w:rPr>
          <w:rFonts w:cs="Verdana"/>
          <w:sz w:val="20"/>
          <w:szCs w:val="20"/>
          <w:lang w:val="es-ES"/>
        </w:rPr>
      </w:pPr>
    </w:p>
    <w:p w:rsidR="00DB0490" w:rsidRPr="00DB0490" w:rsidRDefault="00DB0490" w:rsidP="00DB0490">
      <w:pPr>
        <w:pStyle w:val="Prrafodelista"/>
        <w:numPr>
          <w:ilvl w:val="0"/>
          <w:numId w:val="1"/>
        </w:numPr>
        <w:ind w:left="360" w:right="99"/>
        <w:jc w:val="both"/>
        <w:rPr>
          <w:sz w:val="20"/>
          <w:szCs w:val="20"/>
        </w:rPr>
      </w:pPr>
      <w:r w:rsidRPr="00DB0490">
        <w:rPr>
          <w:rFonts w:cs="Verdana"/>
          <w:sz w:val="20"/>
          <w:szCs w:val="20"/>
          <w:lang w:val="es-ES"/>
        </w:rPr>
        <w:t xml:space="preserve">Pagar las cantidades fijadas en el párrafo 247 de la misma, por concepto de indemnización por daños materiales, en los términos de los párrafos 247 y 260 a 264 de la </w:t>
      </w:r>
      <w:bookmarkStart w:id="0" w:name="_GoBack"/>
      <w:bookmarkEnd w:id="0"/>
      <w:r w:rsidRPr="00DB0490">
        <w:rPr>
          <w:rFonts w:cs="Verdana"/>
          <w:sz w:val="20"/>
          <w:szCs w:val="20"/>
          <w:lang w:val="es-ES"/>
        </w:rPr>
        <w:t>Sentencia.</w:t>
      </w:r>
    </w:p>
    <w:p w:rsidR="00DB0490" w:rsidRPr="00DB0490" w:rsidRDefault="00DB0490" w:rsidP="00DB0490">
      <w:pPr>
        <w:pStyle w:val="Prrafodelista"/>
        <w:ind w:left="360" w:hanging="360"/>
        <w:rPr>
          <w:rFonts w:cs="Verdana"/>
          <w:sz w:val="20"/>
          <w:szCs w:val="20"/>
          <w:lang w:val="es-ES"/>
        </w:rPr>
      </w:pPr>
    </w:p>
    <w:p w:rsidR="00DB0490" w:rsidRPr="00E20A79" w:rsidRDefault="00DB0490" w:rsidP="00DB0490">
      <w:pPr>
        <w:pStyle w:val="Prrafodelista"/>
        <w:numPr>
          <w:ilvl w:val="0"/>
          <w:numId w:val="1"/>
        </w:numPr>
        <w:ind w:left="360" w:right="99"/>
        <w:jc w:val="both"/>
        <w:rPr>
          <w:sz w:val="20"/>
          <w:szCs w:val="20"/>
        </w:rPr>
      </w:pPr>
      <w:r w:rsidRPr="00DB0490">
        <w:rPr>
          <w:rFonts w:cs="Verdana"/>
          <w:sz w:val="20"/>
          <w:szCs w:val="20"/>
          <w:lang w:val="es-ES"/>
        </w:rPr>
        <w:t>Pagar las cantidades fijadas en los párrafos 251, 253 y 259 de la misma, por concepto de indemnización por daños inmateriales y reintegro de costas y gastos, en los términos de los párrafos 251, 253, 259 y 260 a 264 de la Sentencia.</w:t>
      </w:r>
    </w:p>
    <w:p w:rsidR="00E20A79" w:rsidRPr="00E20A79" w:rsidRDefault="00E20A79" w:rsidP="00E20A79">
      <w:pPr>
        <w:pStyle w:val="Prrafodelista"/>
        <w:rPr>
          <w:sz w:val="20"/>
          <w:szCs w:val="20"/>
        </w:rPr>
      </w:pPr>
    </w:p>
    <w:p w:rsidR="00E20A79" w:rsidRPr="00DB0490" w:rsidRDefault="00E20A79" w:rsidP="00DB0490">
      <w:pPr>
        <w:pStyle w:val="Prrafodelista"/>
        <w:numPr>
          <w:ilvl w:val="0"/>
          <w:numId w:val="1"/>
        </w:numPr>
        <w:ind w:left="360" w:right="99"/>
        <w:jc w:val="both"/>
        <w:rPr>
          <w:sz w:val="20"/>
          <w:szCs w:val="20"/>
        </w:rPr>
      </w:pPr>
      <w:r>
        <w:rPr>
          <w:sz w:val="20"/>
          <w:szCs w:val="20"/>
        </w:rPr>
        <w:t>O</w:t>
      </w:r>
      <w:r w:rsidRPr="00E20A79">
        <w:rPr>
          <w:sz w:val="20"/>
          <w:szCs w:val="20"/>
        </w:rPr>
        <w:t>torgar una beca con el nombre de Manuel Cepeda Vargas, en los términos del párrafo 233 de la Sentencia.</w:t>
      </w:r>
    </w:p>
    <w:p w:rsidR="006E7F48" w:rsidRDefault="00E20A79"/>
    <w:sectPr w:rsidR="006E7F4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D58" w:rsidRDefault="00E50D58" w:rsidP="00DB0490">
      <w:r>
        <w:separator/>
      </w:r>
    </w:p>
  </w:endnote>
  <w:endnote w:type="continuationSeparator" w:id="0">
    <w:p w:rsidR="00E50D58" w:rsidRDefault="00E50D58" w:rsidP="00DB0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F80" w:rsidRDefault="00956F8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490" w:rsidRPr="00AD7D16" w:rsidRDefault="00DB0490" w:rsidP="00DB0490">
    <w:pPr>
      <w:jc w:val="both"/>
      <w:rPr>
        <w:bCs/>
        <w:sz w:val="16"/>
        <w:szCs w:val="16"/>
        <w:lang w:val="es-MX"/>
      </w:rPr>
    </w:pPr>
    <w:r w:rsidRPr="00AD7D16">
      <w:rPr>
        <w:bCs/>
        <w:sz w:val="16"/>
        <w:szCs w:val="16"/>
        <w:lang w:val="es-MX"/>
      </w:rPr>
      <w:t xml:space="preserve">La presente sistematización de información fue </w:t>
    </w:r>
    <w:r w:rsidR="00956F80">
      <w:rPr>
        <w:bCs/>
        <w:sz w:val="16"/>
        <w:szCs w:val="16"/>
        <w:lang w:val="es-MX"/>
      </w:rPr>
      <w:t>realizada</w:t>
    </w:r>
    <w:r w:rsidRPr="00AD7D16">
      <w:rPr>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DB0490" w:rsidRPr="00DB0490" w:rsidRDefault="00DB0490">
    <w:pPr>
      <w:pStyle w:val="Piedepgina"/>
      <w:rPr>
        <w:lang w:val="es-MX"/>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F80" w:rsidRDefault="00956F8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D58" w:rsidRDefault="00E50D58" w:rsidP="00DB0490">
      <w:r>
        <w:separator/>
      </w:r>
    </w:p>
  </w:footnote>
  <w:footnote w:type="continuationSeparator" w:id="0">
    <w:p w:rsidR="00E50D58" w:rsidRDefault="00E50D58" w:rsidP="00DB0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F80" w:rsidRDefault="00956F8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0897709"/>
      <w:docPartObj>
        <w:docPartGallery w:val="Page Numbers (Top of Page)"/>
        <w:docPartUnique/>
      </w:docPartObj>
    </w:sdtPr>
    <w:sdtEndPr/>
    <w:sdtContent>
      <w:p w:rsidR="00470A44" w:rsidRDefault="00470A44" w:rsidP="00470A44">
        <w:pPr>
          <w:pStyle w:val="Encabezado"/>
          <w:jc w:val="right"/>
          <w:rPr>
            <w:sz w:val="20"/>
            <w:szCs w:val="20"/>
          </w:rPr>
        </w:pPr>
        <w:r>
          <w:rPr>
            <w:sz w:val="20"/>
            <w:szCs w:val="20"/>
          </w:rPr>
          <w:fldChar w:fldCharType="begin"/>
        </w:r>
        <w:r>
          <w:rPr>
            <w:sz w:val="20"/>
            <w:szCs w:val="20"/>
          </w:rPr>
          <w:instrText xml:space="preserve"> PAGE   \* MERGEFORMAT </w:instrText>
        </w:r>
        <w:r>
          <w:rPr>
            <w:sz w:val="20"/>
            <w:szCs w:val="20"/>
          </w:rPr>
          <w:fldChar w:fldCharType="separate"/>
        </w:r>
        <w:r w:rsidR="00E20A79">
          <w:rPr>
            <w:noProof/>
            <w:sz w:val="20"/>
            <w:szCs w:val="20"/>
          </w:rPr>
          <w:t>1</w:t>
        </w:r>
        <w:r>
          <w:rPr>
            <w:noProof/>
            <w:sz w:val="20"/>
            <w:szCs w:val="20"/>
          </w:rPr>
          <w:fldChar w:fldCharType="end"/>
        </w:r>
      </w:p>
    </w:sdtContent>
  </w:sdt>
  <w:p w:rsidR="00470A44" w:rsidRDefault="00470A4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F80" w:rsidRDefault="00956F8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61F"/>
    <w:multiLevelType w:val="hybridMultilevel"/>
    <w:tmpl w:val="4EF8D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490"/>
    <w:rsid w:val="003A7E5E"/>
    <w:rsid w:val="00470A44"/>
    <w:rsid w:val="00956F80"/>
    <w:rsid w:val="009832C0"/>
    <w:rsid w:val="00DB0490"/>
    <w:rsid w:val="00E20A79"/>
    <w:rsid w:val="00E50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7781B"/>
  <w15:docId w15:val="{B9A9C8EA-D843-45BA-8196-F08D19EDA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490"/>
    <w:pPr>
      <w:spacing w:after="0" w:line="240" w:lineRule="auto"/>
    </w:pPr>
    <w:rPr>
      <w:rFonts w:ascii="Verdana" w:eastAsia="Batang" w:hAnsi="Verdana" w:cs="Times New Roman"/>
      <w:sz w:val="24"/>
      <w:szCs w:val="24"/>
      <w:lang w:val="es-ES_tradnl"/>
    </w:rPr>
  </w:style>
  <w:style w:type="paragraph" w:styleId="Ttulo1">
    <w:name w:val="heading 1"/>
    <w:basedOn w:val="Normal"/>
    <w:next w:val="Normal"/>
    <w:link w:val="Ttulo1Car"/>
    <w:qFormat/>
    <w:rsid w:val="00DB0490"/>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B0490"/>
    <w:rPr>
      <w:rFonts w:ascii="Arial" w:eastAsia="Batang" w:hAnsi="Arial" w:cs="Arial"/>
      <w:b/>
      <w:bCs/>
      <w:kern w:val="32"/>
      <w:sz w:val="32"/>
      <w:szCs w:val="32"/>
      <w:lang w:val="es-ES_tradnl"/>
    </w:rPr>
  </w:style>
  <w:style w:type="paragraph" w:styleId="Encabezado">
    <w:name w:val="header"/>
    <w:basedOn w:val="Normal"/>
    <w:link w:val="EncabezadoCar"/>
    <w:uiPriority w:val="99"/>
    <w:unhideWhenUsed/>
    <w:rsid w:val="00DB0490"/>
    <w:pPr>
      <w:tabs>
        <w:tab w:val="center" w:pos="4680"/>
        <w:tab w:val="right" w:pos="9360"/>
      </w:tabs>
    </w:pPr>
  </w:style>
  <w:style w:type="character" w:customStyle="1" w:styleId="EncabezadoCar">
    <w:name w:val="Encabezado Car"/>
    <w:basedOn w:val="Fuentedeprrafopredeter"/>
    <w:link w:val="Encabezado"/>
    <w:uiPriority w:val="99"/>
    <w:rsid w:val="00DB0490"/>
    <w:rPr>
      <w:rFonts w:ascii="Verdana" w:eastAsia="Batang" w:hAnsi="Verdana" w:cs="Times New Roman"/>
      <w:sz w:val="24"/>
      <w:szCs w:val="24"/>
      <w:lang w:val="es-ES_tradnl"/>
    </w:rPr>
  </w:style>
  <w:style w:type="paragraph" w:styleId="Piedepgina">
    <w:name w:val="footer"/>
    <w:basedOn w:val="Normal"/>
    <w:link w:val="PiedepginaCar"/>
    <w:uiPriority w:val="99"/>
    <w:unhideWhenUsed/>
    <w:rsid w:val="00DB0490"/>
    <w:pPr>
      <w:tabs>
        <w:tab w:val="center" w:pos="4680"/>
        <w:tab w:val="right" w:pos="9360"/>
      </w:tabs>
    </w:pPr>
  </w:style>
  <w:style w:type="character" w:customStyle="1" w:styleId="PiedepginaCar">
    <w:name w:val="Pie de página Car"/>
    <w:basedOn w:val="Fuentedeprrafopredeter"/>
    <w:link w:val="Piedepgina"/>
    <w:uiPriority w:val="99"/>
    <w:rsid w:val="00DB0490"/>
    <w:rPr>
      <w:rFonts w:ascii="Verdana" w:eastAsia="Batang" w:hAnsi="Verdana" w:cs="Times New Roman"/>
      <w:sz w:val="24"/>
      <w:szCs w:val="24"/>
      <w:lang w:val="es-ES_tradnl"/>
    </w:rPr>
  </w:style>
  <w:style w:type="paragraph" w:styleId="Prrafodelista">
    <w:name w:val="List Paragraph"/>
    <w:basedOn w:val="Normal"/>
    <w:uiPriority w:val="34"/>
    <w:qFormat/>
    <w:rsid w:val="00DB04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65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217</Words>
  <Characters>1194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Tsaitami Ordonez</cp:lastModifiedBy>
  <cp:revision>5</cp:revision>
  <dcterms:created xsi:type="dcterms:W3CDTF">2016-10-04T16:57:00Z</dcterms:created>
  <dcterms:modified xsi:type="dcterms:W3CDTF">2021-02-19T16:02:00Z</dcterms:modified>
</cp:coreProperties>
</file>