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16" w:rsidRPr="00AD7D16" w:rsidRDefault="00AD7D16" w:rsidP="00AD7D16">
      <w:pPr>
        <w:jc w:val="center"/>
        <w:rPr>
          <w:rFonts w:ascii="Verdana" w:hAnsi="Verdana"/>
          <w:b/>
          <w:sz w:val="20"/>
          <w:szCs w:val="20"/>
          <w:u w:val="single"/>
        </w:rPr>
      </w:pPr>
      <w:r w:rsidRPr="00AD7D16">
        <w:rPr>
          <w:rFonts w:ascii="Verdana" w:hAnsi="Verdana"/>
          <w:b/>
          <w:sz w:val="20"/>
          <w:szCs w:val="20"/>
          <w:u w:val="single"/>
        </w:rPr>
        <w:t xml:space="preserve">Caso Escué Zapata </w:t>
      </w:r>
      <w:r w:rsidRPr="00AD7D16">
        <w:rPr>
          <w:rFonts w:ascii="Verdana" w:hAnsi="Verdana"/>
          <w:b/>
          <w:i/>
          <w:sz w:val="20"/>
          <w:szCs w:val="20"/>
          <w:u w:val="single"/>
        </w:rPr>
        <w:t>Vs</w:t>
      </w:r>
      <w:r w:rsidRPr="00AD7D16">
        <w:rPr>
          <w:rFonts w:ascii="Verdana" w:hAnsi="Verdana"/>
          <w:b/>
          <w:sz w:val="20"/>
          <w:szCs w:val="20"/>
          <w:u w:val="single"/>
        </w:rPr>
        <w:t>. Colombia: reparaciones declaradas cumplidas</w:t>
      </w:r>
    </w:p>
    <w:p w:rsidR="00AD7D16" w:rsidRPr="00AD7D16" w:rsidRDefault="00AD7D16" w:rsidP="00AD7D16">
      <w:pPr>
        <w:spacing w:before="120" w:after="120"/>
        <w:jc w:val="both"/>
        <w:rPr>
          <w:rFonts w:ascii="Verdana" w:hAnsi="Verdana"/>
          <w:sz w:val="20"/>
          <w:szCs w:val="20"/>
        </w:rPr>
      </w:pPr>
    </w:p>
    <w:p w:rsidR="00AD7D16" w:rsidRDefault="00AD7D16" w:rsidP="00AD7D16">
      <w:pPr>
        <w:pStyle w:val="ListParagraph"/>
        <w:numPr>
          <w:ilvl w:val="0"/>
          <w:numId w:val="1"/>
        </w:numPr>
        <w:spacing w:before="120" w:after="120"/>
        <w:ind w:left="360"/>
        <w:jc w:val="both"/>
        <w:rPr>
          <w:rFonts w:ascii="Verdana" w:hAnsi="Verdana"/>
          <w:sz w:val="20"/>
        </w:rPr>
      </w:pPr>
      <w:r w:rsidRPr="00AD7D16">
        <w:rPr>
          <w:rFonts w:ascii="Verdana" w:hAnsi="Verdana"/>
          <w:sz w:val="20"/>
        </w:rPr>
        <w:t>Realizar los pagos de las cantidades establecidas en la presente Sentencia por concepto de daños materiales, daños inmateriales y reintegro de costas y gastos dentro del plazo de un año, contado a partir de la notificación de la presente Sentencia, en los términos de los párrafos 189 a 194 de la misma.</w:t>
      </w:r>
    </w:p>
    <w:p w:rsidR="00AD7D16" w:rsidRPr="00AD7D16" w:rsidRDefault="00AD7D16" w:rsidP="00AD7D16">
      <w:pPr>
        <w:pStyle w:val="ListParagraph"/>
        <w:spacing w:before="120" w:after="120"/>
        <w:ind w:left="360" w:hanging="360"/>
        <w:jc w:val="both"/>
        <w:rPr>
          <w:rFonts w:ascii="Verdana" w:hAnsi="Verdana"/>
          <w:sz w:val="20"/>
        </w:rPr>
      </w:pPr>
    </w:p>
    <w:p w:rsidR="00AD7D16" w:rsidRPr="00AD7D16" w:rsidRDefault="00AD7D16" w:rsidP="00AD7D16">
      <w:pPr>
        <w:pStyle w:val="ListParagraph"/>
        <w:numPr>
          <w:ilvl w:val="0"/>
          <w:numId w:val="1"/>
        </w:numPr>
        <w:spacing w:before="120" w:after="120"/>
        <w:ind w:left="360"/>
        <w:jc w:val="both"/>
        <w:rPr>
          <w:rFonts w:ascii="Verdana" w:hAnsi="Verdana"/>
          <w:sz w:val="20"/>
          <w:szCs w:val="20"/>
        </w:rPr>
      </w:pPr>
      <w:r>
        <w:rPr>
          <w:rFonts w:ascii="Verdana" w:hAnsi="Verdana"/>
          <w:sz w:val="20"/>
          <w:szCs w:val="20"/>
        </w:rPr>
        <w:t>D</w:t>
      </w:r>
      <w:r w:rsidRPr="00AD7D16">
        <w:rPr>
          <w:rFonts w:ascii="Verdana" w:hAnsi="Verdana"/>
          <w:sz w:val="20"/>
        </w:rPr>
        <w:t xml:space="preserve">estinar la cantidad establecida en el párrafo 168 de esta Sentencia, en el plazo de un año contado a partir de la notificación de la misma, en un fondo que lleve el nombre de Germán Escué Zapata, para que la Comunidad de </w:t>
      </w:r>
      <w:proofErr w:type="spellStart"/>
      <w:r w:rsidRPr="00AD7D16">
        <w:rPr>
          <w:rFonts w:ascii="Verdana" w:hAnsi="Verdana"/>
          <w:sz w:val="20"/>
        </w:rPr>
        <w:t>Jambaló</w:t>
      </w:r>
      <w:proofErr w:type="spellEnd"/>
      <w:r w:rsidRPr="00AD7D16">
        <w:rPr>
          <w:rFonts w:ascii="Verdana" w:hAnsi="Verdana"/>
          <w:sz w:val="20"/>
        </w:rPr>
        <w:t xml:space="preserve"> lo invierta en obras o servicios de interés colectivo en su beneficio, en los términos del párrafo 168 de la misma.</w:t>
      </w:r>
    </w:p>
    <w:p w:rsidR="00AD7D16" w:rsidRPr="00AD7D16" w:rsidRDefault="00AD7D16" w:rsidP="00AD7D16">
      <w:pPr>
        <w:pStyle w:val="ListParagraph"/>
        <w:ind w:left="360" w:hanging="360"/>
        <w:rPr>
          <w:rFonts w:ascii="Verdana" w:hAnsi="Verdana"/>
          <w:sz w:val="20"/>
        </w:rPr>
      </w:pPr>
    </w:p>
    <w:p w:rsidR="00AD7D16" w:rsidRPr="00AD7D16" w:rsidRDefault="00AD7D16" w:rsidP="00AD7D16">
      <w:pPr>
        <w:pStyle w:val="ListParagraph"/>
        <w:numPr>
          <w:ilvl w:val="0"/>
          <w:numId w:val="1"/>
        </w:numPr>
        <w:spacing w:before="120" w:after="120"/>
        <w:ind w:left="360"/>
        <w:jc w:val="both"/>
        <w:rPr>
          <w:rFonts w:ascii="Verdana" w:hAnsi="Verdana"/>
          <w:sz w:val="20"/>
          <w:szCs w:val="20"/>
        </w:rPr>
      </w:pPr>
      <w:r w:rsidRPr="00AD7D16">
        <w:rPr>
          <w:rFonts w:ascii="Verdana" w:hAnsi="Verdana"/>
          <w:sz w:val="20"/>
        </w:rPr>
        <w:t>Otorgar a Myriam Zapata Escué, de la manera más pronta posible, una beca para realizar estudios universitarios, en los términos establecidos en e</w:t>
      </w:r>
      <w:r>
        <w:rPr>
          <w:rFonts w:ascii="Verdana" w:hAnsi="Verdana"/>
          <w:sz w:val="20"/>
        </w:rPr>
        <w:t xml:space="preserve">l párrafo 170 de esta Sentencia. </w:t>
      </w:r>
    </w:p>
    <w:p w:rsidR="00AD7D16" w:rsidRPr="00AD7D16" w:rsidRDefault="00AD7D16" w:rsidP="00AD7D16">
      <w:pPr>
        <w:pStyle w:val="ListParagraph"/>
        <w:ind w:left="360" w:hanging="360"/>
        <w:rPr>
          <w:rFonts w:ascii="Verdana" w:hAnsi="Verdana"/>
          <w:sz w:val="20"/>
        </w:rPr>
      </w:pPr>
    </w:p>
    <w:p w:rsidR="00AD7D16" w:rsidRPr="000F00F5" w:rsidRDefault="00AD7D16" w:rsidP="00AD7D16">
      <w:pPr>
        <w:pStyle w:val="ListParagraph"/>
        <w:numPr>
          <w:ilvl w:val="0"/>
          <w:numId w:val="1"/>
        </w:numPr>
        <w:spacing w:before="120" w:after="120"/>
        <w:ind w:left="360"/>
        <w:jc w:val="both"/>
        <w:rPr>
          <w:rFonts w:ascii="Verdana" w:hAnsi="Verdana"/>
          <w:sz w:val="20"/>
          <w:szCs w:val="20"/>
        </w:rPr>
      </w:pPr>
      <w:r>
        <w:rPr>
          <w:rFonts w:ascii="Verdana" w:hAnsi="Verdana"/>
          <w:sz w:val="20"/>
        </w:rPr>
        <w:t>R</w:t>
      </w:r>
      <w:r w:rsidRPr="00AD7D16">
        <w:rPr>
          <w:rFonts w:ascii="Verdana" w:hAnsi="Verdana"/>
          <w:sz w:val="20"/>
        </w:rPr>
        <w:t xml:space="preserve">ealizar las publicaciones </w:t>
      </w:r>
      <w:bookmarkStart w:id="0" w:name="_GoBack"/>
      <w:r w:rsidRPr="000F00F5">
        <w:rPr>
          <w:rFonts w:ascii="Verdana" w:hAnsi="Verdana"/>
          <w:sz w:val="20"/>
        </w:rPr>
        <w:t>señaladas en el párrafo 174 de esta Sentencia, en el plazo de seis meses contado a partir de la notificación de la misma.</w:t>
      </w:r>
    </w:p>
    <w:p w:rsidR="00AD7D16" w:rsidRPr="000F00F5" w:rsidRDefault="00AD7D16" w:rsidP="00AD7D16">
      <w:pPr>
        <w:pStyle w:val="ListParagraph"/>
        <w:ind w:left="360" w:hanging="360"/>
        <w:rPr>
          <w:rFonts w:ascii="Verdana" w:hAnsi="Verdana"/>
          <w:sz w:val="20"/>
        </w:rPr>
      </w:pPr>
    </w:p>
    <w:p w:rsidR="00AD7D16" w:rsidRPr="000F00F5" w:rsidRDefault="00AD7D16" w:rsidP="00AD7D16">
      <w:pPr>
        <w:pStyle w:val="ListParagraph"/>
        <w:numPr>
          <w:ilvl w:val="0"/>
          <w:numId w:val="1"/>
        </w:numPr>
        <w:spacing w:before="120" w:after="120"/>
        <w:ind w:left="360"/>
        <w:jc w:val="both"/>
        <w:rPr>
          <w:rFonts w:ascii="Verdana" w:hAnsi="Verdana"/>
          <w:sz w:val="20"/>
          <w:szCs w:val="20"/>
        </w:rPr>
      </w:pPr>
      <w:r w:rsidRPr="000F00F5">
        <w:rPr>
          <w:rFonts w:ascii="Verdana" w:hAnsi="Verdana"/>
          <w:sz w:val="20"/>
        </w:rPr>
        <w:t>Realizar un acto público de reconocimiento de su responsabilidad, dentro del plazo de un año contado a partir de la notificación de la presente Sentencia, en los términos del párrafo 177 de la misma.</w:t>
      </w:r>
    </w:p>
    <w:p w:rsidR="000F00F5" w:rsidRPr="000F00F5" w:rsidRDefault="000F00F5" w:rsidP="000F00F5">
      <w:pPr>
        <w:pStyle w:val="ListParagraph"/>
        <w:rPr>
          <w:rFonts w:ascii="Verdana" w:hAnsi="Verdana"/>
          <w:sz w:val="20"/>
          <w:szCs w:val="20"/>
        </w:rPr>
      </w:pPr>
    </w:p>
    <w:p w:rsidR="000F00F5" w:rsidRPr="000F00F5" w:rsidRDefault="000F00F5" w:rsidP="00AD7D16">
      <w:pPr>
        <w:pStyle w:val="ListParagraph"/>
        <w:numPr>
          <w:ilvl w:val="0"/>
          <w:numId w:val="1"/>
        </w:numPr>
        <w:spacing w:before="120" w:after="120"/>
        <w:ind w:left="360"/>
        <w:jc w:val="both"/>
        <w:rPr>
          <w:rFonts w:ascii="Verdana" w:hAnsi="Verdana"/>
          <w:sz w:val="20"/>
          <w:szCs w:val="20"/>
        </w:rPr>
      </w:pPr>
      <w:r w:rsidRPr="000F00F5">
        <w:rPr>
          <w:rFonts w:ascii="Verdana" w:hAnsi="Verdana"/>
          <w:sz w:val="20"/>
        </w:rPr>
        <w:t>El Estado debe conducir eficazmente los procesos penales que se encuentran en trámite y los que se llegaren a abrir para determinar las correspondientes responsabilidades por los hechos de este caso y aplicar las consecuencias que la ley prevea, en los términos del párrafo 166 de esta Sentencia.</w:t>
      </w:r>
    </w:p>
    <w:bookmarkEnd w:id="0"/>
    <w:p w:rsidR="006E7F48" w:rsidRPr="000F00F5" w:rsidRDefault="000F00F5"/>
    <w:sectPr w:rsidR="006E7F48" w:rsidRPr="000F00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4B" w:rsidRDefault="00695A4B" w:rsidP="00AD7D16">
      <w:r>
        <w:separator/>
      </w:r>
    </w:p>
  </w:endnote>
  <w:endnote w:type="continuationSeparator" w:id="0">
    <w:p w:rsidR="00695A4B" w:rsidRDefault="00695A4B" w:rsidP="00AD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A0" w:rsidRDefault="00270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16" w:rsidRPr="00AD7D16" w:rsidRDefault="00AD7D16" w:rsidP="00AD7D16">
    <w:pPr>
      <w:jc w:val="both"/>
      <w:rPr>
        <w:rFonts w:ascii="Verdana" w:hAnsi="Verdana"/>
        <w:bCs/>
        <w:sz w:val="16"/>
        <w:szCs w:val="16"/>
        <w:lang w:val="es-MX"/>
      </w:rPr>
    </w:pPr>
    <w:r w:rsidRPr="00AD7D16">
      <w:rPr>
        <w:rFonts w:ascii="Verdana" w:hAnsi="Verdana"/>
        <w:bCs/>
        <w:sz w:val="16"/>
        <w:szCs w:val="16"/>
        <w:lang w:val="es-MX"/>
      </w:rPr>
      <w:t xml:space="preserve">La presente sistematización de información fue </w:t>
    </w:r>
    <w:r w:rsidR="002707A0">
      <w:rPr>
        <w:rFonts w:ascii="Verdana" w:hAnsi="Verdana"/>
        <w:bCs/>
        <w:sz w:val="16"/>
        <w:szCs w:val="16"/>
        <w:lang w:val="es-MX"/>
      </w:rPr>
      <w:t>realizada</w:t>
    </w:r>
    <w:r w:rsidRPr="00AD7D16">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AD7D16" w:rsidRPr="005B4C84" w:rsidRDefault="00AD7D16" w:rsidP="00AD7D16">
    <w:pPr>
      <w:pStyle w:val="Footer"/>
      <w:rPr>
        <w:lang w:val="es-MX"/>
      </w:rPr>
    </w:pPr>
  </w:p>
  <w:p w:rsidR="00AD7D16" w:rsidRPr="00AD7D16" w:rsidRDefault="00AD7D16">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A0" w:rsidRDefault="00270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4B" w:rsidRDefault="00695A4B" w:rsidP="00AD7D16">
      <w:r>
        <w:separator/>
      </w:r>
    </w:p>
  </w:footnote>
  <w:footnote w:type="continuationSeparator" w:id="0">
    <w:p w:rsidR="00695A4B" w:rsidRDefault="00695A4B" w:rsidP="00AD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A0" w:rsidRDefault="002707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E068F2" w:rsidRDefault="00E068F2" w:rsidP="00E068F2">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0F00F5">
          <w:rPr>
            <w:rFonts w:ascii="Verdana" w:hAnsi="Verdana"/>
            <w:noProof/>
            <w:sz w:val="20"/>
            <w:szCs w:val="20"/>
          </w:rPr>
          <w:t>1</w:t>
        </w:r>
        <w:r>
          <w:rPr>
            <w:rFonts w:ascii="Verdana" w:hAnsi="Verdana"/>
            <w:noProof/>
            <w:sz w:val="20"/>
            <w:szCs w:val="20"/>
          </w:rPr>
          <w:fldChar w:fldCharType="end"/>
        </w:r>
      </w:p>
    </w:sdtContent>
  </w:sdt>
  <w:p w:rsidR="00E068F2" w:rsidRDefault="00E06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A0" w:rsidRDefault="002707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D2BA5"/>
    <w:multiLevelType w:val="hybridMultilevel"/>
    <w:tmpl w:val="14A8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16"/>
    <w:rsid w:val="000F00F5"/>
    <w:rsid w:val="002707A0"/>
    <w:rsid w:val="003A7E5E"/>
    <w:rsid w:val="00695A4B"/>
    <w:rsid w:val="009832C0"/>
    <w:rsid w:val="00AD7D16"/>
    <w:rsid w:val="00E0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16"/>
    <w:pPr>
      <w:spacing w:after="0" w:line="240" w:lineRule="auto"/>
    </w:pPr>
    <w:rPr>
      <w:rFonts w:ascii="Times" w:eastAsia="Times New Roman" w:hAnsi="Times" w:cs="Times"/>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D16"/>
    <w:pPr>
      <w:ind w:left="720"/>
      <w:contextualSpacing/>
    </w:pPr>
  </w:style>
  <w:style w:type="paragraph" w:styleId="Header">
    <w:name w:val="header"/>
    <w:basedOn w:val="Normal"/>
    <w:link w:val="HeaderChar"/>
    <w:uiPriority w:val="99"/>
    <w:unhideWhenUsed/>
    <w:rsid w:val="00AD7D16"/>
    <w:pPr>
      <w:tabs>
        <w:tab w:val="center" w:pos="4680"/>
        <w:tab w:val="right" w:pos="9360"/>
      </w:tabs>
    </w:pPr>
  </w:style>
  <w:style w:type="character" w:customStyle="1" w:styleId="HeaderChar">
    <w:name w:val="Header Char"/>
    <w:basedOn w:val="DefaultParagraphFont"/>
    <w:link w:val="Header"/>
    <w:uiPriority w:val="99"/>
    <w:rsid w:val="00AD7D16"/>
    <w:rPr>
      <w:rFonts w:ascii="Times" w:eastAsia="Times New Roman" w:hAnsi="Times" w:cs="Times"/>
      <w:sz w:val="24"/>
      <w:szCs w:val="24"/>
      <w:lang w:val="es-ES_tradnl"/>
    </w:rPr>
  </w:style>
  <w:style w:type="paragraph" w:styleId="Footer">
    <w:name w:val="footer"/>
    <w:basedOn w:val="Normal"/>
    <w:link w:val="FooterChar"/>
    <w:uiPriority w:val="99"/>
    <w:unhideWhenUsed/>
    <w:rsid w:val="00AD7D16"/>
    <w:pPr>
      <w:tabs>
        <w:tab w:val="center" w:pos="4680"/>
        <w:tab w:val="right" w:pos="9360"/>
      </w:tabs>
    </w:pPr>
  </w:style>
  <w:style w:type="character" w:customStyle="1" w:styleId="FooterChar">
    <w:name w:val="Footer Char"/>
    <w:basedOn w:val="DefaultParagraphFont"/>
    <w:link w:val="Footer"/>
    <w:uiPriority w:val="99"/>
    <w:rsid w:val="00AD7D16"/>
    <w:rPr>
      <w:rFonts w:ascii="Times" w:eastAsia="Times New Roman" w:hAnsi="Times" w:cs="Times"/>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16"/>
    <w:pPr>
      <w:spacing w:after="0" w:line="240" w:lineRule="auto"/>
    </w:pPr>
    <w:rPr>
      <w:rFonts w:ascii="Times" w:eastAsia="Times New Roman" w:hAnsi="Times" w:cs="Times"/>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D16"/>
    <w:pPr>
      <w:ind w:left="720"/>
      <w:contextualSpacing/>
    </w:pPr>
  </w:style>
  <w:style w:type="paragraph" w:styleId="Header">
    <w:name w:val="header"/>
    <w:basedOn w:val="Normal"/>
    <w:link w:val="HeaderChar"/>
    <w:uiPriority w:val="99"/>
    <w:unhideWhenUsed/>
    <w:rsid w:val="00AD7D16"/>
    <w:pPr>
      <w:tabs>
        <w:tab w:val="center" w:pos="4680"/>
        <w:tab w:val="right" w:pos="9360"/>
      </w:tabs>
    </w:pPr>
  </w:style>
  <w:style w:type="character" w:customStyle="1" w:styleId="HeaderChar">
    <w:name w:val="Header Char"/>
    <w:basedOn w:val="DefaultParagraphFont"/>
    <w:link w:val="Header"/>
    <w:uiPriority w:val="99"/>
    <w:rsid w:val="00AD7D16"/>
    <w:rPr>
      <w:rFonts w:ascii="Times" w:eastAsia="Times New Roman" w:hAnsi="Times" w:cs="Times"/>
      <w:sz w:val="24"/>
      <w:szCs w:val="24"/>
      <w:lang w:val="es-ES_tradnl"/>
    </w:rPr>
  </w:style>
  <w:style w:type="paragraph" w:styleId="Footer">
    <w:name w:val="footer"/>
    <w:basedOn w:val="Normal"/>
    <w:link w:val="FooterChar"/>
    <w:uiPriority w:val="99"/>
    <w:unhideWhenUsed/>
    <w:rsid w:val="00AD7D16"/>
    <w:pPr>
      <w:tabs>
        <w:tab w:val="center" w:pos="4680"/>
        <w:tab w:val="right" w:pos="9360"/>
      </w:tabs>
    </w:pPr>
  </w:style>
  <w:style w:type="character" w:customStyle="1" w:styleId="FooterChar">
    <w:name w:val="Footer Char"/>
    <w:basedOn w:val="DefaultParagraphFont"/>
    <w:link w:val="Footer"/>
    <w:uiPriority w:val="99"/>
    <w:rsid w:val="00AD7D16"/>
    <w:rPr>
      <w:rFonts w:ascii="Times" w:eastAsia="Times New Roman" w:hAnsi="Times" w:cs="Times"/>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3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Amelia Brenes</cp:lastModifiedBy>
  <cp:revision>5</cp:revision>
  <dcterms:created xsi:type="dcterms:W3CDTF">2016-09-29T23:26:00Z</dcterms:created>
  <dcterms:modified xsi:type="dcterms:W3CDTF">2017-01-23T23:50:00Z</dcterms:modified>
</cp:coreProperties>
</file>