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2FA7D" w14:textId="51F0C957" w:rsidR="00EB6AD5" w:rsidRPr="005A4DBF" w:rsidRDefault="00D745E9" w:rsidP="005A4DBF">
      <w:pPr>
        <w:jc w:val="center"/>
        <w:rPr>
          <w:rFonts w:ascii="Verdana" w:hAnsi="Verdana"/>
          <w:b/>
          <w:sz w:val="22"/>
          <w:szCs w:val="22"/>
          <w:u w:val="single"/>
        </w:rPr>
      </w:pPr>
      <w:r w:rsidRPr="00DC15CE">
        <w:rPr>
          <w:rFonts w:ascii="Verdana" w:hAnsi="Verdana"/>
          <w:b/>
          <w:sz w:val="22"/>
          <w:szCs w:val="22"/>
          <w:u w:val="single"/>
        </w:rPr>
        <w:t xml:space="preserve">Caso </w:t>
      </w:r>
      <w:r w:rsidRPr="00625EDB">
        <w:rPr>
          <w:rFonts w:ascii="Verdana" w:hAnsi="Verdana"/>
          <w:b/>
          <w:sz w:val="22"/>
          <w:szCs w:val="22"/>
          <w:u w:val="single"/>
        </w:rPr>
        <w:t>de las Comunidades Afrodescendientes desplazadas de la Cuenca del Rio</w:t>
      </w:r>
      <w:r>
        <w:rPr>
          <w:rFonts w:ascii="Verdana" w:hAnsi="Verdana"/>
          <w:b/>
          <w:sz w:val="22"/>
          <w:szCs w:val="22"/>
          <w:u w:val="single"/>
        </w:rPr>
        <w:t xml:space="preserve"> </w:t>
      </w:r>
      <w:r w:rsidRPr="00625EDB">
        <w:rPr>
          <w:rFonts w:ascii="Verdana" w:hAnsi="Verdana"/>
          <w:b/>
          <w:sz w:val="22"/>
          <w:szCs w:val="22"/>
          <w:u w:val="single"/>
        </w:rPr>
        <w:t xml:space="preserve">Cacarica (Operación Génesis) </w:t>
      </w:r>
      <w:r w:rsidRPr="00625EDB">
        <w:rPr>
          <w:rFonts w:ascii="Verdana" w:hAnsi="Verdana"/>
          <w:b/>
          <w:i/>
          <w:iCs/>
          <w:sz w:val="22"/>
          <w:szCs w:val="22"/>
          <w:u w:val="single"/>
        </w:rPr>
        <w:t>Vs</w:t>
      </w:r>
      <w:r w:rsidRPr="00625EDB">
        <w:rPr>
          <w:rFonts w:ascii="Verdana" w:hAnsi="Verdana"/>
          <w:b/>
          <w:sz w:val="22"/>
          <w:szCs w:val="22"/>
          <w:u w:val="single"/>
        </w:rPr>
        <w:t xml:space="preserve">. Colombia: </w:t>
      </w:r>
      <w:r w:rsidR="00EB6AD5" w:rsidRPr="00DC15CE">
        <w:rPr>
          <w:rFonts w:ascii="Verdana" w:hAnsi="Verdana"/>
          <w:b/>
          <w:sz w:val="22"/>
          <w:szCs w:val="22"/>
          <w:u w:val="single"/>
        </w:rPr>
        <w:t xml:space="preserve">reparaciones </w:t>
      </w:r>
      <w:r w:rsidR="009E2FE5">
        <w:rPr>
          <w:rFonts w:ascii="Verdana" w:hAnsi="Verdana"/>
          <w:b/>
          <w:sz w:val="22"/>
          <w:szCs w:val="22"/>
          <w:u w:val="single"/>
        </w:rPr>
        <w:t xml:space="preserve">pendientes de </w:t>
      </w:r>
      <w:r w:rsidR="00EB6AD5">
        <w:rPr>
          <w:rFonts w:ascii="Verdana" w:hAnsi="Verdana"/>
          <w:b/>
          <w:sz w:val="22"/>
          <w:szCs w:val="22"/>
          <w:u w:val="single"/>
        </w:rPr>
        <w:t>cumpli</w:t>
      </w:r>
      <w:r w:rsidR="009E2FE5">
        <w:rPr>
          <w:rFonts w:ascii="Verdana" w:hAnsi="Verdana"/>
          <w:b/>
          <w:sz w:val="22"/>
          <w:szCs w:val="22"/>
          <w:u w:val="single"/>
        </w:rPr>
        <w:t>miento</w:t>
      </w:r>
    </w:p>
    <w:p w14:paraId="7DA048C0" w14:textId="77777777" w:rsidR="00EB6AD5" w:rsidRPr="001B2C22" w:rsidRDefault="00EB6AD5" w:rsidP="00EB6AD5">
      <w:pPr>
        <w:pStyle w:val="Default"/>
        <w:jc w:val="both"/>
        <w:rPr>
          <w:sz w:val="20"/>
          <w:szCs w:val="20"/>
        </w:rPr>
      </w:pPr>
      <w:r w:rsidRPr="001B2C22">
        <w:rPr>
          <w:sz w:val="20"/>
          <w:szCs w:val="20"/>
        </w:rPr>
        <w:t xml:space="preserve"> </w:t>
      </w:r>
    </w:p>
    <w:p w14:paraId="72DA3941" w14:textId="675CE5C7" w:rsidR="00304F1D" w:rsidRPr="00304F1D" w:rsidRDefault="00EB6AD5" w:rsidP="00304F1D">
      <w:pPr>
        <w:pStyle w:val="Default"/>
        <w:numPr>
          <w:ilvl w:val="0"/>
          <w:numId w:val="2"/>
        </w:numPr>
        <w:jc w:val="both"/>
        <w:rPr>
          <w:sz w:val="20"/>
          <w:szCs w:val="20"/>
        </w:rPr>
      </w:pPr>
      <w:r>
        <w:rPr>
          <w:sz w:val="20"/>
          <w:szCs w:val="20"/>
        </w:rPr>
        <w:t>C</w:t>
      </w:r>
      <w:r w:rsidR="00304F1D" w:rsidRPr="00304F1D">
        <w:rPr>
          <w:sz w:val="20"/>
          <w:szCs w:val="20"/>
        </w:rPr>
        <w:t>ontinuar eficazmente y con la mayor diligencia las investigaciones abiertas, así</w:t>
      </w:r>
      <w:r w:rsidR="00304F1D">
        <w:rPr>
          <w:sz w:val="20"/>
          <w:szCs w:val="20"/>
        </w:rPr>
        <w:t xml:space="preserve"> </w:t>
      </w:r>
      <w:r w:rsidR="00304F1D" w:rsidRPr="00304F1D">
        <w:rPr>
          <w:sz w:val="20"/>
          <w:szCs w:val="20"/>
        </w:rPr>
        <w:t>como abrir las que sean necesarias, con el fin de individualizar, juzgar y</w:t>
      </w:r>
      <w:r w:rsidR="00304F1D">
        <w:rPr>
          <w:sz w:val="20"/>
          <w:szCs w:val="20"/>
        </w:rPr>
        <w:t xml:space="preserve"> </w:t>
      </w:r>
      <w:r w:rsidR="00304F1D" w:rsidRPr="00304F1D">
        <w:rPr>
          <w:sz w:val="20"/>
          <w:szCs w:val="20"/>
        </w:rPr>
        <w:t>eventualmente sancionar a todos los responsables de los hechos del presente</w:t>
      </w:r>
      <w:r w:rsidR="00304F1D">
        <w:rPr>
          <w:sz w:val="20"/>
          <w:szCs w:val="20"/>
        </w:rPr>
        <w:t xml:space="preserve"> </w:t>
      </w:r>
      <w:r w:rsidR="00304F1D" w:rsidRPr="00304F1D">
        <w:rPr>
          <w:sz w:val="20"/>
          <w:szCs w:val="20"/>
        </w:rPr>
        <w:t>caso y remover todos los obstáculos, de facto y de jure, que puedan mantener la</w:t>
      </w:r>
      <w:r w:rsidR="00304F1D">
        <w:rPr>
          <w:sz w:val="20"/>
          <w:szCs w:val="20"/>
        </w:rPr>
        <w:t xml:space="preserve"> </w:t>
      </w:r>
      <w:r w:rsidR="00304F1D" w:rsidRPr="00304F1D">
        <w:rPr>
          <w:sz w:val="20"/>
          <w:szCs w:val="20"/>
        </w:rPr>
        <w:t>impunidad</w:t>
      </w:r>
      <w:r w:rsidR="00304F1D">
        <w:rPr>
          <w:sz w:val="20"/>
          <w:szCs w:val="20"/>
        </w:rPr>
        <w:t>.</w:t>
      </w:r>
    </w:p>
    <w:p w14:paraId="0FFFC64E" w14:textId="021AAD75" w:rsidR="00304F1D" w:rsidRPr="00304F1D" w:rsidRDefault="00304F1D" w:rsidP="00304F1D">
      <w:pPr>
        <w:pStyle w:val="Default"/>
        <w:numPr>
          <w:ilvl w:val="0"/>
          <w:numId w:val="2"/>
        </w:numPr>
        <w:jc w:val="both"/>
        <w:rPr>
          <w:sz w:val="20"/>
          <w:szCs w:val="20"/>
        </w:rPr>
      </w:pPr>
      <w:r>
        <w:rPr>
          <w:sz w:val="20"/>
          <w:szCs w:val="20"/>
        </w:rPr>
        <w:t>B</w:t>
      </w:r>
      <w:r w:rsidRPr="00304F1D">
        <w:rPr>
          <w:sz w:val="20"/>
          <w:szCs w:val="20"/>
        </w:rPr>
        <w:t>rindar el tratamiento médico adecuado y prioritario que requieran las víctimas</w:t>
      </w:r>
      <w:r>
        <w:rPr>
          <w:sz w:val="20"/>
          <w:szCs w:val="20"/>
        </w:rPr>
        <w:t xml:space="preserve"> </w:t>
      </w:r>
      <w:r w:rsidRPr="00304F1D">
        <w:rPr>
          <w:sz w:val="20"/>
          <w:szCs w:val="20"/>
        </w:rPr>
        <w:t>del presente caso, en el marco de los programas de reparaciones previstos en la</w:t>
      </w:r>
      <w:r>
        <w:rPr>
          <w:sz w:val="20"/>
          <w:szCs w:val="20"/>
        </w:rPr>
        <w:t xml:space="preserve"> </w:t>
      </w:r>
      <w:r w:rsidRPr="00304F1D">
        <w:rPr>
          <w:sz w:val="20"/>
          <w:szCs w:val="20"/>
        </w:rPr>
        <w:t>normatividad interna</w:t>
      </w:r>
      <w:r>
        <w:rPr>
          <w:sz w:val="20"/>
          <w:szCs w:val="20"/>
        </w:rPr>
        <w:t>.</w:t>
      </w:r>
    </w:p>
    <w:p w14:paraId="414755DF" w14:textId="0B33E552" w:rsidR="00EB6AD5" w:rsidRDefault="00304F1D" w:rsidP="00304F1D">
      <w:pPr>
        <w:pStyle w:val="Default"/>
        <w:numPr>
          <w:ilvl w:val="0"/>
          <w:numId w:val="2"/>
        </w:numPr>
        <w:jc w:val="both"/>
        <w:rPr>
          <w:sz w:val="20"/>
          <w:szCs w:val="20"/>
        </w:rPr>
      </w:pPr>
      <w:r>
        <w:rPr>
          <w:sz w:val="20"/>
          <w:szCs w:val="20"/>
        </w:rPr>
        <w:t>R</w:t>
      </w:r>
      <w:r w:rsidRPr="00304F1D">
        <w:rPr>
          <w:sz w:val="20"/>
          <w:szCs w:val="20"/>
        </w:rPr>
        <w:t>estituir el efectivo uso, goce y posesión de los territorios reconocidos en la</w:t>
      </w:r>
      <w:r>
        <w:rPr>
          <w:sz w:val="20"/>
          <w:szCs w:val="20"/>
        </w:rPr>
        <w:t xml:space="preserve"> </w:t>
      </w:r>
      <w:r w:rsidRPr="00304F1D">
        <w:rPr>
          <w:sz w:val="20"/>
          <w:szCs w:val="20"/>
        </w:rPr>
        <w:t>normativa interna a las comunidades afrodescendientes agrupadas en el Consejo</w:t>
      </w:r>
      <w:r>
        <w:rPr>
          <w:sz w:val="20"/>
          <w:szCs w:val="20"/>
        </w:rPr>
        <w:t xml:space="preserve"> </w:t>
      </w:r>
      <w:r w:rsidRPr="00304F1D">
        <w:rPr>
          <w:sz w:val="20"/>
          <w:szCs w:val="20"/>
        </w:rPr>
        <w:t>Comunitario de las Comunidades de la Cuenca del río Cacarica</w:t>
      </w:r>
      <w:r>
        <w:rPr>
          <w:sz w:val="20"/>
          <w:szCs w:val="20"/>
        </w:rPr>
        <w:t>.</w:t>
      </w:r>
    </w:p>
    <w:p w14:paraId="12E77B15" w14:textId="58CB9FB4" w:rsidR="00FD3298" w:rsidRDefault="005A4DBF" w:rsidP="005A4DBF">
      <w:pPr>
        <w:pStyle w:val="Default"/>
        <w:numPr>
          <w:ilvl w:val="0"/>
          <w:numId w:val="2"/>
        </w:numPr>
        <w:jc w:val="both"/>
        <w:rPr>
          <w:sz w:val="20"/>
          <w:szCs w:val="20"/>
        </w:rPr>
      </w:pPr>
      <w:r>
        <w:rPr>
          <w:sz w:val="20"/>
          <w:szCs w:val="20"/>
        </w:rPr>
        <w:t>G</w:t>
      </w:r>
      <w:r w:rsidRPr="005A4DBF">
        <w:rPr>
          <w:sz w:val="20"/>
          <w:szCs w:val="20"/>
        </w:rPr>
        <w:t>arantizar que las condiciones de los territorios que se restituyan a las víctimas</w:t>
      </w:r>
      <w:r>
        <w:rPr>
          <w:sz w:val="20"/>
          <w:szCs w:val="20"/>
        </w:rPr>
        <w:t xml:space="preserve"> </w:t>
      </w:r>
      <w:r w:rsidRPr="005A4DBF">
        <w:rPr>
          <w:sz w:val="20"/>
          <w:szCs w:val="20"/>
        </w:rPr>
        <w:t>del presente caso, así como del lugar donde habitan actualmente, sean</w:t>
      </w:r>
      <w:r>
        <w:rPr>
          <w:sz w:val="20"/>
          <w:szCs w:val="20"/>
        </w:rPr>
        <w:t xml:space="preserve"> </w:t>
      </w:r>
      <w:r w:rsidRPr="005A4DBF">
        <w:rPr>
          <w:sz w:val="20"/>
          <w:szCs w:val="20"/>
        </w:rPr>
        <w:t>adecuadas para la seguridad y vida digna tanto de quienes ya han regresado</w:t>
      </w:r>
      <w:r>
        <w:rPr>
          <w:sz w:val="20"/>
          <w:szCs w:val="20"/>
        </w:rPr>
        <w:t xml:space="preserve"> </w:t>
      </w:r>
      <w:r w:rsidRPr="005A4DBF">
        <w:rPr>
          <w:sz w:val="20"/>
          <w:szCs w:val="20"/>
        </w:rPr>
        <w:t>como de quienes aún no lo han hecho</w:t>
      </w:r>
      <w:r>
        <w:rPr>
          <w:sz w:val="20"/>
          <w:szCs w:val="20"/>
        </w:rPr>
        <w:t>.</w:t>
      </w:r>
    </w:p>
    <w:p w14:paraId="04B130E9" w14:textId="77777777" w:rsidR="00304F1D" w:rsidRPr="00304F1D" w:rsidRDefault="00304F1D" w:rsidP="00304F1D">
      <w:pPr>
        <w:pStyle w:val="Default"/>
        <w:ind w:left="363"/>
        <w:jc w:val="both"/>
        <w:rPr>
          <w:sz w:val="20"/>
          <w:szCs w:val="20"/>
        </w:rPr>
      </w:pPr>
    </w:p>
    <w:p w14:paraId="614ACA81" w14:textId="77777777" w:rsidR="00520AC2" w:rsidRDefault="00520AC2" w:rsidP="00520AC2">
      <w:pPr>
        <w:pStyle w:val="Default"/>
        <w:jc w:val="both"/>
        <w:rPr>
          <w:b/>
          <w:sz w:val="20"/>
          <w:szCs w:val="20"/>
          <w:u w:val="single"/>
        </w:rPr>
      </w:pPr>
      <w:r>
        <w:rPr>
          <w:b/>
          <w:sz w:val="20"/>
          <w:szCs w:val="20"/>
          <w:u w:val="single"/>
        </w:rPr>
        <w:t>Cumplimiento parcial</w:t>
      </w:r>
    </w:p>
    <w:p w14:paraId="0D47B379" w14:textId="77777777" w:rsidR="00520AC2" w:rsidRDefault="00520AC2" w:rsidP="00520AC2">
      <w:pPr>
        <w:pStyle w:val="Default"/>
        <w:jc w:val="both"/>
        <w:rPr>
          <w:b/>
          <w:sz w:val="20"/>
          <w:szCs w:val="20"/>
          <w:u w:val="single"/>
        </w:rPr>
      </w:pPr>
    </w:p>
    <w:p w14:paraId="12BCDF0F" w14:textId="77777777" w:rsidR="00520AC2" w:rsidRPr="002A450F" w:rsidRDefault="00520AC2" w:rsidP="00520AC2">
      <w:pPr>
        <w:pStyle w:val="Default"/>
        <w:numPr>
          <w:ilvl w:val="0"/>
          <w:numId w:val="4"/>
        </w:numPr>
        <w:ind w:left="426"/>
        <w:jc w:val="both"/>
        <w:rPr>
          <w:sz w:val="20"/>
          <w:szCs w:val="20"/>
        </w:rPr>
      </w:pPr>
      <w:r>
        <w:rPr>
          <w:sz w:val="20"/>
          <w:szCs w:val="20"/>
        </w:rPr>
        <w:t>P</w:t>
      </w:r>
      <w:r w:rsidRPr="002A450F">
        <w:rPr>
          <w:sz w:val="20"/>
          <w:szCs w:val="20"/>
        </w:rPr>
        <w:t>agar las indemnizaciones por concepto de daños materiales e inmateriales a las víctimas</w:t>
      </w:r>
      <w:r>
        <w:rPr>
          <w:sz w:val="20"/>
          <w:szCs w:val="20"/>
        </w:rPr>
        <w:t xml:space="preserve"> </w:t>
      </w:r>
      <w:r w:rsidRPr="002A450F">
        <w:rPr>
          <w:sz w:val="20"/>
          <w:szCs w:val="20"/>
        </w:rPr>
        <w:t>de desplazamiento forzado</w:t>
      </w:r>
      <w:r>
        <w:rPr>
          <w:sz w:val="20"/>
          <w:szCs w:val="20"/>
        </w:rPr>
        <w:t>.</w:t>
      </w:r>
    </w:p>
    <w:p w14:paraId="72C5FB78" w14:textId="77777777" w:rsidR="00520AC2" w:rsidRDefault="00520AC2" w:rsidP="00520AC2">
      <w:pPr>
        <w:pStyle w:val="Default"/>
        <w:ind w:left="363"/>
        <w:jc w:val="both"/>
        <w:rPr>
          <w:sz w:val="20"/>
          <w:szCs w:val="20"/>
        </w:rPr>
      </w:pPr>
    </w:p>
    <w:p w14:paraId="304D0D33" w14:textId="77777777" w:rsidR="00520AC2" w:rsidRDefault="00520AC2" w:rsidP="00520AC2">
      <w:pPr>
        <w:pStyle w:val="Default"/>
        <w:ind w:left="363"/>
        <w:jc w:val="both"/>
        <w:rPr>
          <w:sz w:val="20"/>
          <w:szCs w:val="20"/>
        </w:rPr>
      </w:pPr>
      <w:r w:rsidRPr="00370A4C">
        <w:rPr>
          <w:sz w:val="20"/>
          <w:szCs w:val="20"/>
        </w:rPr>
        <w:t xml:space="preserve">En </w:t>
      </w:r>
      <w:r>
        <w:rPr>
          <w:sz w:val="20"/>
          <w:szCs w:val="20"/>
        </w:rPr>
        <w:t>e</w:t>
      </w:r>
      <w:r w:rsidRPr="00370A4C">
        <w:rPr>
          <w:sz w:val="20"/>
          <w:szCs w:val="20"/>
        </w:rPr>
        <w:t>l Considerando</w:t>
      </w:r>
      <w:r>
        <w:rPr>
          <w:sz w:val="20"/>
          <w:szCs w:val="20"/>
        </w:rPr>
        <w:t xml:space="preserve"> 81 </w:t>
      </w:r>
      <w:r w:rsidRPr="00370A4C">
        <w:rPr>
          <w:sz w:val="20"/>
          <w:szCs w:val="20"/>
        </w:rPr>
        <w:t xml:space="preserve">de la resolución de la Corte de </w:t>
      </w:r>
      <w:r>
        <w:rPr>
          <w:sz w:val="20"/>
          <w:szCs w:val="20"/>
        </w:rPr>
        <w:t>21 de marzo de 2023</w:t>
      </w:r>
      <w:r w:rsidRPr="00370A4C">
        <w:rPr>
          <w:sz w:val="20"/>
          <w:szCs w:val="20"/>
        </w:rPr>
        <w:t xml:space="preserve"> se explica lo que continúa pendiente de cumplimiento respecto a la presente medida de reparación:</w:t>
      </w:r>
    </w:p>
    <w:p w14:paraId="170038DE" w14:textId="77777777" w:rsidR="00520AC2" w:rsidRDefault="00520AC2" w:rsidP="00520AC2">
      <w:pPr>
        <w:pStyle w:val="Default"/>
        <w:ind w:left="363"/>
        <w:jc w:val="both"/>
        <w:rPr>
          <w:sz w:val="20"/>
          <w:szCs w:val="20"/>
        </w:rPr>
      </w:pPr>
    </w:p>
    <w:p w14:paraId="7E92603B" w14:textId="77777777" w:rsidR="00520AC2" w:rsidRPr="00437359" w:rsidRDefault="00520AC2" w:rsidP="00520AC2">
      <w:pPr>
        <w:pStyle w:val="Prrafodelista"/>
        <w:ind w:left="1134"/>
        <w:jc w:val="both"/>
        <w:rPr>
          <w:rFonts w:ascii="Verdana" w:hAnsi="Verdana"/>
          <w:sz w:val="16"/>
          <w:szCs w:val="16"/>
        </w:rPr>
      </w:pPr>
      <w:r w:rsidRPr="00437359">
        <w:rPr>
          <w:rFonts w:ascii="Verdana" w:hAnsi="Verdana"/>
          <w:sz w:val="16"/>
          <w:szCs w:val="16"/>
        </w:rPr>
        <w:t>81. En virtud de las anteriores consideraciones, la Corte valora positivamente los</w:t>
      </w:r>
      <w:r>
        <w:rPr>
          <w:rFonts w:ascii="Verdana" w:hAnsi="Verdana"/>
          <w:sz w:val="16"/>
          <w:szCs w:val="16"/>
        </w:rPr>
        <w:t xml:space="preserve"> </w:t>
      </w:r>
      <w:r w:rsidRPr="00437359">
        <w:rPr>
          <w:rFonts w:ascii="Verdana" w:hAnsi="Verdana"/>
          <w:sz w:val="16"/>
          <w:szCs w:val="16"/>
        </w:rPr>
        <w:t>esfuerzos que ha realizado Colombia orientados a dar cumplimiento al pago de las</w:t>
      </w:r>
      <w:r>
        <w:rPr>
          <w:rFonts w:ascii="Verdana" w:hAnsi="Verdana"/>
          <w:sz w:val="16"/>
          <w:szCs w:val="16"/>
        </w:rPr>
        <w:t xml:space="preserve"> </w:t>
      </w:r>
      <w:r w:rsidRPr="00437359">
        <w:rPr>
          <w:rFonts w:ascii="Verdana" w:hAnsi="Verdana"/>
          <w:sz w:val="16"/>
          <w:szCs w:val="16"/>
        </w:rPr>
        <w:t>indemnizaciones a las víctimas del presente caso. Tomando en cuenta que el Estado ha</w:t>
      </w:r>
      <w:r>
        <w:rPr>
          <w:rFonts w:ascii="Verdana" w:hAnsi="Verdana"/>
          <w:sz w:val="16"/>
          <w:szCs w:val="16"/>
        </w:rPr>
        <w:t xml:space="preserve"> </w:t>
      </w:r>
      <w:r w:rsidRPr="00437359">
        <w:rPr>
          <w:rFonts w:ascii="Verdana" w:hAnsi="Verdana"/>
          <w:sz w:val="16"/>
          <w:szCs w:val="16"/>
        </w:rPr>
        <w:t>comprobado haber realizado pagos a más de la mitad de las víctimas (192 de las 362</w:t>
      </w:r>
      <w:r>
        <w:rPr>
          <w:rFonts w:ascii="Verdana" w:hAnsi="Verdana"/>
          <w:sz w:val="16"/>
          <w:szCs w:val="16"/>
        </w:rPr>
        <w:t xml:space="preserve"> </w:t>
      </w:r>
      <w:r w:rsidRPr="00437359">
        <w:rPr>
          <w:rFonts w:ascii="Verdana" w:hAnsi="Verdana"/>
          <w:sz w:val="16"/>
          <w:szCs w:val="16"/>
        </w:rPr>
        <w:t>víctimas), este Tribunal considera que el Estado ha dado cumplimiento parcial al punto</w:t>
      </w:r>
      <w:r>
        <w:rPr>
          <w:rFonts w:ascii="Verdana" w:hAnsi="Verdana"/>
          <w:sz w:val="16"/>
          <w:szCs w:val="16"/>
        </w:rPr>
        <w:t xml:space="preserve"> </w:t>
      </w:r>
      <w:r w:rsidRPr="00437359">
        <w:rPr>
          <w:rFonts w:ascii="Verdana" w:hAnsi="Verdana"/>
          <w:sz w:val="16"/>
          <w:szCs w:val="16"/>
        </w:rPr>
        <w:t>dispositivo décimo octavo de la Sentencia. La Corte mantendrá abierto el procedimiento</w:t>
      </w:r>
      <w:r>
        <w:rPr>
          <w:rFonts w:ascii="Verdana" w:hAnsi="Verdana"/>
          <w:sz w:val="16"/>
          <w:szCs w:val="16"/>
        </w:rPr>
        <w:t xml:space="preserve"> </w:t>
      </w:r>
      <w:r w:rsidRPr="00437359">
        <w:rPr>
          <w:rFonts w:ascii="Verdana" w:hAnsi="Verdana"/>
          <w:sz w:val="16"/>
          <w:szCs w:val="16"/>
        </w:rPr>
        <w:t>de supervisión a efecto de que el Estado: (i) remita los comprobantes de los pagos</w:t>
      </w:r>
      <w:r>
        <w:rPr>
          <w:rFonts w:ascii="Verdana" w:hAnsi="Verdana"/>
          <w:sz w:val="16"/>
          <w:szCs w:val="16"/>
        </w:rPr>
        <w:t xml:space="preserve"> </w:t>
      </w:r>
      <w:r w:rsidRPr="00437359">
        <w:rPr>
          <w:rFonts w:ascii="Verdana" w:hAnsi="Verdana"/>
          <w:sz w:val="16"/>
          <w:szCs w:val="16"/>
        </w:rPr>
        <w:t>realizados a 11 víctimas que fueron aportados a este Tribunal de manera ilegible (</w:t>
      </w:r>
      <w:r w:rsidRPr="00437359">
        <w:rPr>
          <w:rFonts w:ascii="Verdana" w:hAnsi="Verdana"/>
          <w:i/>
          <w:iCs/>
          <w:sz w:val="16"/>
          <w:szCs w:val="16"/>
        </w:rPr>
        <w:t>supra</w:t>
      </w:r>
      <w:r>
        <w:rPr>
          <w:rFonts w:ascii="Verdana" w:hAnsi="Verdana"/>
          <w:sz w:val="16"/>
          <w:szCs w:val="16"/>
        </w:rPr>
        <w:t xml:space="preserve"> </w:t>
      </w:r>
      <w:r w:rsidRPr="00437359">
        <w:rPr>
          <w:rFonts w:ascii="Verdana" w:hAnsi="Verdana"/>
          <w:sz w:val="16"/>
          <w:szCs w:val="16"/>
        </w:rPr>
        <w:t>Considerando 77); (ii) remita los comprobantes de los pagos que afirma haber realizado</w:t>
      </w:r>
      <w:r>
        <w:rPr>
          <w:rFonts w:ascii="Verdana" w:hAnsi="Verdana"/>
          <w:sz w:val="16"/>
          <w:szCs w:val="16"/>
        </w:rPr>
        <w:t xml:space="preserve"> </w:t>
      </w:r>
      <w:r w:rsidRPr="00437359">
        <w:rPr>
          <w:rFonts w:ascii="Verdana" w:hAnsi="Verdana"/>
          <w:sz w:val="16"/>
          <w:szCs w:val="16"/>
        </w:rPr>
        <w:t>a 150 víctimas (</w:t>
      </w:r>
      <w:r w:rsidRPr="00437359">
        <w:rPr>
          <w:rFonts w:ascii="Verdana" w:hAnsi="Verdana"/>
          <w:i/>
          <w:iCs/>
          <w:sz w:val="16"/>
          <w:szCs w:val="16"/>
        </w:rPr>
        <w:t>supra</w:t>
      </w:r>
      <w:r w:rsidRPr="00437359">
        <w:rPr>
          <w:rFonts w:ascii="Verdana" w:hAnsi="Verdana"/>
          <w:sz w:val="16"/>
          <w:szCs w:val="16"/>
        </w:rPr>
        <w:t xml:space="preserve"> Considerando 78); (iii) aclare la situación del pago a la víctima</w:t>
      </w:r>
      <w:r>
        <w:rPr>
          <w:rFonts w:ascii="Verdana" w:hAnsi="Verdana"/>
          <w:sz w:val="16"/>
          <w:szCs w:val="16"/>
        </w:rPr>
        <w:t xml:space="preserve"> </w:t>
      </w:r>
      <w:r w:rsidRPr="00437359">
        <w:rPr>
          <w:rFonts w:ascii="Verdana" w:hAnsi="Verdana"/>
          <w:sz w:val="16"/>
          <w:szCs w:val="16"/>
        </w:rPr>
        <w:t>Pedro Torres Hernández (</w:t>
      </w:r>
      <w:r w:rsidRPr="00437359">
        <w:rPr>
          <w:rFonts w:ascii="Verdana" w:hAnsi="Verdana"/>
          <w:i/>
          <w:iCs/>
          <w:sz w:val="16"/>
          <w:szCs w:val="16"/>
        </w:rPr>
        <w:t>supra</w:t>
      </w:r>
      <w:r w:rsidRPr="00437359">
        <w:rPr>
          <w:rFonts w:ascii="Verdana" w:hAnsi="Verdana"/>
          <w:sz w:val="16"/>
          <w:szCs w:val="16"/>
        </w:rPr>
        <w:t xml:space="preserve"> Considerando 79); (iv) efectué los pagos que reconoce</w:t>
      </w:r>
      <w:r>
        <w:rPr>
          <w:rFonts w:ascii="Verdana" w:hAnsi="Verdana"/>
          <w:sz w:val="16"/>
          <w:szCs w:val="16"/>
        </w:rPr>
        <w:t xml:space="preserve"> </w:t>
      </w:r>
      <w:r w:rsidRPr="00437359">
        <w:rPr>
          <w:rFonts w:ascii="Verdana" w:hAnsi="Verdana"/>
          <w:sz w:val="16"/>
          <w:szCs w:val="16"/>
        </w:rPr>
        <w:t>tener pendientes respecto de 7 víctimas e informe al respecto (</w:t>
      </w:r>
      <w:r w:rsidRPr="00437359">
        <w:rPr>
          <w:rFonts w:ascii="Verdana" w:hAnsi="Verdana"/>
          <w:i/>
          <w:iCs/>
          <w:sz w:val="16"/>
          <w:szCs w:val="16"/>
        </w:rPr>
        <w:t>supra</w:t>
      </w:r>
      <w:r w:rsidRPr="00437359">
        <w:rPr>
          <w:rFonts w:ascii="Verdana" w:hAnsi="Verdana"/>
          <w:sz w:val="16"/>
          <w:szCs w:val="16"/>
        </w:rPr>
        <w:t xml:space="preserve"> Considerando 80),</w:t>
      </w:r>
      <w:r>
        <w:rPr>
          <w:rFonts w:ascii="Verdana" w:hAnsi="Verdana"/>
          <w:sz w:val="16"/>
          <w:szCs w:val="16"/>
        </w:rPr>
        <w:t xml:space="preserve"> </w:t>
      </w:r>
      <w:r w:rsidRPr="00437359">
        <w:rPr>
          <w:rFonts w:ascii="Verdana" w:hAnsi="Verdana"/>
          <w:sz w:val="16"/>
          <w:szCs w:val="16"/>
        </w:rPr>
        <w:t>y (v) remita la información actualizada y clara que ha sido requerida en el Considerando</w:t>
      </w:r>
      <w:r>
        <w:rPr>
          <w:rFonts w:ascii="Verdana" w:hAnsi="Verdana"/>
          <w:sz w:val="16"/>
          <w:szCs w:val="16"/>
        </w:rPr>
        <w:t xml:space="preserve"> </w:t>
      </w:r>
      <w:r w:rsidRPr="00437359">
        <w:rPr>
          <w:rFonts w:ascii="Verdana" w:hAnsi="Verdana"/>
          <w:sz w:val="16"/>
          <w:szCs w:val="16"/>
        </w:rPr>
        <w:t>68 respecto a la ejecución de la Sentencia Penal del Tribunal Superior de Bogotá de 14</w:t>
      </w:r>
      <w:r>
        <w:rPr>
          <w:rFonts w:ascii="Verdana" w:hAnsi="Verdana"/>
          <w:sz w:val="16"/>
          <w:szCs w:val="16"/>
        </w:rPr>
        <w:t xml:space="preserve"> </w:t>
      </w:r>
      <w:r w:rsidRPr="00437359">
        <w:rPr>
          <w:rFonts w:ascii="Verdana" w:hAnsi="Verdana"/>
          <w:sz w:val="16"/>
          <w:szCs w:val="16"/>
        </w:rPr>
        <w:t>de diciembre de 2018 y a si existen acciones para la reglamentación dispuesta en el</w:t>
      </w:r>
    </w:p>
    <w:p w14:paraId="5082B17E" w14:textId="77777777" w:rsidR="00520AC2" w:rsidRPr="00437359" w:rsidRDefault="00520AC2" w:rsidP="00520AC2">
      <w:pPr>
        <w:pStyle w:val="Prrafodelista"/>
        <w:ind w:left="1134"/>
        <w:jc w:val="both"/>
        <w:rPr>
          <w:rFonts w:ascii="Verdana" w:hAnsi="Verdana"/>
          <w:sz w:val="16"/>
          <w:szCs w:val="16"/>
        </w:rPr>
      </w:pPr>
      <w:r w:rsidRPr="00437359">
        <w:rPr>
          <w:rFonts w:ascii="Verdana" w:hAnsi="Verdana"/>
          <w:sz w:val="16"/>
          <w:szCs w:val="16"/>
        </w:rPr>
        <w:t>artículo 80 del Decreto 4635, lo cual, eventualmente, podría conllevar al pago de montos</w:t>
      </w:r>
      <w:r>
        <w:rPr>
          <w:rFonts w:ascii="Verdana" w:hAnsi="Verdana"/>
          <w:sz w:val="16"/>
          <w:szCs w:val="16"/>
        </w:rPr>
        <w:t xml:space="preserve"> </w:t>
      </w:r>
      <w:r w:rsidRPr="00437359">
        <w:rPr>
          <w:rFonts w:ascii="Verdana" w:hAnsi="Verdana"/>
          <w:sz w:val="16"/>
          <w:szCs w:val="16"/>
        </w:rPr>
        <w:t>adicionales a los ya realizados por el Estado en aplicación de la Ley 1448 y su reglamento</w:t>
      </w:r>
      <w:r>
        <w:rPr>
          <w:rFonts w:ascii="Verdana" w:hAnsi="Verdana"/>
          <w:sz w:val="16"/>
          <w:szCs w:val="16"/>
        </w:rPr>
        <w:t xml:space="preserve"> </w:t>
      </w:r>
      <w:r w:rsidRPr="00437359">
        <w:rPr>
          <w:rFonts w:ascii="Verdana" w:hAnsi="Verdana"/>
          <w:sz w:val="16"/>
          <w:szCs w:val="16"/>
        </w:rPr>
        <w:t>en el Decreto 4800, de conformidad con lo señalado en el Considerando 69. Esta</w:t>
      </w:r>
      <w:r>
        <w:rPr>
          <w:rFonts w:ascii="Verdana" w:hAnsi="Verdana"/>
          <w:sz w:val="16"/>
          <w:szCs w:val="16"/>
        </w:rPr>
        <w:t xml:space="preserve"> </w:t>
      </w:r>
      <w:r w:rsidRPr="00437359">
        <w:rPr>
          <w:rFonts w:ascii="Verdana" w:hAnsi="Verdana"/>
          <w:sz w:val="16"/>
          <w:szCs w:val="16"/>
        </w:rPr>
        <w:t>información deberá ser remitida en el plazo otorgado en el punto resolutivo sexto de</w:t>
      </w:r>
      <w:r>
        <w:rPr>
          <w:rFonts w:ascii="Verdana" w:hAnsi="Verdana"/>
          <w:sz w:val="16"/>
          <w:szCs w:val="16"/>
        </w:rPr>
        <w:t xml:space="preserve"> </w:t>
      </w:r>
      <w:r w:rsidRPr="00437359">
        <w:rPr>
          <w:rFonts w:ascii="Verdana" w:hAnsi="Verdana"/>
          <w:sz w:val="16"/>
          <w:szCs w:val="16"/>
        </w:rPr>
        <w:t>esta Resolución.</w:t>
      </w:r>
      <w:r w:rsidRPr="00437359">
        <w:rPr>
          <w:rFonts w:ascii="Verdana" w:hAnsi="Verdana"/>
          <w:sz w:val="16"/>
          <w:szCs w:val="16"/>
        </w:rPr>
        <w:cr/>
      </w:r>
    </w:p>
    <w:p w14:paraId="40E00491" w14:textId="77777777" w:rsidR="00520AC2" w:rsidRDefault="00520AC2" w:rsidP="00520AC2">
      <w:pPr>
        <w:pStyle w:val="Default"/>
        <w:numPr>
          <w:ilvl w:val="0"/>
          <w:numId w:val="4"/>
        </w:numPr>
        <w:ind w:left="426"/>
        <w:jc w:val="both"/>
        <w:rPr>
          <w:sz w:val="20"/>
          <w:szCs w:val="20"/>
        </w:rPr>
      </w:pPr>
      <w:r>
        <w:rPr>
          <w:sz w:val="20"/>
          <w:szCs w:val="20"/>
        </w:rPr>
        <w:t>P</w:t>
      </w:r>
      <w:r w:rsidRPr="006B0738">
        <w:rPr>
          <w:sz w:val="20"/>
          <w:szCs w:val="20"/>
        </w:rPr>
        <w:t>agar las cantidades fijadas en la Sentencia por concepto de daños materiales e</w:t>
      </w:r>
      <w:r>
        <w:rPr>
          <w:sz w:val="20"/>
          <w:szCs w:val="20"/>
        </w:rPr>
        <w:t xml:space="preserve"> i</w:t>
      </w:r>
      <w:r w:rsidRPr="006B0738">
        <w:rPr>
          <w:sz w:val="20"/>
          <w:szCs w:val="20"/>
        </w:rPr>
        <w:t>nmateriales ocasionados al señor Marino López Mena y sus familiares</w:t>
      </w:r>
    </w:p>
    <w:p w14:paraId="6D1C07B0" w14:textId="77777777" w:rsidR="00520AC2" w:rsidRDefault="00520AC2" w:rsidP="00520AC2">
      <w:pPr>
        <w:pStyle w:val="Default"/>
        <w:ind w:left="426"/>
        <w:jc w:val="both"/>
        <w:rPr>
          <w:sz w:val="20"/>
          <w:szCs w:val="20"/>
        </w:rPr>
      </w:pPr>
    </w:p>
    <w:p w14:paraId="675FE30C" w14:textId="77777777" w:rsidR="00520AC2" w:rsidRDefault="00520AC2" w:rsidP="00520AC2">
      <w:pPr>
        <w:pStyle w:val="Default"/>
        <w:ind w:left="363"/>
        <w:jc w:val="both"/>
        <w:rPr>
          <w:sz w:val="20"/>
          <w:szCs w:val="20"/>
        </w:rPr>
      </w:pPr>
      <w:r w:rsidRPr="00370A4C">
        <w:rPr>
          <w:sz w:val="20"/>
          <w:szCs w:val="20"/>
        </w:rPr>
        <w:t xml:space="preserve">En </w:t>
      </w:r>
      <w:r>
        <w:rPr>
          <w:sz w:val="20"/>
          <w:szCs w:val="20"/>
        </w:rPr>
        <w:t>e</w:t>
      </w:r>
      <w:r w:rsidRPr="00370A4C">
        <w:rPr>
          <w:sz w:val="20"/>
          <w:szCs w:val="20"/>
        </w:rPr>
        <w:t>l Considerando</w:t>
      </w:r>
      <w:r>
        <w:rPr>
          <w:sz w:val="20"/>
          <w:szCs w:val="20"/>
        </w:rPr>
        <w:t xml:space="preserve"> 87 </w:t>
      </w:r>
      <w:r w:rsidRPr="00370A4C">
        <w:rPr>
          <w:sz w:val="20"/>
          <w:szCs w:val="20"/>
        </w:rPr>
        <w:t xml:space="preserve">de la resolución de la Corte de </w:t>
      </w:r>
      <w:r>
        <w:rPr>
          <w:sz w:val="20"/>
          <w:szCs w:val="20"/>
        </w:rPr>
        <w:t>21 de marzo de 2023</w:t>
      </w:r>
      <w:r w:rsidRPr="00370A4C">
        <w:rPr>
          <w:sz w:val="20"/>
          <w:szCs w:val="20"/>
        </w:rPr>
        <w:t xml:space="preserve"> se explica lo que continúa pendiente de cumplimiento respecto a la presente medida de reparación:</w:t>
      </w:r>
    </w:p>
    <w:p w14:paraId="649623CA" w14:textId="77777777" w:rsidR="00520AC2" w:rsidRDefault="00520AC2" w:rsidP="00520AC2">
      <w:pPr>
        <w:pStyle w:val="Default"/>
        <w:ind w:left="363"/>
        <w:jc w:val="both"/>
        <w:rPr>
          <w:sz w:val="20"/>
          <w:szCs w:val="20"/>
        </w:rPr>
      </w:pPr>
    </w:p>
    <w:p w14:paraId="0F597E02" w14:textId="2E49115F" w:rsidR="007D43E7" w:rsidRPr="005A4DBF" w:rsidRDefault="00520AC2" w:rsidP="005A4DBF">
      <w:pPr>
        <w:pStyle w:val="Prrafodelista"/>
        <w:ind w:left="1134"/>
        <w:jc w:val="both"/>
        <w:rPr>
          <w:rFonts w:ascii="Verdana" w:hAnsi="Verdana"/>
          <w:sz w:val="16"/>
          <w:szCs w:val="16"/>
        </w:rPr>
      </w:pPr>
      <w:r w:rsidRPr="00AA7CE8">
        <w:rPr>
          <w:rFonts w:ascii="Verdana" w:hAnsi="Verdana"/>
          <w:sz w:val="16"/>
          <w:szCs w:val="16"/>
        </w:rPr>
        <w:t>87. Tomando en cuenta que el Estado cumplió con el pago correspondiente a la</w:t>
      </w:r>
      <w:r>
        <w:rPr>
          <w:rFonts w:ascii="Verdana" w:hAnsi="Verdana"/>
          <w:sz w:val="16"/>
          <w:szCs w:val="16"/>
        </w:rPr>
        <w:t xml:space="preserve"> </w:t>
      </w:r>
      <w:r w:rsidRPr="00AA7CE8">
        <w:rPr>
          <w:rFonts w:ascii="Verdana" w:hAnsi="Verdana"/>
          <w:sz w:val="16"/>
          <w:szCs w:val="16"/>
        </w:rPr>
        <w:t>señora Emedelia Palacios y que se encuentran pendientes los pagos a hijos y hermanos</w:t>
      </w:r>
      <w:r>
        <w:rPr>
          <w:rFonts w:ascii="Verdana" w:hAnsi="Verdana"/>
          <w:sz w:val="16"/>
          <w:szCs w:val="16"/>
        </w:rPr>
        <w:t xml:space="preserve"> </w:t>
      </w:r>
      <w:r w:rsidRPr="00AA7CE8">
        <w:rPr>
          <w:rFonts w:ascii="Verdana" w:hAnsi="Verdana"/>
          <w:sz w:val="16"/>
          <w:szCs w:val="16"/>
        </w:rPr>
        <w:t>del señor Marino López, la Corte considera que ha dado cumplimiento parcial al pago de</w:t>
      </w:r>
      <w:r>
        <w:rPr>
          <w:rFonts w:ascii="Verdana" w:hAnsi="Verdana"/>
          <w:sz w:val="16"/>
          <w:szCs w:val="16"/>
        </w:rPr>
        <w:t xml:space="preserve"> </w:t>
      </w:r>
      <w:r w:rsidRPr="00AA7CE8">
        <w:rPr>
          <w:rFonts w:ascii="Verdana" w:hAnsi="Verdana"/>
          <w:sz w:val="16"/>
          <w:szCs w:val="16"/>
        </w:rPr>
        <w:t>las indemnizaciones por concepto de daño material e inmaterial ordenadas en el punto</w:t>
      </w:r>
      <w:r>
        <w:rPr>
          <w:rFonts w:ascii="Verdana" w:hAnsi="Verdana"/>
          <w:sz w:val="16"/>
          <w:szCs w:val="16"/>
        </w:rPr>
        <w:t xml:space="preserve"> </w:t>
      </w:r>
      <w:r w:rsidRPr="00AA7CE8">
        <w:rPr>
          <w:rFonts w:ascii="Verdana" w:hAnsi="Verdana"/>
          <w:sz w:val="16"/>
          <w:szCs w:val="16"/>
        </w:rPr>
        <w:t>resolutivo décimo noveno de la Sentencia.</w:t>
      </w:r>
    </w:p>
    <w:sectPr w:rsidR="007D43E7" w:rsidRPr="005A4DB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7731E" w14:textId="77777777" w:rsidR="0047766A" w:rsidRDefault="0047766A">
      <w:r>
        <w:separator/>
      </w:r>
    </w:p>
  </w:endnote>
  <w:endnote w:type="continuationSeparator" w:id="0">
    <w:p w14:paraId="00D90B38" w14:textId="77777777" w:rsidR="0047766A" w:rsidRDefault="0047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4A0" w14:textId="77777777" w:rsidR="00000000"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000000" w:rsidRPr="00972124" w:rsidRDefault="00000000">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CEFE4" w14:textId="77777777" w:rsidR="0047766A" w:rsidRDefault="0047766A">
      <w:r>
        <w:separator/>
      </w:r>
    </w:p>
  </w:footnote>
  <w:footnote w:type="continuationSeparator" w:id="0">
    <w:p w14:paraId="49C91894" w14:textId="77777777" w:rsidR="0047766A" w:rsidRDefault="00477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3839DD89" w14:textId="7E04798A" w:rsidR="00000000"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AA0962">
          <w:rPr>
            <w:rFonts w:ascii="Verdana" w:hAnsi="Verdana"/>
            <w:noProof/>
          </w:rPr>
          <w:t>1</w:t>
        </w:r>
        <w:r w:rsidRPr="00675FE7">
          <w:rPr>
            <w:rFonts w:ascii="Verdana" w:hAnsi="Verdana"/>
            <w:noProof/>
          </w:rPr>
          <w:fldChar w:fldCharType="end"/>
        </w:r>
      </w:p>
    </w:sdtContent>
  </w:sdt>
  <w:p w14:paraId="1EF4AC7C"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232A"/>
    <w:multiLevelType w:val="hybridMultilevel"/>
    <w:tmpl w:val="A42A58B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2"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236284997">
    <w:abstractNumId w:val="2"/>
  </w:num>
  <w:num w:numId="2" w16cid:durableId="1010910238">
    <w:abstractNumId w:val="1"/>
  </w:num>
  <w:num w:numId="3" w16cid:durableId="199900125">
    <w:abstractNumId w:val="3"/>
  </w:num>
  <w:num w:numId="4" w16cid:durableId="49954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25717"/>
    <w:rsid w:val="000405CD"/>
    <w:rsid w:val="000926D5"/>
    <w:rsid w:val="00194D75"/>
    <w:rsid w:val="001B2C22"/>
    <w:rsid w:val="001E2499"/>
    <w:rsid w:val="00304F1D"/>
    <w:rsid w:val="00327C85"/>
    <w:rsid w:val="00332924"/>
    <w:rsid w:val="003348E5"/>
    <w:rsid w:val="00344D7A"/>
    <w:rsid w:val="00377169"/>
    <w:rsid w:val="003E1B3B"/>
    <w:rsid w:val="0047766A"/>
    <w:rsid w:val="004B642A"/>
    <w:rsid w:val="004C665B"/>
    <w:rsid w:val="00520AC2"/>
    <w:rsid w:val="00581650"/>
    <w:rsid w:val="005839D6"/>
    <w:rsid w:val="005A4DBF"/>
    <w:rsid w:val="005C16F6"/>
    <w:rsid w:val="006C4B02"/>
    <w:rsid w:val="007052C7"/>
    <w:rsid w:val="00742BD2"/>
    <w:rsid w:val="007D43E7"/>
    <w:rsid w:val="007D7186"/>
    <w:rsid w:val="008F6FB6"/>
    <w:rsid w:val="00917F2E"/>
    <w:rsid w:val="00943944"/>
    <w:rsid w:val="009D082F"/>
    <w:rsid w:val="009D529F"/>
    <w:rsid w:val="009E2FE5"/>
    <w:rsid w:val="00A36B05"/>
    <w:rsid w:val="00A73E79"/>
    <w:rsid w:val="00A851F3"/>
    <w:rsid w:val="00A85FFA"/>
    <w:rsid w:val="00AA0962"/>
    <w:rsid w:val="00BE4B32"/>
    <w:rsid w:val="00CA15C2"/>
    <w:rsid w:val="00CC177A"/>
    <w:rsid w:val="00D52E4C"/>
    <w:rsid w:val="00D745E9"/>
    <w:rsid w:val="00E34D8E"/>
    <w:rsid w:val="00E83954"/>
    <w:rsid w:val="00EB6AD5"/>
    <w:rsid w:val="00F3513F"/>
    <w:rsid w:val="00FD329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semiHidden/>
    <w:unhideWhenUsed/>
    <w:rsid w:val="005C16F6"/>
  </w:style>
  <w:style w:type="character" w:customStyle="1" w:styleId="TextonotapieCar">
    <w:name w:val="Texto nota pie Car"/>
    <w:basedOn w:val="Fuentedeprrafopredeter"/>
    <w:link w:val="Textonotapie"/>
    <w:uiPriority w:val="99"/>
    <w:semiHidden/>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DE65-30D2-4969-947A-7B84D13D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585</Words>
  <Characters>3223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14</cp:revision>
  <dcterms:created xsi:type="dcterms:W3CDTF">2021-11-24T23:35:00Z</dcterms:created>
  <dcterms:modified xsi:type="dcterms:W3CDTF">2023-10-09T17:10:00Z</dcterms:modified>
</cp:coreProperties>
</file>