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F48" w:rsidRDefault="0073192D" w:rsidP="004C1C88">
      <w:pPr>
        <w:jc w:val="center"/>
        <w:rPr>
          <w:rFonts w:ascii="Verdana" w:hAnsi="Verdana"/>
          <w:b/>
          <w:sz w:val="20"/>
          <w:u w:val="single"/>
          <w:lang w:val="es-MX"/>
        </w:rPr>
      </w:pPr>
      <w:bookmarkStart w:id="0" w:name="_GoBack"/>
      <w:bookmarkEnd w:id="0"/>
      <w:r w:rsidRPr="0073192D">
        <w:rPr>
          <w:rFonts w:ascii="Verdana" w:hAnsi="Verdana"/>
          <w:b/>
          <w:sz w:val="20"/>
          <w:u w:val="single"/>
          <w:lang w:val="es-MX"/>
        </w:rPr>
        <w:t xml:space="preserve">Caso Gutiérrez Soler </w:t>
      </w:r>
      <w:r w:rsidRPr="00675551">
        <w:rPr>
          <w:rFonts w:ascii="Verdana" w:hAnsi="Verdana"/>
          <w:b/>
          <w:i/>
          <w:sz w:val="20"/>
          <w:u w:val="single"/>
          <w:lang w:val="es-MX"/>
        </w:rPr>
        <w:t>Vs.</w:t>
      </w:r>
      <w:r w:rsidRPr="0073192D">
        <w:rPr>
          <w:rFonts w:ascii="Verdana" w:hAnsi="Verdana"/>
          <w:b/>
          <w:sz w:val="20"/>
          <w:u w:val="single"/>
          <w:lang w:val="es-MX"/>
        </w:rPr>
        <w:t xml:space="preserve"> Colombia: reparaciones declaradas cumplidas</w:t>
      </w:r>
    </w:p>
    <w:p w:rsidR="0073192D" w:rsidRDefault="0073192D" w:rsidP="0073192D">
      <w:pPr>
        <w:rPr>
          <w:rFonts w:ascii="Verdana" w:hAnsi="Verdana"/>
          <w:b/>
          <w:sz w:val="20"/>
          <w:u w:val="single"/>
          <w:lang w:val="es-MX"/>
        </w:rPr>
      </w:pPr>
    </w:p>
    <w:p w:rsidR="0073192D" w:rsidRPr="0073192D" w:rsidRDefault="0073192D" w:rsidP="0073192D">
      <w:pPr>
        <w:rPr>
          <w:rFonts w:ascii="Verdana" w:hAnsi="Verdana"/>
          <w:b/>
          <w:color w:val="000000" w:themeColor="text1"/>
          <w:sz w:val="20"/>
          <w:u w:val="single"/>
          <w:lang w:val="es-MX"/>
        </w:rPr>
      </w:pPr>
    </w:p>
    <w:p w:rsidR="0073192D" w:rsidRPr="0073192D" w:rsidRDefault="0073192D" w:rsidP="0073192D">
      <w:pPr>
        <w:pStyle w:val="ListParagraph"/>
        <w:numPr>
          <w:ilvl w:val="0"/>
          <w:numId w:val="1"/>
        </w:numPr>
        <w:ind w:left="360"/>
        <w:jc w:val="both"/>
        <w:rPr>
          <w:rFonts w:ascii="Verdana" w:hAnsi="Verdana"/>
          <w:color w:val="000000" w:themeColor="text1"/>
          <w:sz w:val="20"/>
          <w:lang w:val="es-ES_tradnl"/>
        </w:rPr>
      </w:pPr>
      <w:r>
        <w:rPr>
          <w:rFonts w:ascii="Verdana" w:hAnsi="Verdana"/>
          <w:color w:val="000000" w:themeColor="text1"/>
          <w:sz w:val="20"/>
          <w:lang w:val="es-ES_tradnl"/>
        </w:rPr>
        <w:t>P</w:t>
      </w:r>
      <w:r w:rsidRPr="0073192D">
        <w:rPr>
          <w:rFonts w:ascii="Verdana" w:hAnsi="Verdana"/>
          <w:color w:val="000000" w:themeColor="text1"/>
          <w:sz w:val="20"/>
          <w:lang w:val="es-ES_tradnl"/>
        </w:rPr>
        <w:t>ublicar dentro del plazo de seis meses, contados a partir de la notificación de la presente Sentencia, al menos por una vez, en el Diario Oficial, y en otro diario de circulación nacional, la Sección de esta Sentencia denominada Hechos Probados, sin las notas al pie de página correspondientes, los párrafos 51 a 59 de la Sección denominada Fondo de dicha Sentencia,</w:t>
      </w:r>
      <w:r w:rsidRPr="0073192D">
        <w:rPr>
          <w:rFonts w:ascii="Verdana" w:hAnsi="Verdana"/>
          <w:b/>
          <w:color w:val="000000" w:themeColor="text1"/>
          <w:sz w:val="20"/>
          <w:lang w:val="es-ES_tradnl"/>
        </w:rPr>
        <w:t xml:space="preserve"> </w:t>
      </w:r>
      <w:r w:rsidRPr="0073192D">
        <w:rPr>
          <w:rFonts w:ascii="Verdana" w:hAnsi="Verdana"/>
          <w:color w:val="000000" w:themeColor="text1"/>
          <w:sz w:val="20"/>
          <w:lang w:val="es-ES_tradnl"/>
        </w:rPr>
        <w:t>así como la parte resolutiva de la misma, en los términos del párrafo 105 de la presente Sentencia.</w:t>
      </w:r>
    </w:p>
    <w:p w:rsidR="0073192D" w:rsidRPr="0073192D" w:rsidRDefault="0073192D" w:rsidP="0073192D">
      <w:pPr>
        <w:pStyle w:val="ListParagraph"/>
        <w:ind w:left="360" w:hanging="360"/>
        <w:jc w:val="both"/>
        <w:rPr>
          <w:rFonts w:ascii="Verdana" w:hAnsi="Verdana"/>
          <w:color w:val="000000" w:themeColor="text1"/>
          <w:sz w:val="20"/>
          <w:lang w:val="es-ES_tradnl"/>
        </w:rPr>
      </w:pPr>
    </w:p>
    <w:p w:rsidR="0073192D" w:rsidRPr="0073192D" w:rsidRDefault="0073192D" w:rsidP="0073192D">
      <w:pPr>
        <w:pStyle w:val="ListParagraph"/>
        <w:numPr>
          <w:ilvl w:val="0"/>
          <w:numId w:val="1"/>
        </w:numPr>
        <w:ind w:left="360"/>
        <w:jc w:val="both"/>
        <w:rPr>
          <w:rFonts w:ascii="Verdana" w:hAnsi="Verdana"/>
          <w:color w:val="000000" w:themeColor="text1"/>
          <w:sz w:val="20"/>
          <w:lang w:val="es-ES_tradnl"/>
        </w:rPr>
      </w:pPr>
      <w:r>
        <w:rPr>
          <w:rFonts w:ascii="Verdana" w:hAnsi="Verdana"/>
          <w:color w:val="000000" w:themeColor="text1"/>
          <w:sz w:val="20"/>
          <w:lang w:val="es-ES_tradnl"/>
        </w:rPr>
        <w:t>I</w:t>
      </w:r>
      <w:r w:rsidRPr="0073192D">
        <w:rPr>
          <w:rFonts w:ascii="Verdana" w:hAnsi="Verdana"/>
          <w:color w:val="000000" w:themeColor="text1"/>
          <w:sz w:val="20"/>
          <w:lang w:val="es-ES_tradnl"/>
        </w:rPr>
        <w:t>mplementar en los cursos de formación de los servidores públicos de la jurisdicción penal militar y de la fuerza pública un programa dirigido al análisis de la jurisprudencia del Sistema Interamericano de Protección de los Derechos Humanos, en los términos de los párrafos 106 a 108 de la presente Sentencia.</w:t>
      </w:r>
    </w:p>
    <w:p w:rsidR="0073192D" w:rsidRPr="0073192D" w:rsidRDefault="0073192D" w:rsidP="0073192D">
      <w:pPr>
        <w:pStyle w:val="ListParagraph"/>
        <w:ind w:left="360" w:hanging="360"/>
        <w:rPr>
          <w:rFonts w:ascii="Verdana" w:hAnsi="Verdana"/>
          <w:color w:val="000000" w:themeColor="text1"/>
          <w:sz w:val="20"/>
          <w:lang w:val="es-ES_tradnl"/>
        </w:rPr>
      </w:pPr>
    </w:p>
    <w:p w:rsidR="0073192D" w:rsidRPr="0073192D" w:rsidRDefault="0073192D" w:rsidP="0073192D">
      <w:pPr>
        <w:pStyle w:val="ListParagraph"/>
        <w:numPr>
          <w:ilvl w:val="0"/>
          <w:numId w:val="1"/>
        </w:numPr>
        <w:ind w:left="360"/>
        <w:jc w:val="both"/>
        <w:rPr>
          <w:rFonts w:ascii="Verdana" w:hAnsi="Verdana"/>
          <w:color w:val="000000" w:themeColor="text1"/>
          <w:sz w:val="20"/>
          <w:lang w:val="es-ES_tradnl"/>
        </w:rPr>
      </w:pPr>
      <w:r>
        <w:rPr>
          <w:rFonts w:ascii="Verdana" w:hAnsi="Verdana"/>
          <w:color w:val="000000" w:themeColor="text1"/>
          <w:sz w:val="20"/>
          <w:lang w:val="es-ES_tradnl"/>
        </w:rPr>
        <w:t>A</w:t>
      </w:r>
      <w:r w:rsidRPr="0073192D">
        <w:rPr>
          <w:rFonts w:ascii="Verdana" w:hAnsi="Verdana"/>
          <w:color w:val="000000" w:themeColor="text1"/>
          <w:sz w:val="20"/>
          <w:lang w:val="es-ES_tradnl"/>
        </w:rPr>
        <w:t>doptar un programa de formación que tenga en cuenta las normas internacionales establecidas en el Protocolo de Estambul, en los términos del párrafo 110 de la presente Sentencia.</w:t>
      </w:r>
    </w:p>
    <w:p w:rsidR="0073192D" w:rsidRPr="0073192D" w:rsidRDefault="0073192D" w:rsidP="0073192D">
      <w:pPr>
        <w:pStyle w:val="ListParagraph"/>
        <w:ind w:left="360" w:hanging="360"/>
        <w:rPr>
          <w:rFonts w:ascii="Verdana" w:hAnsi="Verdana"/>
          <w:color w:val="000000" w:themeColor="text1"/>
          <w:sz w:val="20"/>
          <w:lang w:val="es-ES_tradnl"/>
        </w:rPr>
      </w:pPr>
    </w:p>
    <w:p w:rsidR="0073192D" w:rsidRPr="0073192D" w:rsidRDefault="0073192D" w:rsidP="0073192D">
      <w:pPr>
        <w:pStyle w:val="ListParagraph"/>
        <w:numPr>
          <w:ilvl w:val="0"/>
          <w:numId w:val="1"/>
        </w:numPr>
        <w:ind w:left="360"/>
        <w:jc w:val="both"/>
        <w:rPr>
          <w:rFonts w:ascii="Verdana" w:hAnsi="Verdana"/>
          <w:color w:val="000000" w:themeColor="text1"/>
          <w:sz w:val="20"/>
          <w:lang w:val="es-ES_tradnl"/>
        </w:rPr>
      </w:pPr>
      <w:r>
        <w:rPr>
          <w:rFonts w:ascii="Verdana" w:hAnsi="Verdana"/>
          <w:color w:val="000000" w:themeColor="text1"/>
          <w:sz w:val="20"/>
          <w:lang w:val="es-ES_tradnl"/>
        </w:rPr>
        <w:t>P</w:t>
      </w:r>
      <w:r w:rsidRPr="0073192D">
        <w:rPr>
          <w:rFonts w:ascii="Verdana" w:hAnsi="Verdana"/>
          <w:color w:val="000000" w:themeColor="text1"/>
          <w:sz w:val="20"/>
          <w:lang w:val="es-ES_tradnl"/>
        </w:rPr>
        <w:t>agar las cantidades fijadas en los párrafos 76 y 78 de la presente Sentencia, por concepto de daño material, en los términos de los párrafos 70, 118, 119 y 121 a 125 de la misma.</w:t>
      </w:r>
    </w:p>
    <w:p w:rsidR="0073192D" w:rsidRPr="0073192D" w:rsidRDefault="0073192D" w:rsidP="0073192D">
      <w:pPr>
        <w:pStyle w:val="ListParagraph"/>
        <w:ind w:left="360" w:hanging="360"/>
        <w:rPr>
          <w:rFonts w:ascii="Verdana" w:hAnsi="Verdana"/>
          <w:color w:val="000000" w:themeColor="text1"/>
          <w:sz w:val="20"/>
          <w:lang w:val="es-ES_tradnl"/>
        </w:rPr>
      </w:pPr>
    </w:p>
    <w:p w:rsidR="0073192D" w:rsidRPr="0073192D" w:rsidRDefault="0073192D" w:rsidP="0073192D">
      <w:pPr>
        <w:pStyle w:val="ListParagraph"/>
        <w:numPr>
          <w:ilvl w:val="0"/>
          <w:numId w:val="1"/>
        </w:numPr>
        <w:ind w:left="360"/>
        <w:jc w:val="both"/>
        <w:rPr>
          <w:rFonts w:ascii="Verdana" w:hAnsi="Verdana"/>
          <w:color w:val="000000" w:themeColor="text1"/>
          <w:sz w:val="20"/>
          <w:lang w:val="es-ES_tradnl"/>
        </w:rPr>
      </w:pPr>
      <w:r>
        <w:rPr>
          <w:rFonts w:ascii="Verdana" w:hAnsi="Verdana"/>
          <w:color w:val="000000" w:themeColor="text1"/>
          <w:sz w:val="20"/>
          <w:lang w:val="es-ES_tradnl"/>
        </w:rPr>
        <w:t>P</w:t>
      </w:r>
      <w:r w:rsidRPr="0073192D">
        <w:rPr>
          <w:rFonts w:ascii="Verdana" w:hAnsi="Verdana"/>
          <w:color w:val="000000" w:themeColor="text1"/>
          <w:sz w:val="20"/>
          <w:lang w:val="es-ES_tradnl"/>
        </w:rPr>
        <w:t>agar las cantidades fijadas en el párrafo 85 de la presente Sentencia, por concepto de daño inmaterial, en los términos de los párrafos 70, 118, 119 y 121 a 125 de la misma.</w:t>
      </w:r>
    </w:p>
    <w:p w:rsidR="0073192D" w:rsidRPr="0073192D" w:rsidRDefault="0073192D" w:rsidP="0073192D">
      <w:pPr>
        <w:pStyle w:val="ListParagraph"/>
        <w:ind w:left="360" w:hanging="360"/>
        <w:rPr>
          <w:rFonts w:ascii="Verdana" w:hAnsi="Verdana"/>
          <w:color w:val="000000" w:themeColor="text1"/>
          <w:sz w:val="20"/>
          <w:lang w:val="es-ES_tradnl"/>
        </w:rPr>
      </w:pPr>
    </w:p>
    <w:p w:rsidR="0073192D" w:rsidRPr="0073192D" w:rsidRDefault="0073192D" w:rsidP="0073192D">
      <w:pPr>
        <w:pStyle w:val="ListParagraph"/>
        <w:numPr>
          <w:ilvl w:val="0"/>
          <w:numId w:val="1"/>
        </w:numPr>
        <w:ind w:left="360"/>
        <w:jc w:val="both"/>
        <w:rPr>
          <w:rFonts w:ascii="Verdana" w:hAnsi="Verdana"/>
          <w:color w:val="000000" w:themeColor="text1"/>
          <w:sz w:val="20"/>
          <w:lang w:val="es-ES_tradnl"/>
        </w:rPr>
      </w:pPr>
      <w:r>
        <w:rPr>
          <w:rFonts w:ascii="Verdana" w:hAnsi="Verdana"/>
          <w:color w:val="000000" w:themeColor="text1"/>
          <w:sz w:val="20"/>
          <w:lang w:val="es-ES_tradnl"/>
        </w:rPr>
        <w:t>P</w:t>
      </w:r>
      <w:r w:rsidRPr="0073192D">
        <w:rPr>
          <w:rFonts w:ascii="Verdana" w:hAnsi="Verdana"/>
          <w:color w:val="000000" w:themeColor="text1"/>
          <w:sz w:val="20"/>
          <w:lang w:val="es-ES_tradnl"/>
        </w:rPr>
        <w:t>agar la cantidad fijada en el párrafo 117 de la presente Sentencia, por concepto de costas y gastos, en los términos de los párrafos 118 y 120 a 125 de la misma.</w:t>
      </w:r>
    </w:p>
    <w:p w:rsidR="0073192D" w:rsidRPr="0073192D" w:rsidRDefault="0073192D" w:rsidP="0073192D">
      <w:pPr>
        <w:pStyle w:val="ListParagraph"/>
        <w:ind w:left="360" w:hanging="360"/>
        <w:rPr>
          <w:rFonts w:ascii="Verdana" w:hAnsi="Verdana"/>
          <w:color w:val="000000" w:themeColor="text1"/>
          <w:sz w:val="20"/>
          <w:lang w:val="es-ES_tradnl"/>
        </w:rPr>
      </w:pPr>
    </w:p>
    <w:p w:rsidR="0073192D" w:rsidRDefault="0073192D" w:rsidP="0073192D">
      <w:pPr>
        <w:pStyle w:val="ListParagraph"/>
        <w:numPr>
          <w:ilvl w:val="0"/>
          <w:numId w:val="1"/>
        </w:numPr>
        <w:ind w:left="360"/>
        <w:jc w:val="both"/>
        <w:rPr>
          <w:rFonts w:ascii="Verdana" w:hAnsi="Verdana"/>
          <w:color w:val="000000" w:themeColor="text1"/>
          <w:sz w:val="20"/>
          <w:lang w:val="es-ES_tradnl"/>
        </w:rPr>
      </w:pPr>
      <w:r>
        <w:rPr>
          <w:rFonts w:ascii="Verdana" w:hAnsi="Verdana"/>
          <w:color w:val="000000" w:themeColor="text1"/>
          <w:sz w:val="20"/>
          <w:lang w:val="es-ES_tradnl"/>
        </w:rPr>
        <w:t>O</w:t>
      </w:r>
      <w:r w:rsidRPr="0073192D">
        <w:rPr>
          <w:rFonts w:ascii="Verdana" w:hAnsi="Verdana"/>
          <w:color w:val="000000" w:themeColor="text1"/>
          <w:sz w:val="20"/>
          <w:lang w:val="es-ES_tradnl"/>
        </w:rPr>
        <w:t>cuparse particularmente de garantizar la vida, integridad y seguridad de los señores Wilson y Ricardo Gutiérrez Soler y sus familiares, y debe proveerles la protección necesaria frente a cualesquiera personas, tomando en cuenta las circunstancias de este caso, de conformidad con la Resolución de medidas provisionales dictada por este Tribunal el 11 de marzo de 2005.</w:t>
      </w:r>
    </w:p>
    <w:p w:rsidR="008B16FE" w:rsidRDefault="008B16FE" w:rsidP="008B16FE">
      <w:pPr>
        <w:pStyle w:val="ListParagraph"/>
        <w:ind w:left="360"/>
        <w:jc w:val="both"/>
        <w:rPr>
          <w:rFonts w:ascii="Verdana" w:hAnsi="Verdana"/>
          <w:color w:val="000000" w:themeColor="text1"/>
          <w:sz w:val="20"/>
          <w:lang w:val="es-ES_tradnl"/>
        </w:rPr>
      </w:pPr>
    </w:p>
    <w:p w:rsidR="008B16FE" w:rsidRDefault="008B16FE" w:rsidP="008B16FE">
      <w:pPr>
        <w:jc w:val="both"/>
        <w:rPr>
          <w:rFonts w:ascii="Verdana" w:hAnsi="Verdana"/>
          <w:b/>
          <w:color w:val="000000" w:themeColor="text1"/>
          <w:sz w:val="20"/>
          <w:u w:val="single"/>
          <w:lang w:val="es-ES_tradnl"/>
        </w:rPr>
      </w:pPr>
      <w:r>
        <w:rPr>
          <w:rFonts w:ascii="Verdana" w:hAnsi="Verdana"/>
          <w:b/>
          <w:color w:val="000000" w:themeColor="text1"/>
          <w:sz w:val="20"/>
          <w:u w:val="single"/>
          <w:lang w:val="es-ES_tradnl"/>
        </w:rPr>
        <w:t>Cumplimiento parcial:</w:t>
      </w:r>
    </w:p>
    <w:p w:rsidR="008B16FE" w:rsidRDefault="008B16FE" w:rsidP="008B16FE">
      <w:pPr>
        <w:jc w:val="both"/>
        <w:rPr>
          <w:rFonts w:ascii="Verdana" w:hAnsi="Verdana"/>
          <w:color w:val="000000" w:themeColor="text1"/>
          <w:sz w:val="20"/>
          <w:lang w:val="es-ES_tradnl"/>
        </w:rPr>
      </w:pPr>
    </w:p>
    <w:p w:rsidR="008B16FE" w:rsidRDefault="008B16FE" w:rsidP="008B16FE">
      <w:pPr>
        <w:pStyle w:val="ListParagraph"/>
        <w:numPr>
          <w:ilvl w:val="0"/>
          <w:numId w:val="1"/>
        </w:numPr>
        <w:ind w:left="360"/>
        <w:jc w:val="both"/>
        <w:rPr>
          <w:rFonts w:ascii="Verdana" w:hAnsi="Verdana"/>
          <w:color w:val="000000" w:themeColor="text1"/>
          <w:sz w:val="20"/>
          <w:lang w:val="es-ES_tradnl"/>
        </w:rPr>
      </w:pPr>
      <w:r>
        <w:rPr>
          <w:rFonts w:ascii="Verdana" w:hAnsi="Verdana"/>
          <w:color w:val="000000" w:themeColor="text1"/>
          <w:sz w:val="20"/>
          <w:lang w:val="es-ES_tradnl"/>
        </w:rPr>
        <w:t xml:space="preserve">Brindar gratuitamente, a través de las instituciones de salud que el propio Estado designe, tratamiento psicológico y psiquiátrico a los señores María Elena Soler de Gutiérrez, Ricardo Gutiérrez Soler, </w:t>
      </w:r>
      <w:proofErr w:type="spellStart"/>
      <w:r>
        <w:rPr>
          <w:rFonts w:ascii="Verdana" w:hAnsi="Verdana"/>
          <w:color w:val="000000" w:themeColor="text1"/>
          <w:sz w:val="20"/>
          <w:lang w:val="es-ES_tradnl"/>
        </w:rPr>
        <w:t>Yaqueline</w:t>
      </w:r>
      <w:proofErr w:type="spellEnd"/>
      <w:r>
        <w:rPr>
          <w:rFonts w:ascii="Verdana" w:hAnsi="Verdana"/>
          <w:color w:val="000000" w:themeColor="text1"/>
          <w:sz w:val="20"/>
          <w:lang w:val="es-ES_tradnl"/>
        </w:rPr>
        <w:t xml:space="preserve"> Reyes, Luisa Fernanda Gutiérrez Reyes, Paula Camila Gutiérrez Reyes, Leonardo Gutiérrez Rubiano, </w:t>
      </w:r>
      <w:proofErr w:type="spellStart"/>
      <w:r>
        <w:rPr>
          <w:rFonts w:ascii="Verdana" w:hAnsi="Verdana"/>
          <w:color w:val="000000" w:themeColor="text1"/>
          <w:sz w:val="20"/>
          <w:lang w:val="es-ES_tradnl"/>
        </w:rPr>
        <w:t>Leydi</w:t>
      </w:r>
      <w:proofErr w:type="spellEnd"/>
      <w:r>
        <w:rPr>
          <w:rFonts w:ascii="Verdana" w:hAnsi="Verdana"/>
          <w:color w:val="000000" w:themeColor="text1"/>
          <w:sz w:val="20"/>
          <w:lang w:val="es-ES_tradnl"/>
        </w:rPr>
        <w:t xml:space="preserve"> </w:t>
      </w:r>
      <w:proofErr w:type="spellStart"/>
      <w:r>
        <w:rPr>
          <w:rFonts w:ascii="Verdana" w:hAnsi="Verdana"/>
          <w:color w:val="000000" w:themeColor="text1"/>
          <w:sz w:val="20"/>
          <w:lang w:val="es-ES_tradnl"/>
        </w:rPr>
        <w:t>Caterin</w:t>
      </w:r>
      <w:proofErr w:type="spellEnd"/>
      <w:r>
        <w:rPr>
          <w:rFonts w:ascii="Verdana" w:hAnsi="Verdana"/>
          <w:color w:val="000000" w:themeColor="text1"/>
          <w:sz w:val="20"/>
          <w:lang w:val="es-ES_tradnl"/>
        </w:rPr>
        <w:t xml:space="preserve"> Gutiérrez Peña, </w:t>
      </w:r>
      <w:proofErr w:type="spellStart"/>
      <w:r>
        <w:rPr>
          <w:rFonts w:ascii="Verdana" w:hAnsi="Verdana"/>
          <w:color w:val="000000" w:themeColor="text1"/>
          <w:sz w:val="20"/>
          <w:lang w:val="es-ES_tradnl"/>
        </w:rPr>
        <w:t>Sulma</w:t>
      </w:r>
      <w:proofErr w:type="spellEnd"/>
      <w:r>
        <w:rPr>
          <w:rFonts w:ascii="Verdana" w:hAnsi="Verdana"/>
          <w:color w:val="000000" w:themeColor="text1"/>
          <w:sz w:val="20"/>
          <w:lang w:val="es-ES_tradnl"/>
        </w:rPr>
        <w:t xml:space="preserve"> Tatiana Gutiérrez Rubiano, Ricardo Alberto Gutiérrez Rubiano y Carlos Andrés Gutiérrez Rubiano, en los términos del párrafo 102 de la presente Sentencia. En el caso del tratamiento médico y psicológico del señor Wilson Gutiérrez Soler y de la atención psicológica de su hijo Kevin Daniel Gutiérrez Niño, el Estado debe entregar la cantidad fijada en el párrafo 103 al señor Wilson Gutiérrez Soler para cubrir los gastos razonables al respecto.</w:t>
      </w:r>
    </w:p>
    <w:p w:rsidR="008B16FE" w:rsidRDefault="008B16FE" w:rsidP="008B16FE">
      <w:pPr>
        <w:pStyle w:val="ListParagraph"/>
        <w:ind w:left="360"/>
        <w:jc w:val="both"/>
        <w:rPr>
          <w:rFonts w:ascii="Verdana" w:hAnsi="Verdana"/>
          <w:color w:val="000000" w:themeColor="text1"/>
          <w:sz w:val="20"/>
          <w:lang w:val="es-ES_tradnl"/>
        </w:rPr>
      </w:pPr>
    </w:p>
    <w:p w:rsidR="008B16FE" w:rsidRDefault="008B16FE" w:rsidP="008B16FE">
      <w:pPr>
        <w:jc w:val="both"/>
        <w:rPr>
          <w:rFonts w:ascii="Verdana" w:hAnsi="Verdana"/>
          <w:color w:val="000000" w:themeColor="text1"/>
          <w:sz w:val="20"/>
          <w:lang w:val="es-ES_tradnl"/>
        </w:rPr>
      </w:pPr>
      <w:r>
        <w:rPr>
          <w:rFonts w:ascii="Verdana" w:hAnsi="Verdana"/>
          <w:sz w:val="20"/>
          <w:lang w:val="es-CR"/>
        </w:rPr>
        <w:t>En los puntos declarativos 1 y 2 de la resolución d</w:t>
      </w:r>
      <w:r w:rsidR="00751354">
        <w:rPr>
          <w:rFonts w:ascii="Verdana" w:hAnsi="Verdana"/>
          <w:sz w:val="20"/>
          <w:lang w:val="es-CR"/>
        </w:rPr>
        <w:t>e la Corte de 31 de enero de 200</w:t>
      </w:r>
      <w:r>
        <w:rPr>
          <w:rFonts w:ascii="Verdana" w:hAnsi="Verdana"/>
          <w:sz w:val="20"/>
          <w:lang w:val="es-CR"/>
        </w:rPr>
        <w:t>8 se explica lo que continúa pendiente de cumplimiento respecto a esta medida de reparación:</w:t>
      </w:r>
    </w:p>
    <w:p w:rsidR="008B16FE" w:rsidRDefault="008B16FE" w:rsidP="008B16FE">
      <w:pPr>
        <w:jc w:val="both"/>
        <w:rPr>
          <w:rFonts w:ascii="Verdana" w:hAnsi="Verdana"/>
          <w:color w:val="000000" w:themeColor="text1"/>
          <w:sz w:val="20"/>
          <w:lang w:val="es-ES_tradnl"/>
        </w:rPr>
      </w:pPr>
    </w:p>
    <w:p w:rsidR="008B16FE" w:rsidRDefault="008B16FE" w:rsidP="008B16FE">
      <w:pPr>
        <w:jc w:val="both"/>
        <w:rPr>
          <w:rFonts w:ascii="Verdana" w:hAnsi="Verdana"/>
          <w:sz w:val="18"/>
          <w:szCs w:val="18"/>
          <w:lang w:val="es-CR"/>
        </w:rPr>
      </w:pPr>
      <w:r>
        <w:rPr>
          <w:rFonts w:ascii="Verdana" w:hAnsi="Verdana"/>
          <w:sz w:val="18"/>
          <w:szCs w:val="18"/>
          <w:lang w:val="es-CR"/>
        </w:rPr>
        <w:lastRenderedPageBreak/>
        <w:t>1. Que de conformidad con lo dispuesto en los Considerados décimo tercero, vigésimo, vigésimo cuarto, vigésimo octavo y trigésimo quinto de esta Resolución, el Estado ha dado cumplimiento total a los siguientes puntos resolutivos de la Sentencia emitida en este caso:</w:t>
      </w:r>
    </w:p>
    <w:p w:rsidR="008B16FE" w:rsidRDefault="008B16FE" w:rsidP="008B16FE">
      <w:pPr>
        <w:jc w:val="both"/>
        <w:rPr>
          <w:rFonts w:ascii="Verdana" w:hAnsi="Verdana"/>
          <w:sz w:val="18"/>
          <w:szCs w:val="18"/>
          <w:lang w:val="es-CR"/>
        </w:rPr>
      </w:pPr>
    </w:p>
    <w:p w:rsidR="008B16FE" w:rsidRDefault="008B16FE" w:rsidP="008B16FE">
      <w:pPr>
        <w:jc w:val="both"/>
        <w:rPr>
          <w:rFonts w:ascii="Verdana" w:hAnsi="Verdana"/>
          <w:sz w:val="18"/>
          <w:szCs w:val="18"/>
          <w:lang w:val="es-CR"/>
        </w:rPr>
      </w:pPr>
      <w:r>
        <w:rPr>
          <w:rFonts w:ascii="Verdana" w:hAnsi="Verdana"/>
          <w:sz w:val="18"/>
          <w:szCs w:val="18"/>
          <w:lang w:val="es-CR"/>
        </w:rPr>
        <w:t>[…]</w:t>
      </w:r>
    </w:p>
    <w:p w:rsidR="008B16FE" w:rsidRDefault="008B16FE" w:rsidP="008B16FE">
      <w:pPr>
        <w:jc w:val="both"/>
        <w:rPr>
          <w:rFonts w:ascii="Verdana" w:hAnsi="Verdana"/>
          <w:sz w:val="18"/>
          <w:szCs w:val="18"/>
          <w:lang w:val="es-CR"/>
        </w:rPr>
      </w:pPr>
    </w:p>
    <w:p w:rsidR="008B16FE" w:rsidRDefault="008B16FE" w:rsidP="008B16FE">
      <w:pPr>
        <w:jc w:val="both"/>
        <w:rPr>
          <w:rFonts w:ascii="Verdana" w:hAnsi="Verdana"/>
          <w:sz w:val="18"/>
          <w:szCs w:val="18"/>
          <w:lang w:val="es-CR"/>
        </w:rPr>
      </w:pPr>
      <w:r>
        <w:rPr>
          <w:rFonts w:ascii="Verdana" w:hAnsi="Verdana"/>
          <w:sz w:val="18"/>
          <w:szCs w:val="18"/>
          <w:lang w:val="es-CR"/>
        </w:rPr>
        <w:t>b) el deber de entregar la cantidad fijada por el Tribunal a favor del señor Wilson Gutiérrez Soler para cubrir los gastos razonables de su tratamiento médico y psicológico, así como de la atención psicológica de su hijo Kevin Daniel Gutiérrez Niño (punto resolutivo segundo de la Sentencia)</w:t>
      </w:r>
    </w:p>
    <w:p w:rsidR="008B16FE" w:rsidRDefault="008B16FE" w:rsidP="008B16FE">
      <w:pPr>
        <w:jc w:val="both"/>
        <w:rPr>
          <w:rFonts w:ascii="Verdana" w:hAnsi="Verdana"/>
          <w:sz w:val="18"/>
          <w:szCs w:val="18"/>
          <w:lang w:val="es-CR"/>
        </w:rPr>
      </w:pPr>
    </w:p>
    <w:p w:rsidR="008B16FE" w:rsidRDefault="008B16FE" w:rsidP="008B16FE">
      <w:pPr>
        <w:jc w:val="both"/>
        <w:rPr>
          <w:rFonts w:ascii="Verdana" w:hAnsi="Verdana"/>
          <w:sz w:val="18"/>
          <w:szCs w:val="18"/>
          <w:lang w:val="es-CR"/>
        </w:rPr>
      </w:pPr>
      <w:r>
        <w:rPr>
          <w:rFonts w:ascii="Verdana" w:hAnsi="Verdana"/>
          <w:sz w:val="18"/>
          <w:szCs w:val="18"/>
          <w:lang w:val="es-CR"/>
        </w:rPr>
        <w:t xml:space="preserve">2. Que mantendrá abierto el procedimiento de supervisión de cumplimiento de los siguientes puntos pendientes: </w:t>
      </w:r>
    </w:p>
    <w:p w:rsidR="008B16FE" w:rsidRDefault="008B16FE" w:rsidP="008B16FE">
      <w:pPr>
        <w:jc w:val="both"/>
        <w:rPr>
          <w:rFonts w:ascii="Verdana" w:hAnsi="Verdana"/>
          <w:sz w:val="18"/>
          <w:szCs w:val="18"/>
          <w:lang w:val="es-CR"/>
        </w:rPr>
      </w:pPr>
    </w:p>
    <w:p w:rsidR="008B16FE" w:rsidRDefault="008B16FE" w:rsidP="008B16FE">
      <w:pPr>
        <w:jc w:val="both"/>
        <w:rPr>
          <w:rFonts w:ascii="Verdana" w:hAnsi="Verdana"/>
          <w:sz w:val="18"/>
          <w:szCs w:val="18"/>
          <w:lang w:val="es-CR"/>
        </w:rPr>
      </w:pPr>
      <w:r>
        <w:rPr>
          <w:rFonts w:ascii="Verdana" w:hAnsi="Verdana"/>
          <w:sz w:val="18"/>
          <w:szCs w:val="18"/>
          <w:lang w:val="es-CR"/>
        </w:rPr>
        <w:t>[…]</w:t>
      </w:r>
    </w:p>
    <w:p w:rsidR="008B16FE" w:rsidRDefault="008B16FE" w:rsidP="008B16FE">
      <w:pPr>
        <w:jc w:val="both"/>
        <w:rPr>
          <w:rFonts w:ascii="Verdana" w:hAnsi="Verdana"/>
          <w:sz w:val="18"/>
          <w:szCs w:val="18"/>
          <w:lang w:val="es-CR"/>
        </w:rPr>
      </w:pPr>
    </w:p>
    <w:p w:rsidR="008B16FE" w:rsidRDefault="008B16FE" w:rsidP="008B16FE">
      <w:pPr>
        <w:jc w:val="both"/>
        <w:rPr>
          <w:rFonts w:ascii="Verdana" w:hAnsi="Verdana"/>
          <w:sz w:val="18"/>
          <w:szCs w:val="18"/>
          <w:lang w:val="es-CR"/>
        </w:rPr>
      </w:pPr>
      <w:r>
        <w:rPr>
          <w:rFonts w:ascii="Verdana" w:hAnsi="Verdana"/>
          <w:sz w:val="18"/>
          <w:szCs w:val="18"/>
          <w:lang w:val="es-CR"/>
        </w:rPr>
        <w:t>b) brindar gratuitamente tratamiento psicológico y psiquiátrico a través de las instituciones de salud que el propio Estado designe (punto resolutivo segundo de la Sentencia)</w:t>
      </w:r>
    </w:p>
    <w:p w:rsidR="008B16FE" w:rsidRPr="008B16FE" w:rsidRDefault="008B16FE" w:rsidP="008B16FE">
      <w:pPr>
        <w:jc w:val="both"/>
        <w:rPr>
          <w:rFonts w:ascii="Verdana" w:hAnsi="Verdana"/>
          <w:color w:val="000000" w:themeColor="text1"/>
          <w:sz w:val="20"/>
          <w:lang w:val="es-CR"/>
        </w:rPr>
      </w:pPr>
    </w:p>
    <w:p w:rsidR="0073192D" w:rsidRPr="0073192D" w:rsidRDefault="0073192D" w:rsidP="0073192D">
      <w:pPr>
        <w:rPr>
          <w:rFonts w:ascii="Verdana" w:hAnsi="Verdana"/>
          <w:b/>
          <w:sz w:val="20"/>
          <w:u w:val="single"/>
          <w:lang w:val="es-ES_tradnl"/>
        </w:rPr>
      </w:pPr>
    </w:p>
    <w:sectPr w:rsidR="0073192D" w:rsidRPr="0073192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F13" w:rsidRDefault="003A7F13" w:rsidP="0073192D">
      <w:r>
        <w:separator/>
      </w:r>
    </w:p>
  </w:endnote>
  <w:endnote w:type="continuationSeparator" w:id="0">
    <w:p w:rsidR="003A7F13" w:rsidRDefault="003A7F13" w:rsidP="00731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92D" w:rsidRPr="00F35356" w:rsidRDefault="0073192D" w:rsidP="0073192D">
    <w:pPr>
      <w:pStyle w:val="Footer"/>
      <w:jc w:val="both"/>
      <w:rPr>
        <w:lang w:val="es-MX"/>
      </w:rPr>
    </w:pPr>
    <w:r w:rsidRPr="00911C21">
      <w:rPr>
        <w:rFonts w:ascii="Verdana" w:hAnsi="Verdana"/>
        <w:bCs/>
        <w:sz w:val="16"/>
        <w:szCs w:val="16"/>
        <w:lang w:val="es-MX"/>
      </w:rPr>
      <w:t xml:space="preserve">La presente sistematización de información fue </w:t>
    </w:r>
    <w:r w:rsidR="009116AF">
      <w:rPr>
        <w:rFonts w:ascii="Verdana" w:hAnsi="Verdana"/>
        <w:bCs/>
        <w:sz w:val="16"/>
        <w:szCs w:val="16"/>
        <w:lang w:val="es-MX"/>
      </w:rPr>
      <w:t>realizada</w:t>
    </w:r>
    <w:r w:rsidRPr="00911C21">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r>
      <w:rPr>
        <w:rFonts w:ascii="Verdana" w:hAnsi="Verdana"/>
        <w:bCs/>
        <w:sz w:val="16"/>
        <w:szCs w:val="16"/>
        <w:lang w:val="es-MX"/>
      </w:rPr>
      <w:t>.</w:t>
    </w:r>
  </w:p>
  <w:p w:rsidR="0073192D" w:rsidRPr="0073192D" w:rsidRDefault="0073192D">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F13" w:rsidRDefault="003A7F13" w:rsidP="0073192D">
      <w:r>
        <w:separator/>
      </w:r>
    </w:p>
  </w:footnote>
  <w:footnote w:type="continuationSeparator" w:id="0">
    <w:p w:rsidR="003A7F13" w:rsidRDefault="003A7F13" w:rsidP="007319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897709"/>
      <w:docPartObj>
        <w:docPartGallery w:val="Page Numbers (Top of Page)"/>
        <w:docPartUnique/>
      </w:docPartObj>
    </w:sdtPr>
    <w:sdtEndPr/>
    <w:sdtContent>
      <w:p w:rsidR="005D6781" w:rsidRDefault="005D6781" w:rsidP="005D6781">
        <w:pPr>
          <w:pStyle w:val="Header"/>
          <w:jc w:val="right"/>
          <w:rPr>
            <w:rFonts w:ascii="Verdana" w:hAnsi="Verdana"/>
            <w:sz w:val="20"/>
          </w:rPr>
        </w:pPr>
        <w:r>
          <w:rPr>
            <w:rFonts w:ascii="Verdana" w:hAnsi="Verdana"/>
            <w:sz w:val="20"/>
          </w:rPr>
          <w:fldChar w:fldCharType="begin"/>
        </w:r>
        <w:r>
          <w:rPr>
            <w:rFonts w:ascii="Verdana" w:hAnsi="Verdana"/>
            <w:sz w:val="20"/>
          </w:rPr>
          <w:instrText xml:space="preserve"> PAGE   \* MERGEFORMAT </w:instrText>
        </w:r>
        <w:r>
          <w:rPr>
            <w:rFonts w:ascii="Verdana" w:hAnsi="Verdana"/>
            <w:sz w:val="20"/>
          </w:rPr>
          <w:fldChar w:fldCharType="separate"/>
        </w:r>
        <w:r w:rsidR="009005D1">
          <w:rPr>
            <w:rFonts w:ascii="Verdana" w:hAnsi="Verdana"/>
            <w:noProof/>
            <w:sz w:val="20"/>
          </w:rPr>
          <w:t>2</w:t>
        </w:r>
        <w:r>
          <w:rPr>
            <w:rFonts w:ascii="Verdana" w:hAnsi="Verdana"/>
            <w:noProof/>
            <w:sz w:val="20"/>
          </w:rPr>
          <w:fldChar w:fldCharType="end"/>
        </w:r>
      </w:p>
    </w:sdtContent>
  </w:sdt>
  <w:p w:rsidR="005D6781" w:rsidRDefault="005D67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16B1F"/>
    <w:multiLevelType w:val="hybridMultilevel"/>
    <w:tmpl w:val="5DFE3050"/>
    <w:lvl w:ilvl="0" w:tplc="B910367A">
      <w:start w:val="1"/>
      <w:numFmt w:val="decimal"/>
      <w:lvlText w:val="%1."/>
      <w:lvlJc w:val="left"/>
      <w:pPr>
        <w:ind w:left="720" w:hanging="360"/>
      </w:pPr>
      <w:rPr>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4C46383"/>
    <w:multiLevelType w:val="hybridMultilevel"/>
    <w:tmpl w:val="D5A6F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92D"/>
    <w:rsid w:val="003A7E5E"/>
    <w:rsid w:val="003A7F13"/>
    <w:rsid w:val="004C1C88"/>
    <w:rsid w:val="005D6781"/>
    <w:rsid w:val="00675551"/>
    <w:rsid w:val="0073192D"/>
    <w:rsid w:val="00751354"/>
    <w:rsid w:val="008B16FE"/>
    <w:rsid w:val="009005D1"/>
    <w:rsid w:val="009116AF"/>
    <w:rsid w:val="00943251"/>
    <w:rsid w:val="009832C0"/>
    <w:rsid w:val="00CD3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92D"/>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192D"/>
    <w:pPr>
      <w:tabs>
        <w:tab w:val="center" w:pos="4680"/>
        <w:tab w:val="right" w:pos="9360"/>
      </w:tabs>
    </w:pPr>
  </w:style>
  <w:style w:type="character" w:customStyle="1" w:styleId="HeaderChar">
    <w:name w:val="Header Char"/>
    <w:basedOn w:val="DefaultParagraphFont"/>
    <w:link w:val="Header"/>
    <w:uiPriority w:val="99"/>
    <w:rsid w:val="0073192D"/>
    <w:rPr>
      <w:rFonts w:ascii="Times" w:eastAsia="Times" w:hAnsi="Times" w:cs="Times New Roman"/>
      <w:sz w:val="24"/>
      <w:szCs w:val="20"/>
    </w:rPr>
  </w:style>
  <w:style w:type="paragraph" w:styleId="Footer">
    <w:name w:val="footer"/>
    <w:basedOn w:val="Normal"/>
    <w:link w:val="FooterChar"/>
    <w:uiPriority w:val="99"/>
    <w:unhideWhenUsed/>
    <w:rsid w:val="0073192D"/>
    <w:pPr>
      <w:tabs>
        <w:tab w:val="center" w:pos="4680"/>
        <w:tab w:val="right" w:pos="9360"/>
      </w:tabs>
    </w:pPr>
  </w:style>
  <w:style w:type="character" w:customStyle="1" w:styleId="FooterChar">
    <w:name w:val="Footer Char"/>
    <w:basedOn w:val="DefaultParagraphFont"/>
    <w:link w:val="Footer"/>
    <w:uiPriority w:val="99"/>
    <w:rsid w:val="0073192D"/>
    <w:rPr>
      <w:rFonts w:ascii="Times" w:eastAsia="Times" w:hAnsi="Times" w:cs="Times New Roman"/>
      <w:sz w:val="24"/>
      <w:szCs w:val="20"/>
    </w:rPr>
  </w:style>
  <w:style w:type="paragraph" w:styleId="ListParagraph">
    <w:name w:val="List Paragraph"/>
    <w:basedOn w:val="Normal"/>
    <w:uiPriority w:val="34"/>
    <w:qFormat/>
    <w:rsid w:val="007319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92D"/>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192D"/>
    <w:pPr>
      <w:tabs>
        <w:tab w:val="center" w:pos="4680"/>
        <w:tab w:val="right" w:pos="9360"/>
      </w:tabs>
    </w:pPr>
  </w:style>
  <w:style w:type="character" w:customStyle="1" w:styleId="HeaderChar">
    <w:name w:val="Header Char"/>
    <w:basedOn w:val="DefaultParagraphFont"/>
    <w:link w:val="Header"/>
    <w:uiPriority w:val="99"/>
    <w:rsid w:val="0073192D"/>
    <w:rPr>
      <w:rFonts w:ascii="Times" w:eastAsia="Times" w:hAnsi="Times" w:cs="Times New Roman"/>
      <w:sz w:val="24"/>
      <w:szCs w:val="20"/>
    </w:rPr>
  </w:style>
  <w:style w:type="paragraph" w:styleId="Footer">
    <w:name w:val="footer"/>
    <w:basedOn w:val="Normal"/>
    <w:link w:val="FooterChar"/>
    <w:uiPriority w:val="99"/>
    <w:unhideWhenUsed/>
    <w:rsid w:val="0073192D"/>
    <w:pPr>
      <w:tabs>
        <w:tab w:val="center" w:pos="4680"/>
        <w:tab w:val="right" w:pos="9360"/>
      </w:tabs>
    </w:pPr>
  </w:style>
  <w:style w:type="character" w:customStyle="1" w:styleId="FooterChar">
    <w:name w:val="Footer Char"/>
    <w:basedOn w:val="DefaultParagraphFont"/>
    <w:link w:val="Footer"/>
    <w:uiPriority w:val="99"/>
    <w:rsid w:val="0073192D"/>
    <w:rPr>
      <w:rFonts w:ascii="Times" w:eastAsia="Times" w:hAnsi="Times" w:cs="Times New Roman"/>
      <w:sz w:val="24"/>
      <w:szCs w:val="20"/>
    </w:rPr>
  </w:style>
  <w:style w:type="paragraph" w:styleId="ListParagraph">
    <w:name w:val="List Paragraph"/>
    <w:basedOn w:val="Normal"/>
    <w:uiPriority w:val="34"/>
    <w:qFormat/>
    <w:rsid w:val="007319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088561">
      <w:bodyDiv w:val="1"/>
      <w:marLeft w:val="0"/>
      <w:marRight w:val="0"/>
      <w:marTop w:val="0"/>
      <w:marBottom w:val="0"/>
      <w:divBdr>
        <w:top w:val="none" w:sz="0" w:space="0" w:color="auto"/>
        <w:left w:val="none" w:sz="0" w:space="0" w:color="auto"/>
        <w:bottom w:val="none" w:sz="0" w:space="0" w:color="auto"/>
        <w:right w:val="none" w:sz="0" w:space="0" w:color="auto"/>
      </w:divBdr>
    </w:div>
    <w:div w:id="205076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Corte IDH</cp:lastModifiedBy>
  <cp:revision>3</cp:revision>
  <cp:lastPrinted>2018-10-04T21:31:00Z</cp:lastPrinted>
  <dcterms:created xsi:type="dcterms:W3CDTF">2018-10-04T21:29:00Z</dcterms:created>
  <dcterms:modified xsi:type="dcterms:W3CDTF">2018-10-04T21:31:00Z</dcterms:modified>
</cp:coreProperties>
</file>