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526D3" w14:textId="77777777" w:rsidR="006E7F48" w:rsidRPr="00C821B1" w:rsidRDefault="0045380A" w:rsidP="008727FE">
      <w:pPr>
        <w:ind w:left="20" w:right="4"/>
        <w:jc w:val="center"/>
      </w:pPr>
      <w:bookmarkStart w:id="0" w:name="_GoBack"/>
      <w:bookmarkEnd w:id="0"/>
      <w:r w:rsidRPr="004E3668">
        <w:rPr>
          <w:rFonts w:ascii="Verdana" w:hAnsi="Verdana"/>
          <w:b/>
          <w:sz w:val="20"/>
          <w:u w:val="single"/>
        </w:rPr>
        <w:t xml:space="preserve">Caso </w:t>
      </w:r>
      <w:r w:rsidR="00193D0F">
        <w:rPr>
          <w:rFonts w:ascii="Verdana" w:hAnsi="Verdana"/>
          <w:b/>
          <w:sz w:val="20"/>
          <w:u w:val="single"/>
        </w:rPr>
        <w:t>Isaza Uribe</w:t>
      </w:r>
      <w:r w:rsidRPr="004E3668">
        <w:rPr>
          <w:rFonts w:ascii="Verdana" w:hAnsi="Verdana"/>
          <w:b/>
          <w:sz w:val="20"/>
          <w:u w:val="single"/>
        </w:rPr>
        <w:t xml:space="preserve"> </w:t>
      </w:r>
      <w:r w:rsidR="00227E56">
        <w:rPr>
          <w:rFonts w:ascii="Verdana" w:hAnsi="Verdana"/>
          <w:b/>
          <w:sz w:val="20"/>
          <w:u w:val="single"/>
        </w:rPr>
        <w:t xml:space="preserve">y otros </w:t>
      </w:r>
      <w:r w:rsidRPr="004E3668">
        <w:rPr>
          <w:rFonts w:ascii="Verdana" w:hAnsi="Verdana"/>
          <w:b/>
          <w:i/>
          <w:sz w:val="20"/>
          <w:u w:val="single"/>
        </w:rPr>
        <w:t>Vs.</w:t>
      </w:r>
      <w:r w:rsidRPr="004E3668">
        <w:rPr>
          <w:rFonts w:ascii="Verdana" w:hAnsi="Verdana"/>
          <w:b/>
          <w:sz w:val="20"/>
          <w:u w:val="single"/>
        </w:rPr>
        <w:t xml:space="preserve"> Colombia: </w:t>
      </w:r>
      <w:r w:rsidR="00284850">
        <w:rPr>
          <w:rFonts w:ascii="Verdana" w:hAnsi="Verdana"/>
          <w:b/>
          <w:sz w:val="20"/>
          <w:u w:val="single"/>
        </w:rPr>
        <w:t xml:space="preserve">reparaciones </w:t>
      </w:r>
      <w:r w:rsidR="003321E6">
        <w:rPr>
          <w:rFonts w:ascii="Verdana" w:hAnsi="Verdana"/>
          <w:b/>
          <w:sz w:val="20"/>
          <w:u w:val="single"/>
        </w:rPr>
        <w:t>declaradas cumplidas</w:t>
      </w:r>
    </w:p>
    <w:p w14:paraId="2AEF3961" w14:textId="77777777" w:rsidR="0045380A" w:rsidRPr="00C821B1" w:rsidRDefault="0045380A"/>
    <w:p w14:paraId="36791814" w14:textId="77777777" w:rsidR="00C821B1" w:rsidRPr="00C821B1" w:rsidRDefault="00C821B1" w:rsidP="00C821B1">
      <w:pPr>
        <w:tabs>
          <w:tab w:val="left" w:pos="0"/>
          <w:tab w:val="left" w:pos="567"/>
        </w:tabs>
        <w:spacing w:line="276" w:lineRule="auto"/>
        <w:ind w:right="-144"/>
        <w:jc w:val="both"/>
        <w:rPr>
          <w:rFonts w:ascii="Verdana" w:hAnsi="Verdana" w:cstheme="minorBidi"/>
          <w:sz w:val="20"/>
          <w:szCs w:val="20"/>
        </w:rPr>
      </w:pPr>
    </w:p>
    <w:p w14:paraId="5E9D88F0" w14:textId="77777777" w:rsidR="00A92534" w:rsidRPr="00A92534" w:rsidRDefault="00A92534" w:rsidP="00A92534">
      <w:pPr>
        <w:pStyle w:val="Prrafodelista"/>
        <w:numPr>
          <w:ilvl w:val="0"/>
          <w:numId w:val="3"/>
        </w:numPr>
        <w:rPr>
          <w:rFonts w:ascii="Verdana" w:hAnsi="Verdana"/>
          <w:sz w:val="20"/>
          <w:szCs w:val="20"/>
        </w:rPr>
      </w:pPr>
      <w:r w:rsidRPr="00A92534">
        <w:rPr>
          <w:rFonts w:ascii="Verdana" w:hAnsi="Verdana"/>
          <w:sz w:val="20"/>
          <w:szCs w:val="20"/>
        </w:rPr>
        <w:t xml:space="preserve">Reintegrar al Fondo de Asistencia Legal la cantidad fijada en el párrafo 213 de la Sentencia, en los términos de los párrafos 214 a 219 del presente Fallo. </w:t>
      </w:r>
    </w:p>
    <w:p w14:paraId="5C9B3893" w14:textId="77777777" w:rsidR="00891F74" w:rsidRPr="00891F74" w:rsidRDefault="00891F74" w:rsidP="00891F74">
      <w:pPr>
        <w:tabs>
          <w:tab w:val="left" w:pos="0"/>
          <w:tab w:val="left" w:pos="567"/>
        </w:tabs>
        <w:spacing w:line="276" w:lineRule="auto"/>
        <w:ind w:left="567" w:right="-144" w:hanging="567"/>
        <w:jc w:val="both"/>
        <w:rPr>
          <w:rFonts w:ascii="Verdana" w:hAnsi="Verdana"/>
          <w:sz w:val="20"/>
          <w:szCs w:val="20"/>
        </w:rPr>
      </w:pPr>
    </w:p>
    <w:p w14:paraId="49D653FE" w14:textId="77777777" w:rsidR="00891F74" w:rsidRDefault="00A92534" w:rsidP="00891F74">
      <w:pPr>
        <w:pStyle w:val="Prrafodelista"/>
        <w:tabs>
          <w:tab w:val="left" w:pos="0"/>
          <w:tab w:val="left" w:pos="567"/>
        </w:tabs>
        <w:spacing w:line="276" w:lineRule="auto"/>
        <w:ind w:left="567" w:right="-144"/>
        <w:jc w:val="both"/>
        <w:rPr>
          <w:rFonts w:ascii="Verdana" w:hAnsi="Verdana"/>
          <w:b/>
          <w:sz w:val="20"/>
          <w:szCs w:val="20"/>
          <w:u w:val="single"/>
        </w:rPr>
      </w:pPr>
      <w:r>
        <w:rPr>
          <w:rFonts w:ascii="Verdana" w:hAnsi="Verdana"/>
          <w:b/>
          <w:sz w:val="20"/>
          <w:szCs w:val="20"/>
          <w:u w:val="single"/>
        </w:rPr>
        <w:t>Cumplimiento parcial:</w:t>
      </w:r>
    </w:p>
    <w:p w14:paraId="3E610307" w14:textId="77777777" w:rsidR="00A92534" w:rsidRDefault="00A92534" w:rsidP="00A92534">
      <w:pPr>
        <w:tabs>
          <w:tab w:val="left" w:pos="0"/>
          <w:tab w:val="left" w:pos="567"/>
        </w:tabs>
        <w:spacing w:line="276" w:lineRule="auto"/>
        <w:ind w:right="-144"/>
        <w:jc w:val="both"/>
        <w:rPr>
          <w:rFonts w:ascii="Verdana" w:hAnsi="Verdana"/>
          <w:sz w:val="20"/>
          <w:szCs w:val="20"/>
        </w:rPr>
      </w:pPr>
    </w:p>
    <w:p w14:paraId="2ABDEF86" w14:textId="77777777" w:rsidR="00A92534" w:rsidRDefault="00A92534" w:rsidP="00A92534">
      <w:pPr>
        <w:pStyle w:val="Prrafodelista"/>
        <w:numPr>
          <w:ilvl w:val="0"/>
          <w:numId w:val="3"/>
        </w:numPr>
        <w:tabs>
          <w:tab w:val="left" w:pos="0"/>
          <w:tab w:val="left" w:pos="567"/>
        </w:tabs>
        <w:spacing w:line="276" w:lineRule="auto"/>
        <w:ind w:right="-144" w:hanging="294"/>
        <w:jc w:val="both"/>
        <w:rPr>
          <w:rFonts w:ascii="Verdana" w:hAnsi="Verdana"/>
          <w:sz w:val="20"/>
          <w:szCs w:val="20"/>
        </w:rPr>
      </w:pPr>
      <w:r w:rsidRPr="00A92534">
        <w:rPr>
          <w:rFonts w:ascii="Verdana" w:hAnsi="Verdana"/>
          <w:sz w:val="20"/>
          <w:szCs w:val="20"/>
        </w:rPr>
        <w:t>Realizar las publicaciones que se indican en el párrafo 188 del presente Fallo, en los términos de ese mismo párrafo.</w:t>
      </w:r>
    </w:p>
    <w:p w14:paraId="539AA233" w14:textId="77777777" w:rsidR="00A92534" w:rsidRDefault="00A92534" w:rsidP="00A92534">
      <w:pPr>
        <w:tabs>
          <w:tab w:val="left" w:pos="0"/>
          <w:tab w:val="left" w:pos="567"/>
        </w:tabs>
        <w:spacing w:line="276" w:lineRule="auto"/>
        <w:ind w:right="-144"/>
        <w:jc w:val="both"/>
        <w:rPr>
          <w:rFonts w:ascii="Verdana" w:hAnsi="Verdana"/>
          <w:sz w:val="20"/>
          <w:szCs w:val="20"/>
        </w:rPr>
      </w:pPr>
    </w:p>
    <w:p w14:paraId="6E4D530B" w14:textId="77777777" w:rsidR="00A92534" w:rsidRPr="00A92534" w:rsidRDefault="00A92534" w:rsidP="00A92534">
      <w:pPr>
        <w:jc w:val="both"/>
        <w:rPr>
          <w:rFonts w:ascii="Verdana" w:hAnsi="Verdana"/>
          <w:sz w:val="20"/>
          <w:szCs w:val="20"/>
          <w:lang w:val="es-MX"/>
        </w:rPr>
      </w:pPr>
      <w:r>
        <w:rPr>
          <w:rFonts w:ascii="Verdana" w:hAnsi="Verdana"/>
          <w:sz w:val="20"/>
          <w:szCs w:val="20"/>
          <w:lang w:val="es-MX"/>
        </w:rPr>
        <w:t>En los Considerandos 5 y 6 de la Resolución de 22 de noviembre de 2019 la Corte dispuso lo siguiente:</w:t>
      </w:r>
    </w:p>
    <w:p w14:paraId="2777C901" w14:textId="77777777" w:rsidR="00A92534" w:rsidRDefault="00A92534" w:rsidP="00A92534">
      <w:pPr>
        <w:tabs>
          <w:tab w:val="left" w:pos="0"/>
          <w:tab w:val="left" w:pos="567"/>
        </w:tabs>
        <w:spacing w:line="276" w:lineRule="auto"/>
        <w:ind w:right="-144"/>
        <w:jc w:val="both"/>
        <w:rPr>
          <w:rFonts w:ascii="Verdana" w:hAnsi="Verdana"/>
          <w:sz w:val="20"/>
          <w:szCs w:val="20"/>
        </w:rPr>
      </w:pPr>
    </w:p>
    <w:p w14:paraId="3966F684" w14:textId="77777777" w:rsidR="00A92534" w:rsidRPr="00A92534" w:rsidRDefault="00A92534" w:rsidP="00A92534">
      <w:pPr>
        <w:tabs>
          <w:tab w:val="left" w:pos="0"/>
          <w:tab w:val="left" w:pos="567"/>
        </w:tabs>
        <w:spacing w:line="276" w:lineRule="auto"/>
        <w:ind w:left="426" w:right="-144"/>
        <w:jc w:val="both"/>
        <w:rPr>
          <w:rFonts w:ascii="Verdana" w:hAnsi="Verdana"/>
          <w:sz w:val="18"/>
          <w:szCs w:val="20"/>
        </w:rPr>
      </w:pPr>
      <w:r w:rsidRPr="00A92534">
        <w:rPr>
          <w:rFonts w:ascii="Verdana" w:hAnsi="Verdana"/>
          <w:sz w:val="18"/>
          <w:szCs w:val="20"/>
        </w:rPr>
        <w:t xml:space="preserve">5. La Corte ha constatado, con base en el comprobante aportado por el Estado, que Colombia cumplió, dentro del plazo establecido en el Fallo, con publicar el resumen oficial de la Sentencia en el Diario Oficial. Por su parte, los representantes de </w:t>
      </w:r>
      <w:proofErr w:type="gramStart"/>
      <w:r w:rsidRPr="00A92534">
        <w:rPr>
          <w:rFonts w:ascii="Verdana" w:hAnsi="Verdana"/>
          <w:sz w:val="18"/>
          <w:szCs w:val="20"/>
        </w:rPr>
        <w:t>la víctimas</w:t>
      </w:r>
      <w:proofErr w:type="gramEnd"/>
      <w:r w:rsidRPr="00A92534">
        <w:rPr>
          <w:rFonts w:ascii="Verdana" w:hAnsi="Verdana"/>
          <w:sz w:val="18"/>
          <w:szCs w:val="20"/>
        </w:rPr>
        <w:t xml:space="preserve"> señalaron que si bien la referida publicación se “</w:t>
      </w:r>
      <w:proofErr w:type="spellStart"/>
      <w:r w:rsidRPr="00A92534">
        <w:rPr>
          <w:rFonts w:ascii="Verdana" w:hAnsi="Verdana"/>
          <w:sz w:val="18"/>
          <w:szCs w:val="20"/>
        </w:rPr>
        <w:t>realiz</w:t>
      </w:r>
      <w:proofErr w:type="spellEnd"/>
      <w:r w:rsidRPr="00A92534">
        <w:rPr>
          <w:rFonts w:ascii="Verdana" w:hAnsi="Verdana"/>
          <w:sz w:val="18"/>
          <w:szCs w:val="20"/>
        </w:rPr>
        <w:t>[</w:t>
      </w:r>
      <w:proofErr w:type="spellStart"/>
      <w:r w:rsidRPr="00A92534">
        <w:rPr>
          <w:rFonts w:ascii="Verdana" w:hAnsi="Verdana"/>
          <w:sz w:val="18"/>
          <w:szCs w:val="20"/>
        </w:rPr>
        <w:t>ó</w:t>
      </w:r>
      <w:proofErr w:type="spellEnd"/>
      <w:r w:rsidRPr="00A92534">
        <w:rPr>
          <w:rFonts w:ascii="Verdana" w:hAnsi="Verdana"/>
          <w:sz w:val="18"/>
          <w:szCs w:val="20"/>
        </w:rPr>
        <w:t>] en los términos ordenados” en la Sentencia, la medida “p[</w:t>
      </w:r>
      <w:proofErr w:type="spellStart"/>
      <w:r w:rsidRPr="00A92534">
        <w:rPr>
          <w:rFonts w:ascii="Verdana" w:hAnsi="Verdana"/>
          <w:sz w:val="18"/>
          <w:szCs w:val="20"/>
        </w:rPr>
        <w:t>erdió</w:t>
      </w:r>
      <w:proofErr w:type="spellEnd"/>
      <w:r w:rsidRPr="00A92534">
        <w:rPr>
          <w:rFonts w:ascii="Verdana" w:hAnsi="Verdana"/>
          <w:sz w:val="18"/>
          <w:szCs w:val="20"/>
        </w:rPr>
        <w:t>] su eficacia […] al no ser informada, oportunamente, a los familiares de las víctimas y sus representantes”. Al respecto, esta Corte coincide con los representantes en cuanto a la importancia de que las víctimas se encuentren informadas de la publicación con inmediatez para que puedan tener acceso a la misma en la época en que se efectúa. Sin embargo, al evaluar el cumplimiento de la publicación, la Corte debe tomar en cuenta que la Sentencia no dispuso que el Estado debiera informar a los representantes antes de realizarla.</w:t>
      </w:r>
    </w:p>
    <w:p w14:paraId="3E0C06E9" w14:textId="77777777" w:rsidR="00A92534" w:rsidRPr="00A92534" w:rsidRDefault="00A92534" w:rsidP="00A92534">
      <w:pPr>
        <w:tabs>
          <w:tab w:val="left" w:pos="0"/>
          <w:tab w:val="left" w:pos="567"/>
        </w:tabs>
        <w:spacing w:line="276" w:lineRule="auto"/>
        <w:ind w:left="426" w:right="-144"/>
        <w:jc w:val="both"/>
        <w:rPr>
          <w:rFonts w:ascii="Verdana" w:hAnsi="Verdana"/>
          <w:sz w:val="18"/>
          <w:szCs w:val="20"/>
        </w:rPr>
      </w:pPr>
    </w:p>
    <w:p w14:paraId="6E71F421" w14:textId="77777777" w:rsidR="00A92534" w:rsidRPr="00A92534" w:rsidRDefault="00A92534" w:rsidP="00A92534">
      <w:pPr>
        <w:tabs>
          <w:tab w:val="left" w:pos="0"/>
          <w:tab w:val="left" w:pos="567"/>
        </w:tabs>
        <w:spacing w:line="276" w:lineRule="auto"/>
        <w:ind w:left="426" w:right="-144"/>
        <w:jc w:val="both"/>
        <w:rPr>
          <w:rFonts w:ascii="Verdana" w:hAnsi="Verdana"/>
          <w:sz w:val="18"/>
          <w:szCs w:val="20"/>
        </w:rPr>
      </w:pPr>
      <w:r w:rsidRPr="00A92534">
        <w:rPr>
          <w:rFonts w:ascii="Verdana" w:hAnsi="Verdana"/>
          <w:sz w:val="18"/>
          <w:szCs w:val="20"/>
        </w:rPr>
        <w:t>6. En virtud de lo anterior, el Tribunal considera que Colombia ha dado cumplimiento parcial a las medidas ordenadas en el punto resolutivo décimo tercero de la Sentencia, ya que cumplió con la medida de publicación y difusión del resumen oficial de la Sentencia en el diario oficial, quedando pendiente de cumplimiento la publicación del resumen oficial de la Sentencia en un diario de amplia circulación nacional, así como la publicación del texto íntegro de la Sentencia en un sitio web oficial.</w:t>
      </w:r>
    </w:p>
    <w:sectPr w:rsidR="00A92534" w:rsidRPr="00A9253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4018F" w14:textId="77777777" w:rsidR="00682C62" w:rsidRDefault="00682C62" w:rsidP="0045380A">
      <w:r>
        <w:separator/>
      </w:r>
    </w:p>
  </w:endnote>
  <w:endnote w:type="continuationSeparator" w:id="0">
    <w:p w14:paraId="15553C2F" w14:textId="77777777" w:rsidR="00682C62" w:rsidRDefault="00682C62" w:rsidP="0045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0A09" w14:textId="77777777" w:rsidR="0045380A" w:rsidRPr="00F35356" w:rsidRDefault="0045380A" w:rsidP="0045380A">
    <w:pPr>
      <w:pStyle w:val="Piedepgina"/>
      <w:jc w:val="both"/>
      <w:rPr>
        <w:lang w:val="es-MX"/>
      </w:rPr>
    </w:pPr>
    <w:r w:rsidRPr="00911C21">
      <w:rPr>
        <w:rFonts w:ascii="Verdana" w:hAnsi="Verdana"/>
        <w:bCs/>
        <w:sz w:val="16"/>
        <w:szCs w:val="16"/>
        <w:lang w:val="es-MX"/>
      </w:rPr>
      <w:t xml:space="preserve">La presente sistematización de información fue </w:t>
    </w:r>
    <w:r w:rsidR="005E5811">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9BFB290" w14:textId="77777777" w:rsidR="0045380A" w:rsidRPr="0045380A" w:rsidRDefault="0045380A">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F8DE0" w14:textId="77777777" w:rsidR="00682C62" w:rsidRDefault="00682C62" w:rsidP="0045380A">
      <w:r>
        <w:separator/>
      </w:r>
    </w:p>
  </w:footnote>
  <w:footnote w:type="continuationSeparator" w:id="0">
    <w:p w14:paraId="789ABC7B" w14:textId="77777777" w:rsidR="00682C62" w:rsidRDefault="00682C62" w:rsidP="0045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897709"/>
      <w:docPartObj>
        <w:docPartGallery w:val="Page Numbers (Top of Page)"/>
        <w:docPartUnique/>
      </w:docPartObj>
    </w:sdtPr>
    <w:sdtEndPr>
      <w:rPr>
        <w:rFonts w:ascii="Verdana" w:hAnsi="Verdana"/>
        <w:noProof/>
        <w:sz w:val="20"/>
        <w:szCs w:val="20"/>
      </w:rPr>
    </w:sdtEndPr>
    <w:sdtContent>
      <w:p w14:paraId="54604ADD" w14:textId="77777777" w:rsidR="006F3728" w:rsidRPr="00675FE7" w:rsidRDefault="006F3728" w:rsidP="006F3728">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227E56">
          <w:rPr>
            <w:rFonts w:ascii="Verdana" w:hAnsi="Verdana"/>
            <w:noProof/>
            <w:sz w:val="20"/>
            <w:szCs w:val="20"/>
          </w:rPr>
          <w:t>1</w:t>
        </w:r>
        <w:r w:rsidRPr="00675FE7">
          <w:rPr>
            <w:rFonts w:ascii="Verdana" w:hAnsi="Verdana"/>
            <w:noProof/>
            <w:sz w:val="20"/>
            <w:szCs w:val="20"/>
          </w:rPr>
          <w:fldChar w:fldCharType="end"/>
        </w:r>
      </w:p>
    </w:sdtContent>
  </w:sdt>
  <w:p w14:paraId="0D24DD0D" w14:textId="77777777" w:rsidR="006F3728" w:rsidRDefault="006F37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42916"/>
    <w:multiLevelType w:val="hybridMultilevel"/>
    <w:tmpl w:val="A8925FF4"/>
    <w:lvl w:ilvl="0" w:tplc="AFB06BBC">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4CEF2CA5"/>
    <w:multiLevelType w:val="hybridMultilevel"/>
    <w:tmpl w:val="FDEC0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7D511C"/>
    <w:multiLevelType w:val="hybridMultilevel"/>
    <w:tmpl w:val="9A7C1536"/>
    <w:lvl w:ilvl="0" w:tplc="1FDCBAE8">
      <w:start w:val="1"/>
      <w:numFmt w:val="decimal"/>
      <w:lvlText w:val="%1."/>
      <w:lvlJc w:val="left"/>
      <w:pPr>
        <w:ind w:left="360" w:hanging="360"/>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0A"/>
    <w:rsid w:val="00193D0F"/>
    <w:rsid w:val="00227E56"/>
    <w:rsid w:val="00284850"/>
    <w:rsid w:val="003321E6"/>
    <w:rsid w:val="003A7E5E"/>
    <w:rsid w:val="0045380A"/>
    <w:rsid w:val="005E5811"/>
    <w:rsid w:val="005F6577"/>
    <w:rsid w:val="00682C62"/>
    <w:rsid w:val="006E535D"/>
    <w:rsid w:val="006F3728"/>
    <w:rsid w:val="008076C0"/>
    <w:rsid w:val="008727FE"/>
    <w:rsid w:val="00891F74"/>
    <w:rsid w:val="00900457"/>
    <w:rsid w:val="009832C0"/>
    <w:rsid w:val="00A92534"/>
    <w:rsid w:val="00C8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B987"/>
  <w15:docId w15:val="{F5121404-621A-45F7-B832-47085AD7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80A"/>
    <w:pPr>
      <w:spacing w:after="0" w:line="240" w:lineRule="auto"/>
    </w:pPr>
    <w:rPr>
      <w:rFonts w:ascii="Times New Roman" w:eastAsia="Times New Roman" w:hAnsi="Times New Roman" w:cs="Times New Roman"/>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380A"/>
    <w:pPr>
      <w:tabs>
        <w:tab w:val="center" w:pos="4680"/>
        <w:tab w:val="right" w:pos="9360"/>
      </w:tabs>
    </w:pPr>
  </w:style>
  <w:style w:type="character" w:customStyle="1" w:styleId="EncabezadoCar">
    <w:name w:val="Encabezado Car"/>
    <w:basedOn w:val="Fuentedeprrafopredeter"/>
    <w:link w:val="Encabezado"/>
    <w:uiPriority w:val="99"/>
    <w:rsid w:val="0045380A"/>
    <w:rPr>
      <w:rFonts w:ascii="Times New Roman" w:eastAsia="Times New Roman" w:hAnsi="Times New Roman" w:cs="Times New Roman"/>
      <w:sz w:val="24"/>
      <w:szCs w:val="24"/>
      <w:lang w:val="es-CR" w:eastAsia="es-ES"/>
    </w:rPr>
  </w:style>
  <w:style w:type="paragraph" w:styleId="Piedepgina">
    <w:name w:val="footer"/>
    <w:basedOn w:val="Normal"/>
    <w:link w:val="PiedepginaCar"/>
    <w:uiPriority w:val="99"/>
    <w:unhideWhenUsed/>
    <w:rsid w:val="0045380A"/>
    <w:pPr>
      <w:tabs>
        <w:tab w:val="center" w:pos="4680"/>
        <w:tab w:val="right" w:pos="9360"/>
      </w:tabs>
    </w:pPr>
  </w:style>
  <w:style w:type="character" w:customStyle="1" w:styleId="PiedepginaCar">
    <w:name w:val="Pie de página Car"/>
    <w:basedOn w:val="Fuentedeprrafopredeter"/>
    <w:link w:val="Piedepgina"/>
    <w:uiPriority w:val="99"/>
    <w:rsid w:val="0045380A"/>
    <w:rPr>
      <w:rFonts w:ascii="Times New Roman" w:eastAsia="Times New Roman" w:hAnsi="Times New Roman" w:cs="Times New Roman"/>
      <w:sz w:val="24"/>
      <w:szCs w:val="24"/>
      <w:lang w:val="es-CR" w:eastAsia="es-ES"/>
    </w:rPr>
  </w:style>
  <w:style w:type="paragraph" w:styleId="Prrafodelista">
    <w:name w:val="List Paragraph"/>
    <w:basedOn w:val="Normal"/>
    <w:uiPriority w:val="34"/>
    <w:qFormat/>
    <w:rsid w:val="00453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1601</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dcterms:created xsi:type="dcterms:W3CDTF">2020-01-13T16:40:00Z</dcterms:created>
  <dcterms:modified xsi:type="dcterms:W3CDTF">2020-01-13T16:40:00Z</dcterms:modified>
</cp:coreProperties>
</file>