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8F" w:rsidRPr="00CA648F" w:rsidRDefault="00CA648F" w:rsidP="00CA648F">
      <w:pPr>
        <w:jc w:val="center"/>
        <w:rPr>
          <w:b/>
          <w:u w:val="single"/>
        </w:rPr>
      </w:pPr>
      <w:bookmarkStart w:id="0" w:name="_GoBack"/>
      <w:bookmarkEnd w:id="0"/>
      <w:r w:rsidRPr="00CA648F">
        <w:rPr>
          <w:b/>
          <w:u w:val="single"/>
        </w:rPr>
        <w:t xml:space="preserve">Caso de la “Masacre de </w:t>
      </w:r>
      <w:proofErr w:type="spellStart"/>
      <w:r w:rsidRPr="00CA648F">
        <w:rPr>
          <w:b/>
          <w:u w:val="single"/>
        </w:rPr>
        <w:t>Mapirián</w:t>
      </w:r>
      <w:proofErr w:type="spellEnd"/>
      <w:r w:rsidRPr="00CA648F">
        <w:rPr>
          <w:b/>
          <w:u w:val="single"/>
        </w:rPr>
        <w:t xml:space="preserve">” </w:t>
      </w:r>
      <w:r w:rsidRPr="00CA648F">
        <w:rPr>
          <w:b/>
          <w:i/>
          <w:u w:val="single"/>
        </w:rPr>
        <w:t>Vs.</w:t>
      </w:r>
      <w:r w:rsidRPr="00CA648F">
        <w:rPr>
          <w:b/>
          <w:u w:val="single"/>
        </w:rPr>
        <w:t xml:space="preserve"> Colombia: reparaciones declaradas cumplidas</w:t>
      </w:r>
    </w:p>
    <w:p w:rsidR="00CA648F" w:rsidRDefault="00CA648F" w:rsidP="00CA648F">
      <w:pPr>
        <w:rPr>
          <w:b/>
          <w:u w:val="single"/>
        </w:rPr>
      </w:pPr>
    </w:p>
    <w:p w:rsidR="00CA648F" w:rsidRDefault="00CA648F" w:rsidP="00CA648F">
      <w:pPr>
        <w:rPr>
          <w:b/>
          <w:u w:val="single"/>
        </w:rPr>
      </w:pPr>
    </w:p>
    <w:p w:rsidR="00CA648F" w:rsidRPr="00CA648F" w:rsidRDefault="00CA648F" w:rsidP="00CA648F">
      <w:pPr>
        <w:pStyle w:val="BodyText"/>
        <w:numPr>
          <w:ilvl w:val="0"/>
          <w:numId w:val="1"/>
        </w:numPr>
        <w:spacing w:before="120" w:line="240" w:lineRule="auto"/>
        <w:ind w:left="360"/>
      </w:pPr>
      <w:r>
        <w:t>D</w:t>
      </w:r>
      <w:r w:rsidRPr="00CA648F">
        <w:t>esignar, dentro del plazo de seis meses, contado a partir de la notificación de esta Sentencia, un mecanismo oficial que operará durante dos años, en el cual tengan participación las víctimas del presente caso o los representantes que ellas designen, para cumplir con las funciones señaladas en el párrafo 311 de esta Sentencia.</w:t>
      </w:r>
    </w:p>
    <w:p w:rsidR="00CA648F" w:rsidRPr="00CA648F" w:rsidRDefault="00CA648F" w:rsidP="00CA648F">
      <w:pPr>
        <w:pStyle w:val="BodyText"/>
        <w:spacing w:before="120" w:line="240" w:lineRule="auto"/>
        <w:ind w:left="360" w:hanging="360"/>
      </w:pPr>
    </w:p>
    <w:p w:rsidR="00CA648F" w:rsidRPr="00CA648F" w:rsidRDefault="00CA648F" w:rsidP="00CA648F">
      <w:pPr>
        <w:pStyle w:val="BodyText"/>
        <w:numPr>
          <w:ilvl w:val="0"/>
          <w:numId w:val="1"/>
        </w:numPr>
        <w:spacing w:before="120" w:line="240" w:lineRule="auto"/>
        <w:ind w:left="360"/>
      </w:pPr>
      <w:r>
        <w:t>I</w:t>
      </w:r>
      <w:r w:rsidRPr="00CA648F">
        <w:t>mplementar, en un plazo razonable, programas de educación en derechos humanos y Derecho Internacional Humanitario permanentes dentro de las fuerzas armadas colombianas, en todos los niveles jerárquicos, en los términos de los párrafos 316 y 317 de esta Sentencia.</w:t>
      </w:r>
    </w:p>
    <w:p w:rsidR="00CA648F" w:rsidRPr="00CA648F" w:rsidRDefault="00CA648F" w:rsidP="00CA648F">
      <w:pPr>
        <w:pStyle w:val="ListParagraph"/>
        <w:ind w:left="360" w:hanging="360"/>
      </w:pPr>
    </w:p>
    <w:p w:rsidR="00CA648F" w:rsidRDefault="00CA648F" w:rsidP="00CA648F">
      <w:pPr>
        <w:pStyle w:val="BodyText"/>
        <w:numPr>
          <w:ilvl w:val="0"/>
          <w:numId w:val="1"/>
        </w:numPr>
        <w:spacing w:before="120" w:line="240" w:lineRule="auto"/>
        <w:ind w:left="360"/>
      </w:pPr>
      <w:r>
        <w:t>P</w:t>
      </w:r>
      <w:r w:rsidRPr="00CA648F">
        <w:t>ublicar, dentro del plazo de seis meses, contado a partir de la notificación de la presente Sentencia, por una vez, en el Diario Oficial y en otro diario de circulación nacional, la Sección de esta Sentencia denominada Hechos Probados, sin las notas al pie de página correspondientes, los párrafos 101 a 123 de la Sección denominada Responsabilidad Internacional del Estado,</w:t>
      </w:r>
      <w:r w:rsidRPr="00CA648F">
        <w:rPr>
          <w:b/>
        </w:rPr>
        <w:t xml:space="preserve"> </w:t>
      </w:r>
      <w:r w:rsidRPr="00CA648F">
        <w:t>así como la parte resolutiva de la misma, en los términos del párrafo 318 de esta Sentencia.</w:t>
      </w:r>
    </w:p>
    <w:p w:rsidR="00184BBC" w:rsidRDefault="00184BBC" w:rsidP="00184BBC">
      <w:pPr>
        <w:pStyle w:val="BodyText"/>
        <w:spacing w:before="120" w:line="240" w:lineRule="auto"/>
        <w:ind w:left="360"/>
      </w:pPr>
    </w:p>
    <w:p w:rsidR="00184BBC" w:rsidRPr="00184BBC" w:rsidRDefault="00184BBC" w:rsidP="00184BBC">
      <w:pPr>
        <w:pStyle w:val="BodyText"/>
        <w:spacing w:before="120" w:line="240" w:lineRule="auto"/>
        <w:rPr>
          <w:b/>
          <w:u w:val="single"/>
        </w:rPr>
      </w:pPr>
      <w:r w:rsidRPr="00184BBC">
        <w:rPr>
          <w:b/>
          <w:u w:val="single"/>
        </w:rPr>
        <w:t>Cumplimiento parcial:</w:t>
      </w:r>
    </w:p>
    <w:p w:rsidR="00CA648F" w:rsidRPr="00CA648F" w:rsidRDefault="00CA648F" w:rsidP="00CA648F">
      <w:pPr>
        <w:pStyle w:val="ListParagraph"/>
        <w:ind w:left="360" w:hanging="360"/>
      </w:pPr>
    </w:p>
    <w:p w:rsidR="00CA648F" w:rsidRPr="00CA648F" w:rsidRDefault="00CA648F" w:rsidP="00CA648F">
      <w:pPr>
        <w:pStyle w:val="BodyText"/>
        <w:numPr>
          <w:ilvl w:val="0"/>
          <w:numId w:val="1"/>
        </w:numPr>
        <w:spacing w:before="120" w:line="240" w:lineRule="auto"/>
        <w:ind w:left="360"/>
      </w:pPr>
      <w:r>
        <w:t>P</w:t>
      </w:r>
      <w:r w:rsidRPr="00CA648F">
        <w:t>agar las cantidades fijadas en el párrafo 274 y 278 de la presente Sentencia, a favor de familiares de las víctimas, por concepto de daño material, en los términos de los párrafos 257, 259, 260, 311, 326, 327, 329 a 333 de la misma.</w:t>
      </w:r>
    </w:p>
    <w:p w:rsidR="00CA648F" w:rsidRPr="00CA648F" w:rsidRDefault="00CA648F" w:rsidP="00CA648F">
      <w:pPr>
        <w:pStyle w:val="ListParagraph"/>
        <w:ind w:left="360" w:hanging="360"/>
      </w:pPr>
    </w:p>
    <w:p w:rsidR="00CA648F" w:rsidRPr="00CA648F" w:rsidRDefault="00CA648F" w:rsidP="00CA648F">
      <w:pPr>
        <w:pStyle w:val="BodyText"/>
        <w:numPr>
          <w:ilvl w:val="0"/>
          <w:numId w:val="1"/>
        </w:numPr>
        <w:spacing w:before="120" w:line="240" w:lineRule="auto"/>
        <w:ind w:left="360"/>
      </w:pPr>
      <w:r>
        <w:t>P</w:t>
      </w:r>
      <w:r w:rsidRPr="00CA648F">
        <w:t>agar las cantidades fijadas en los párrafos 288 y 290 de la presente Sentencia, a favor de los familiares de las víctimas, por concepto de daño inmaterial, en los términos de los párrafos 257, 259, 260, 289, 311, 326, 327, 329 a 333 de la misma.</w:t>
      </w:r>
    </w:p>
    <w:p w:rsidR="00CA648F" w:rsidRPr="00CA648F" w:rsidRDefault="00CA648F" w:rsidP="00CA648F">
      <w:pPr>
        <w:pStyle w:val="ListParagraph"/>
        <w:ind w:left="360" w:hanging="360"/>
      </w:pPr>
    </w:p>
    <w:p w:rsidR="00CA648F" w:rsidRDefault="00CA648F" w:rsidP="00CA648F">
      <w:pPr>
        <w:pStyle w:val="BodyText"/>
        <w:numPr>
          <w:ilvl w:val="0"/>
          <w:numId w:val="1"/>
        </w:numPr>
        <w:spacing w:before="120" w:line="240" w:lineRule="auto"/>
        <w:ind w:left="360"/>
      </w:pPr>
      <w:r>
        <w:t>P</w:t>
      </w:r>
      <w:r w:rsidRPr="00CA648F">
        <w:t>agar las cantidades fijadas en el párrafo 325 de la presente Sentencia, por concepto de costas y gastos, en los términos de los párrafos 326, 328 a 333 de la misma.</w:t>
      </w:r>
    </w:p>
    <w:p w:rsidR="00184BBC" w:rsidRDefault="00184BBC" w:rsidP="00184BBC">
      <w:pPr>
        <w:pStyle w:val="BodyText"/>
        <w:spacing w:before="120" w:line="240" w:lineRule="auto"/>
      </w:pPr>
    </w:p>
    <w:p w:rsidR="00184BBC" w:rsidRDefault="009441EC" w:rsidP="00184BBC">
      <w:pPr>
        <w:jc w:val="both"/>
        <w:rPr>
          <w:color w:val="000000" w:themeColor="text1"/>
        </w:rPr>
      </w:pPr>
      <w:r>
        <w:rPr>
          <w:lang w:val="es-CR"/>
        </w:rPr>
        <w:t>En el punto</w:t>
      </w:r>
      <w:r w:rsidR="00184BBC">
        <w:rPr>
          <w:lang w:val="es-CR"/>
        </w:rPr>
        <w:t xml:space="preserve"> declarativo 2 de la resolución de la Corte de 8 de julio de 2009 se explica el estado de cumplimiento respecto a esta medida de reparación:</w:t>
      </w:r>
    </w:p>
    <w:p w:rsidR="00184BBC" w:rsidRPr="00184BBC" w:rsidRDefault="00184BBC" w:rsidP="00184BBC">
      <w:pPr>
        <w:pStyle w:val="BodyText"/>
        <w:spacing w:before="120" w:line="240" w:lineRule="auto"/>
        <w:rPr>
          <w:sz w:val="18"/>
          <w:szCs w:val="18"/>
        </w:rPr>
      </w:pPr>
      <w:r w:rsidRPr="00184BBC">
        <w:rPr>
          <w:sz w:val="18"/>
          <w:szCs w:val="18"/>
        </w:rPr>
        <w:t xml:space="preserve">2. Que el Estado ha dado cumplimiento parcial al siguiente punto pendiente de acatamiento en el presente caso, a saber: </w:t>
      </w:r>
    </w:p>
    <w:p w:rsidR="00184BBC" w:rsidRPr="00184BBC" w:rsidRDefault="00184BBC" w:rsidP="00184BBC">
      <w:pPr>
        <w:pStyle w:val="BodyText"/>
        <w:spacing w:before="120" w:line="240" w:lineRule="auto"/>
        <w:rPr>
          <w:sz w:val="18"/>
          <w:szCs w:val="18"/>
        </w:rPr>
      </w:pPr>
      <w:r w:rsidRPr="00184BBC">
        <w:rPr>
          <w:sz w:val="18"/>
          <w:szCs w:val="18"/>
        </w:rPr>
        <w:t>a) pagar las cantidades establecidas en los párrafos 274, 278, 288, 290 y 325 de la Sentencia a favor de los familiares de las víctimas hasta el momento identificados, por concepto de daño material y daño inmaterial (puntos resolutivos decimoquinto, decimosexto y párrafos 257, 259, 260, 289, 311, 326, 327, 329 a 333 de la Sentencia), así como a los representantes de las víctimas por concepto de costas y gastos (punto resolutivo decimoséptimo y párrafos 326, 328 a 333 de la Sentencia).</w:t>
      </w:r>
    </w:p>
    <w:p w:rsidR="00CA648F" w:rsidRPr="00CA648F" w:rsidRDefault="00CA648F" w:rsidP="00CA648F">
      <w:pPr>
        <w:rPr>
          <w:b/>
          <w:u w:val="single"/>
        </w:rPr>
      </w:pPr>
    </w:p>
    <w:sectPr w:rsidR="00CA648F" w:rsidRPr="00CA64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26" w:rsidRDefault="001B0626" w:rsidP="00CA648F">
      <w:r>
        <w:separator/>
      </w:r>
    </w:p>
  </w:endnote>
  <w:endnote w:type="continuationSeparator" w:id="0">
    <w:p w:rsidR="001B0626" w:rsidRDefault="001B0626" w:rsidP="00CA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8F" w:rsidRPr="00F35356" w:rsidRDefault="00CA648F" w:rsidP="00CA648F">
    <w:pPr>
      <w:pStyle w:val="Footer"/>
      <w:jc w:val="both"/>
      <w:rPr>
        <w:lang w:val="es-MX"/>
      </w:rPr>
    </w:pPr>
    <w:r w:rsidRPr="00911C21">
      <w:rPr>
        <w:bCs/>
        <w:sz w:val="16"/>
        <w:szCs w:val="16"/>
        <w:lang w:val="es-MX"/>
      </w:rPr>
      <w:t xml:space="preserve">La presente sistematización de información fue </w:t>
    </w:r>
    <w:r w:rsidR="00FB246A">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bCs/>
        <w:sz w:val="16"/>
        <w:szCs w:val="16"/>
        <w:lang w:val="es-MX"/>
      </w:rPr>
      <w:t>.</w:t>
    </w:r>
  </w:p>
  <w:p w:rsidR="00CA648F" w:rsidRPr="00CA648F" w:rsidRDefault="00CA648F">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26" w:rsidRDefault="001B0626" w:rsidP="00CA648F">
      <w:r>
        <w:separator/>
      </w:r>
    </w:p>
  </w:footnote>
  <w:footnote w:type="continuationSeparator" w:id="0">
    <w:p w:rsidR="001B0626" w:rsidRDefault="001B0626" w:rsidP="00CA6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453EC3" w:rsidRDefault="00453EC3" w:rsidP="00453EC3">
        <w:pPr>
          <w:pStyle w:val="Header"/>
          <w:jc w:val="right"/>
          <w:rPr>
            <w:szCs w:val="20"/>
          </w:rPr>
        </w:pPr>
        <w:r>
          <w:rPr>
            <w:szCs w:val="20"/>
          </w:rPr>
          <w:fldChar w:fldCharType="begin"/>
        </w:r>
        <w:r>
          <w:rPr>
            <w:szCs w:val="20"/>
          </w:rPr>
          <w:instrText xml:space="preserve"> PAGE   \* MERGEFORMAT </w:instrText>
        </w:r>
        <w:r>
          <w:rPr>
            <w:szCs w:val="20"/>
          </w:rPr>
          <w:fldChar w:fldCharType="separate"/>
        </w:r>
        <w:r w:rsidR="00B75459">
          <w:rPr>
            <w:noProof/>
            <w:szCs w:val="20"/>
          </w:rPr>
          <w:t>1</w:t>
        </w:r>
        <w:r>
          <w:rPr>
            <w:noProof/>
            <w:szCs w:val="20"/>
          </w:rPr>
          <w:fldChar w:fldCharType="end"/>
        </w:r>
      </w:p>
    </w:sdtContent>
  </w:sdt>
  <w:p w:rsidR="00453EC3" w:rsidRDefault="00453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8745C"/>
    <w:multiLevelType w:val="hybridMultilevel"/>
    <w:tmpl w:val="382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8F"/>
    <w:rsid w:val="00184BBC"/>
    <w:rsid w:val="001B0626"/>
    <w:rsid w:val="002A1B58"/>
    <w:rsid w:val="003A7E5E"/>
    <w:rsid w:val="00453EC3"/>
    <w:rsid w:val="005716BD"/>
    <w:rsid w:val="009441EC"/>
    <w:rsid w:val="009832C0"/>
    <w:rsid w:val="00B75459"/>
    <w:rsid w:val="00CA648F"/>
    <w:rsid w:val="00FB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F"/>
    <w:pPr>
      <w:spacing w:after="0" w:line="240" w:lineRule="auto"/>
    </w:pPr>
    <w:rPr>
      <w:rFonts w:ascii="Verdana" w:eastAsia="Times New Roman" w:hAnsi="Verdana" w:cs="Times New Roman"/>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48F"/>
    <w:pPr>
      <w:tabs>
        <w:tab w:val="center" w:pos="4680"/>
        <w:tab w:val="right" w:pos="9360"/>
      </w:tabs>
    </w:pPr>
  </w:style>
  <w:style w:type="character" w:customStyle="1" w:styleId="HeaderChar">
    <w:name w:val="Header Char"/>
    <w:basedOn w:val="DefaultParagraphFont"/>
    <w:link w:val="Header"/>
    <w:uiPriority w:val="99"/>
    <w:rsid w:val="00CA648F"/>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CA648F"/>
    <w:pPr>
      <w:tabs>
        <w:tab w:val="center" w:pos="4680"/>
        <w:tab w:val="right" w:pos="9360"/>
      </w:tabs>
    </w:pPr>
  </w:style>
  <w:style w:type="character" w:customStyle="1" w:styleId="FooterChar">
    <w:name w:val="Footer Char"/>
    <w:basedOn w:val="DefaultParagraphFont"/>
    <w:link w:val="Footer"/>
    <w:uiPriority w:val="99"/>
    <w:rsid w:val="00CA648F"/>
    <w:rPr>
      <w:rFonts w:ascii="Verdana" w:eastAsia="Times New Roman" w:hAnsi="Verdana" w:cs="Times New Roman"/>
      <w:sz w:val="20"/>
      <w:szCs w:val="24"/>
      <w:lang w:val="es-ES_tradnl"/>
    </w:rPr>
  </w:style>
  <w:style w:type="paragraph" w:styleId="BodyText2">
    <w:name w:val="Body Text 2"/>
    <w:basedOn w:val="Normal"/>
    <w:link w:val="BodyText2Char"/>
    <w:rsid w:val="00CA648F"/>
    <w:pPr>
      <w:spacing w:after="120" w:line="480" w:lineRule="auto"/>
    </w:pPr>
  </w:style>
  <w:style w:type="character" w:customStyle="1" w:styleId="BodyText2Char">
    <w:name w:val="Body Text 2 Char"/>
    <w:basedOn w:val="DefaultParagraphFont"/>
    <w:link w:val="BodyText2"/>
    <w:rsid w:val="00CA648F"/>
    <w:rPr>
      <w:rFonts w:ascii="Verdana" w:eastAsia="Times New Roman" w:hAnsi="Verdana" w:cs="Times New Roman"/>
      <w:sz w:val="20"/>
      <w:szCs w:val="24"/>
      <w:lang w:val="es-ES_tradnl"/>
    </w:rPr>
  </w:style>
  <w:style w:type="paragraph" w:styleId="BodyText">
    <w:name w:val="Body Text"/>
    <w:basedOn w:val="Normal"/>
    <w:link w:val="BodyTextChar"/>
    <w:rsid w:val="00CA648F"/>
    <w:pPr>
      <w:widowControl w:val="0"/>
      <w:spacing w:line="360" w:lineRule="atLeast"/>
      <w:jc w:val="both"/>
    </w:pPr>
    <w:rPr>
      <w:szCs w:val="20"/>
    </w:rPr>
  </w:style>
  <w:style w:type="character" w:customStyle="1" w:styleId="BodyTextChar">
    <w:name w:val="Body Text Char"/>
    <w:basedOn w:val="DefaultParagraphFont"/>
    <w:link w:val="BodyText"/>
    <w:rsid w:val="00CA648F"/>
    <w:rPr>
      <w:rFonts w:ascii="Verdana" w:eastAsia="Times New Roman" w:hAnsi="Verdana" w:cs="Times New Roman"/>
      <w:sz w:val="20"/>
      <w:szCs w:val="20"/>
      <w:lang w:val="es-ES_tradnl"/>
    </w:rPr>
  </w:style>
  <w:style w:type="paragraph" w:customStyle="1" w:styleId="Lneadereferencia">
    <w:name w:val="Línea de referencia"/>
    <w:basedOn w:val="BodyTextIndent"/>
    <w:rsid w:val="00CA648F"/>
    <w:pPr>
      <w:spacing w:after="0"/>
      <w:ind w:left="0"/>
      <w:jc w:val="both"/>
    </w:pPr>
    <w:rPr>
      <w:rFonts w:ascii="Garamond" w:hAnsi="Garamond"/>
      <w:sz w:val="24"/>
      <w:szCs w:val="20"/>
    </w:rPr>
  </w:style>
  <w:style w:type="paragraph" w:styleId="BodyTextIndent">
    <w:name w:val="Body Text Indent"/>
    <w:basedOn w:val="Normal"/>
    <w:link w:val="BodyTextIndentChar"/>
    <w:uiPriority w:val="99"/>
    <w:semiHidden/>
    <w:unhideWhenUsed/>
    <w:rsid w:val="00CA648F"/>
    <w:pPr>
      <w:spacing w:after="120"/>
      <w:ind w:left="360"/>
    </w:pPr>
  </w:style>
  <w:style w:type="character" w:customStyle="1" w:styleId="BodyTextIndentChar">
    <w:name w:val="Body Text Indent Char"/>
    <w:basedOn w:val="DefaultParagraphFont"/>
    <w:link w:val="BodyTextIndent"/>
    <w:uiPriority w:val="99"/>
    <w:semiHidden/>
    <w:rsid w:val="00CA648F"/>
    <w:rPr>
      <w:rFonts w:ascii="Verdana" w:eastAsia="Times New Roman" w:hAnsi="Verdana" w:cs="Times New Roman"/>
      <w:sz w:val="20"/>
      <w:szCs w:val="24"/>
      <w:lang w:val="es-ES_tradnl"/>
    </w:rPr>
  </w:style>
  <w:style w:type="paragraph" w:styleId="ListParagraph">
    <w:name w:val="List Paragraph"/>
    <w:basedOn w:val="Normal"/>
    <w:uiPriority w:val="34"/>
    <w:qFormat/>
    <w:rsid w:val="00CA6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F"/>
    <w:pPr>
      <w:spacing w:after="0" w:line="240" w:lineRule="auto"/>
    </w:pPr>
    <w:rPr>
      <w:rFonts w:ascii="Verdana" w:eastAsia="Times New Roman" w:hAnsi="Verdana" w:cs="Times New Roman"/>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48F"/>
    <w:pPr>
      <w:tabs>
        <w:tab w:val="center" w:pos="4680"/>
        <w:tab w:val="right" w:pos="9360"/>
      </w:tabs>
    </w:pPr>
  </w:style>
  <w:style w:type="character" w:customStyle="1" w:styleId="HeaderChar">
    <w:name w:val="Header Char"/>
    <w:basedOn w:val="DefaultParagraphFont"/>
    <w:link w:val="Header"/>
    <w:uiPriority w:val="99"/>
    <w:rsid w:val="00CA648F"/>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CA648F"/>
    <w:pPr>
      <w:tabs>
        <w:tab w:val="center" w:pos="4680"/>
        <w:tab w:val="right" w:pos="9360"/>
      </w:tabs>
    </w:pPr>
  </w:style>
  <w:style w:type="character" w:customStyle="1" w:styleId="FooterChar">
    <w:name w:val="Footer Char"/>
    <w:basedOn w:val="DefaultParagraphFont"/>
    <w:link w:val="Footer"/>
    <w:uiPriority w:val="99"/>
    <w:rsid w:val="00CA648F"/>
    <w:rPr>
      <w:rFonts w:ascii="Verdana" w:eastAsia="Times New Roman" w:hAnsi="Verdana" w:cs="Times New Roman"/>
      <w:sz w:val="20"/>
      <w:szCs w:val="24"/>
      <w:lang w:val="es-ES_tradnl"/>
    </w:rPr>
  </w:style>
  <w:style w:type="paragraph" w:styleId="BodyText2">
    <w:name w:val="Body Text 2"/>
    <w:basedOn w:val="Normal"/>
    <w:link w:val="BodyText2Char"/>
    <w:rsid w:val="00CA648F"/>
    <w:pPr>
      <w:spacing w:after="120" w:line="480" w:lineRule="auto"/>
    </w:pPr>
  </w:style>
  <w:style w:type="character" w:customStyle="1" w:styleId="BodyText2Char">
    <w:name w:val="Body Text 2 Char"/>
    <w:basedOn w:val="DefaultParagraphFont"/>
    <w:link w:val="BodyText2"/>
    <w:rsid w:val="00CA648F"/>
    <w:rPr>
      <w:rFonts w:ascii="Verdana" w:eastAsia="Times New Roman" w:hAnsi="Verdana" w:cs="Times New Roman"/>
      <w:sz w:val="20"/>
      <w:szCs w:val="24"/>
      <w:lang w:val="es-ES_tradnl"/>
    </w:rPr>
  </w:style>
  <w:style w:type="paragraph" w:styleId="BodyText">
    <w:name w:val="Body Text"/>
    <w:basedOn w:val="Normal"/>
    <w:link w:val="BodyTextChar"/>
    <w:rsid w:val="00CA648F"/>
    <w:pPr>
      <w:widowControl w:val="0"/>
      <w:spacing w:line="360" w:lineRule="atLeast"/>
      <w:jc w:val="both"/>
    </w:pPr>
    <w:rPr>
      <w:szCs w:val="20"/>
    </w:rPr>
  </w:style>
  <w:style w:type="character" w:customStyle="1" w:styleId="BodyTextChar">
    <w:name w:val="Body Text Char"/>
    <w:basedOn w:val="DefaultParagraphFont"/>
    <w:link w:val="BodyText"/>
    <w:rsid w:val="00CA648F"/>
    <w:rPr>
      <w:rFonts w:ascii="Verdana" w:eastAsia="Times New Roman" w:hAnsi="Verdana" w:cs="Times New Roman"/>
      <w:sz w:val="20"/>
      <w:szCs w:val="20"/>
      <w:lang w:val="es-ES_tradnl"/>
    </w:rPr>
  </w:style>
  <w:style w:type="paragraph" w:customStyle="1" w:styleId="Lneadereferencia">
    <w:name w:val="Línea de referencia"/>
    <w:basedOn w:val="BodyTextIndent"/>
    <w:rsid w:val="00CA648F"/>
    <w:pPr>
      <w:spacing w:after="0"/>
      <w:ind w:left="0"/>
      <w:jc w:val="both"/>
    </w:pPr>
    <w:rPr>
      <w:rFonts w:ascii="Garamond" w:hAnsi="Garamond"/>
      <w:sz w:val="24"/>
      <w:szCs w:val="20"/>
    </w:rPr>
  </w:style>
  <w:style w:type="paragraph" w:styleId="BodyTextIndent">
    <w:name w:val="Body Text Indent"/>
    <w:basedOn w:val="Normal"/>
    <w:link w:val="BodyTextIndentChar"/>
    <w:uiPriority w:val="99"/>
    <w:semiHidden/>
    <w:unhideWhenUsed/>
    <w:rsid w:val="00CA648F"/>
    <w:pPr>
      <w:spacing w:after="120"/>
      <w:ind w:left="360"/>
    </w:pPr>
  </w:style>
  <w:style w:type="character" w:customStyle="1" w:styleId="BodyTextIndentChar">
    <w:name w:val="Body Text Indent Char"/>
    <w:basedOn w:val="DefaultParagraphFont"/>
    <w:link w:val="BodyTextIndent"/>
    <w:uiPriority w:val="99"/>
    <w:semiHidden/>
    <w:rsid w:val="00CA648F"/>
    <w:rPr>
      <w:rFonts w:ascii="Verdana" w:eastAsia="Times New Roman" w:hAnsi="Verdana" w:cs="Times New Roman"/>
      <w:sz w:val="20"/>
      <w:szCs w:val="24"/>
      <w:lang w:val="es-ES_tradnl"/>
    </w:rPr>
  </w:style>
  <w:style w:type="paragraph" w:styleId="ListParagraph">
    <w:name w:val="List Paragraph"/>
    <w:basedOn w:val="Normal"/>
    <w:uiPriority w:val="34"/>
    <w:qFormat/>
    <w:rsid w:val="00CA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414">
      <w:bodyDiv w:val="1"/>
      <w:marLeft w:val="0"/>
      <w:marRight w:val="0"/>
      <w:marTop w:val="0"/>
      <w:marBottom w:val="0"/>
      <w:divBdr>
        <w:top w:val="none" w:sz="0" w:space="0" w:color="auto"/>
        <w:left w:val="none" w:sz="0" w:space="0" w:color="auto"/>
        <w:bottom w:val="none" w:sz="0" w:space="0" w:color="auto"/>
        <w:right w:val="none" w:sz="0" w:space="0" w:color="auto"/>
      </w:divBdr>
    </w:div>
    <w:div w:id="10310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2018-10-04T21:36:00Z</cp:lastPrinted>
  <dcterms:created xsi:type="dcterms:W3CDTF">2018-10-04T21:35:00Z</dcterms:created>
  <dcterms:modified xsi:type="dcterms:W3CDTF">2018-10-04T21:36:00Z</dcterms:modified>
</cp:coreProperties>
</file>