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115" w:rsidRPr="00CA648F" w:rsidRDefault="00970115" w:rsidP="00970115">
      <w:pPr>
        <w:jc w:val="center"/>
        <w:rPr>
          <w:b/>
          <w:u w:val="single"/>
        </w:rPr>
      </w:pPr>
      <w:bookmarkStart w:id="0" w:name="_GoBack"/>
      <w:bookmarkEnd w:id="0"/>
      <w:r w:rsidRPr="00CA648F">
        <w:rPr>
          <w:b/>
          <w:u w:val="single"/>
        </w:rPr>
        <w:t xml:space="preserve">Caso de la “Masacre de </w:t>
      </w:r>
      <w:proofErr w:type="spellStart"/>
      <w:r w:rsidRPr="00CA648F">
        <w:rPr>
          <w:b/>
          <w:u w:val="single"/>
        </w:rPr>
        <w:t>Mapirián</w:t>
      </w:r>
      <w:proofErr w:type="spellEnd"/>
      <w:r w:rsidRPr="00CA648F">
        <w:rPr>
          <w:b/>
          <w:u w:val="single"/>
        </w:rPr>
        <w:t xml:space="preserve">” </w:t>
      </w:r>
      <w:r w:rsidRPr="00CA648F">
        <w:rPr>
          <w:b/>
          <w:i/>
          <w:u w:val="single"/>
        </w:rPr>
        <w:t>Vs.</w:t>
      </w:r>
      <w:r w:rsidRPr="00CA648F">
        <w:rPr>
          <w:b/>
          <w:u w:val="single"/>
        </w:rPr>
        <w:t xml:space="preserve"> Colombia: reparaciones </w:t>
      </w:r>
      <w:r>
        <w:rPr>
          <w:b/>
          <w:u w:val="single"/>
        </w:rPr>
        <w:t>pendientes de cumplimiento</w:t>
      </w:r>
    </w:p>
    <w:p w:rsidR="006E7F48" w:rsidRDefault="005D04CE"/>
    <w:p w:rsidR="00970115" w:rsidRPr="00970115" w:rsidRDefault="00970115" w:rsidP="00970115">
      <w:pPr>
        <w:pStyle w:val="BodyText3"/>
        <w:numPr>
          <w:ilvl w:val="0"/>
          <w:numId w:val="1"/>
        </w:numPr>
        <w:spacing w:before="120" w:after="0"/>
        <w:ind w:left="360"/>
        <w:jc w:val="both"/>
        <w:rPr>
          <w:rFonts w:ascii="Verdana" w:hAnsi="Verdana"/>
          <w:sz w:val="20"/>
          <w:szCs w:val="20"/>
        </w:rPr>
      </w:pPr>
      <w:r>
        <w:rPr>
          <w:rFonts w:ascii="Verdana" w:hAnsi="Verdana"/>
          <w:sz w:val="20"/>
          <w:szCs w:val="20"/>
        </w:rPr>
        <w:t>R</w:t>
      </w:r>
      <w:r w:rsidRPr="00970115">
        <w:rPr>
          <w:rFonts w:ascii="Verdana" w:hAnsi="Verdana"/>
          <w:sz w:val="20"/>
          <w:szCs w:val="20"/>
        </w:rPr>
        <w:t>ealizar inmediatamente</w:t>
      </w:r>
      <w:r w:rsidRPr="00970115">
        <w:rPr>
          <w:rFonts w:ascii="Verdana" w:hAnsi="Verdana"/>
          <w:b/>
          <w:sz w:val="20"/>
          <w:szCs w:val="20"/>
        </w:rPr>
        <w:t xml:space="preserve"> </w:t>
      </w:r>
      <w:r w:rsidRPr="00970115">
        <w:rPr>
          <w:rFonts w:ascii="Verdana" w:hAnsi="Verdana"/>
          <w:sz w:val="20"/>
          <w:szCs w:val="20"/>
        </w:rPr>
        <w:t>las debidas diligencias para activar y completar eficazmente, en un plazo razonable,</w:t>
      </w:r>
      <w:r w:rsidRPr="00970115">
        <w:rPr>
          <w:rFonts w:ascii="Verdana" w:hAnsi="Verdana"/>
          <w:b/>
          <w:sz w:val="20"/>
          <w:szCs w:val="20"/>
        </w:rPr>
        <w:t xml:space="preserve"> </w:t>
      </w:r>
      <w:r w:rsidRPr="00970115">
        <w:rPr>
          <w:rFonts w:ascii="Verdana" w:hAnsi="Verdana"/>
          <w:sz w:val="20"/>
          <w:szCs w:val="20"/>
        </w:rPr>
        <w:t xml:space="preserve">la investigación para determinar la responsabilidad intelectual y material de los autores de la masacre, así como de las personas cuya colaboración y aquiescencia hizo posible la comisión de la misma, en los términos de los párrafos 295 a 304 y 326 de esta Sentencia. </w:t>
      </w:r>
    </w:p>
    <w:p w:rsidR="00970115" w:rsidRPr="00970115" w:rsidRDefault="00970115" w:rsidP="00970115">
      <w:pPr>
        <w:pStyle w:val="BodyText3"/>
        <w:spacing w:before="120" w:after="0"/>
        <w:ind w:left="360" w:hanging="360"/>
        <w:jc w:val="both"/>
        <w:rPr>
          <w:rFonts w:ascii="Verdana" w:hAnsi="Verdana"/>
          <w:sz w:val="20"/>
          <w:szCs w:val="20"/>
        </w:rPr>
      </w:pPr>
    </w:p>
    <w:p w:rsidR="00970115" w:rsidRPr="00970115" w:rsidRDefault="00970115" w:rsidP="00970115">
      <w:pPr>
        <w:pStyle w:val="BodyText3"/>
        <w:numPr>
          <w:ilvl w:val="0"/>
          <w:numId w:val="1"/>
        </w:numPr>
        <w:spacing w:before="120" w:after="0"/>
        <w:ind w:left="360"/>
        <w:jc w:val="both"/>
        <w:rPr>
          <w:rFonts w:ascii="Verdana" w:hAnsi="Verdana"/>
          <w:sz w:val="20"/>
          <w:szCs w:val="20"/>
        </w:rPr>
      </w:pPr>
      <w:r>
        <w:rPr>
          <w:rFonts w:ascii="Verdana" w:hAnsi="Verdana"/>
          <w:sz w:val="20"/>
          <w:szCs w:val="20"/>
        </w:rPr>
        <w:t>R</w:t>
      </w:r>
      <w:r w:rsidRPr="00970115">
        <w:rPr>
          <w:rFonts w:ascii="Verdana" w:hAnsi="Verdana"/>
          <w:sz w:val="20"/>
          <w:szCs w:val="20"/>
        </w:rPr>
        <w:t>ealizar inmediatamente las debidas diligencias para individualizar e identificar, en un plazo razonable,</w:t>
      </w:r>
      <w:r w:rsidRPr="00970115">
        <w:rPr>
          <w:rFonts w:ascii="Verdana" w:hAnsi="Verdana"/>
          <w:b/>
          <w:sz w:val="20"/>
          <w:szCs w:val="20"/>
        </w:rPr>
        <w:t xml:space="preserve"> </w:t>
      </w:r>
      <w:r w:rsidRPr="00970115">
        <w:rPr>
          <w:rFonts w:ascii="Verdana" w:hAnsi="Verdana"/>
          <w:sz w:val="20"/>
          <w:szCs w:val="20"/>
        </w:rPr>
        <w:t>a las víctimas ejecutadas y desaparecidas, así como sus familiares</w:t>
      </w:r>
      <w:r w:rsidRPr="00970115">
        <w:rPr>
          <w:rFonts w:ascii="Verdana" w:hAnsi="Verdana"/>
          <w:i/>
          <w:sz w:val="20"/>
          <w:szCs w:val="20"/>
        </w:rPr>
        <w:t>,</w:t>
      </w:r>
      <w:r w:rsidRPr="00970115">
        <w:rPr>
          <w:rFonts w:ascii="Verdana" w:hAnsi="Verdana"/>
          <w:sz w:val="20"/>
          <w:szCs w:val="20"/>
        </w:rPr>
        <w:t xml:space="preserve"> en los términos de los párrafos 305 a 310, 311 y 326 de esta Sentencia.</w:t>
      </w:r>
    </w:p>
    <w:p w:rsidR="00970115" w:rsidRPr="00970115" w:rsidRDefault="00970115" w:rsidP="00970115">
      <w:pPr>
        <w:pStyle w:val="ListParagraph"/>
        <w:ind w:left="360" w:hanging="360"/>
        <w:rPr>
          <w:szCs w:val="20"/>
        </w:rPr>
      </w:pPr>
    </w:p>
    <w:p w:rsidR="00970115" w:rsidRPr="00970115" w:rsidRDefault="00970115" w:rsidP="00970115">
      <w:pPr>
        <w:pStyle w:val="BodyText3"/>
        <w:numPr>
          <w:ilvl w:val="0"/>
          <w:numId w:val="1"/>
        </w:numPr>
        <w:spacing w:before="120" w:after="0"/>
        <w:ind w:left="360"/>
        <w:jc w:val="both"/>
        <w:rPr>
          <w:rFonts w:ascii="Verdana" w:hAnsi="Verdana"/>
          <w:sz w:val="20"/>
          <w:szCs w:val="20"/>
        </w:rPr>
      </w:pPr>
      <w:r>
        <w:rPr>
          <w:rFonts w:ascii="Verdana" w:hAnsi="Verdana"/>
          <w:sz w:val="20"/>
          <w:szCs w:val="20"/>
        </w:rPr>
        <w:t>P</w:t>
      </w:r>
      <w:r w:rsidRPr="00970115">
        <w:rPr>
          <w:rFonts w:ascii="Verdana" w:hAnsi="Verdana"/>
          <w:sz w:val="20"/>
          <w:szCs w:val="20"/>
        </w:rPr>
        <w:t>roveer a todos los familiares de las víctimas ejecutadas o desparecidas, previa manifestación de su consentimiento para estos efectos, a partir de la notificación de la presente Sentencia a quienes ya están identificados,  y a partir del momento en que realice su identificación en el caso de quienes no lo están actualmente, por el tiempo que sea necesario, sin cargo alguno y por medio de los servicios nacionales de salud, un tratamiento adecuado, incluida la provisión de medicamentos, en los términos del párrafo 312 de esta Sentencia.</w:t>
      </w:r>
    </w:p>
    <w:p w:rsidR="00970115" w:rsidRPr="00970115" w:rsidRDefault="00970115" w:rsidP="00970115">
      <w:pPr>
        <w:pStyle w:val="ListParagraph"/>
        <w:ind w:left="360" w:hanging="360"/>
        <w:rPr>
          <w:szCs w:val="20"/>
        </w:rPr>
      </w:pPr>
    </w:p>
    <w:p w:rsidR="00970115" w:rsidRPr="00970115" w:rsidRDefault="00970115" w:rsidP="00970115">
      <w:pPr>
        <w:pStyle w:val="BodyText3"/>
        <w:numPr>
          <w:ilvl w:val="0"/>
          <w:numId w:val="1"/>
        </w:numPr>
        <w:spacing w:before="120" w:after="0"/>
        <w:ind w:left="360"/>
        <w:jc w:val="both"/>
        <w:rPr>
          <w:rFonts w:ascii="Verdana" w:hAnsi="Verdana"/>
          <w:sz w:val="20"/>
          <w:szCs w:val="20"/>
        </w:rPr>
      </w:pPr>
      <w:r>
        <w:rPr>
          <w:rFonts w:ascii="Verdana" w:hAnsi="Verdana"/>
          <w:sz w:val="20"/>
          <w:szCs w:val="20"/>
        </w:rPr>
        <w:t>R</w:t>
      </w:r>
      <w:r w:rsidRPr="00970115">
        <w:rPr>
          <w:rFonts w:ascii="Verdana" w:hAnsi="Verdana"/>
          <w:sz w:val="20"/>
          <w:szCs w:val="20"/>
        </w:rPr>
        <w:t xml:space="preserve">ealizar las acciones necesarias para garantizar las condiciones de seguridad para que los familiares de las víctimas, así como otros </w:t>
      </w:r>
      <w:proofErr w:type="spellStart"/>
      <w:r w:rsidRPr="00970115">
        <w:rPr>
          <w:rFonts w:ascii="Verdana" w:hAnsi="Verdana"/>
          <w:sz w:val="20"/>
          <w:szCs w:val="20"/>
        </w:rPr>
        <w:t>expobladores</w:t>
      </w:r>
      <w:proofErr w:type="spellEnd"/>
      <w:r w:rsidRPr="00970115">
        <w:rPr>
          <w:rFonts w:ascii="Verdana" w:hAnsi="Verdana"/>
          <w:sz w:val="20"/>
          <w:szCs w:val="20"/>
        </w:rPr>
        <w:t xml:space="preserve"> de </w:t>
      </w:r>
      <w:proofErr w:type="spellStart"/>
      <w:r w:rsidRPr="00970115">
        <w:rPr>
          <w:rFonts w:ascii="Verdana" w:hAnsi="Verdana"/>
          <w:sz w:val="20"/>
          <w:szCs w:val="20"/>
        </w:rPr>
        <w:t>Mapiripán</w:t>
      </w:r>
      <w:proofErr w:type="spellEnd"/>
      <w:r w:rsidRPr="00970115">
        <w:rPr>
          <w:rFonts w:ascii="Verdana" w:hAnsi="Verdana"/>
          <w:sz w:val="20"/>
          <w:szCs w:val="20"/>
        </w:rPr>
        <w:t xml:space="preserve">, que se hayan visto desplazados, puedan regresar a </w:t>
      </w:r>
      <w:proofErr w:type="spellStart"/>
      <w:r w:rsidRPr="00970115">
        <w:rPr>
          <w:rFonts w:ascii="Verdana" w:hAnsi="Verdana"/>
          <w:sz w:val="20"/>
          <w:szCs w:val="20"/>
        </w:rPr>
        <w:t>Mapiripán</w:t>
      </w:r>
      <w:proofErr w:type="spellEnd"/>
      <w:r w:rsidRPr="00970115">
        <w:rPr>
          <w:rFonts w:ascii="Verdana" w:hAnsi="Verdana"/>
          <w:sz w:val="20"/>
          <w:szCs w:val="20"/>
        </w:rPr>
        <w:t xml:space="preserve">, en caso de que así lo deseen, en los términos de los párrafos 311 y 313 de esta Sentencia.  </w:t>
      </w:r>
    </w:p>
    <w:p w:rsidR="00970115" w:rsidRPr="00970115" w:rsidRDefault="00970115" w:rsidP="00970115">
      <w:pPr>
        <w:pStyle w:val="ListParagraph"/>
        <w:ind w:left="360" w:hanging="360"/>
        <w:rPr>
          <w:szCs w:val="20"/>
        </w:rPr>
      </w:pPr>
    </w:p>
    <w:p w:rsidR="00970115" w:rsidRDefault="00970115" w:rsidP="00970115">
      <w:pPr>
        <w:pStyle w:val="BodyText3"/>
        <w:numPr>
          <w:ilvl w:val="0"/>
          <w:numId w:val="1"/>
        </w:numPr>
        <w:spacing w:before="120" w:after="0"/>
        <w:ind w:left="360"/>
        <w:jc w:val="both"/>
        <w:rPr>
          <w:rFonts w:ascii="Verdana" w:hAnsi="Verdana"/>
          <w:sz w:val="20"/>
          <w:szCs w:val="20"/>
        </w:rPr>
      </w:pPr>
      <w:r>
        <w:rPr>
          <w:rFonts w:ascii="Verdana" w:hAnsi="Verdana"/>
          <w:sz w:val="20"/>
          <w:szCs w:val="20"/>
        </w:rPr>
        <w:t>C</w:t>
      </w:r>
      <w:r w:rsidRPr="00970115">
        <w:rPr>
          <w:rFonts w:ascii="Verdana" w:hAnsi="Verdana"/>
          <w:sz w:val="20"/>
          <w:szCs w:val="20"/>
        </w:rPr>
        <w:t>onstruir,</w:t>
      </w:r>
      <w:r w:rsidRPr="00970115">
        <w:rPr>
          <w:rFonts w:ascii="Verdana" w:hAnsi="Verdana"/>
          <w:b/>
          <w:sz w:val="20"/>
          <w:szCs w:val="20"/>
        </w:rPr>
        <w:t xml:space="preserve"> </w:t>
      </w:r>
      <w:r w:rsidRPr="00970115">
        <w:rPr>
          <w:rFonts w:ascii="Verdana" w:hAnsi="Verdana"/>
          <w:sz w:val="20"/>
          <w:szCs w:val="20"/>
        </w:rPr>
        <w:t xml:space="preserve">en el plazo de un año, contado a partir de la notificación de esta Sentencia, un monumento apropiado y digno para recordar los hechos de la masacre de </w:t>
      </w:r>
      <w:proofErr w:type="spellStart"/>
      <w:r w:rsidRPr="00970115">
        <w:rPr>
          <w:rFonts w:ascii="Verdana" w:hAnsi="Verdana"/>
          <w:sz w:val="20"/>
          <w:szCs w:val="20"/>
        </w:rPr>
        <w:t>Mapiripán</w:t>
      </w:r>
      <w:proofErr w:type="spellEnd"/>
      <w:r w:rsidRPr="00970115">
        <w:rPr>
          <w:rFonts w:ascii="Verdana" w:hAnsi="Verdana"/>
          <w:sz w:val="20"/>
          <w:szCs w:val="20"/>
        </w:rPr>
        <w:t>, en los términos de los párrafos 315 y 326 de esta Sentencia.</w:t>
      </w:r>
    </w:p>
    <w:p w:rsidR="003E7406" w:rsidRPr="00184BBC" w:rsidRDefault="003E7406" w:rsidP="003E7406">
      <w:pPr>
        <w:pStyle w:val="BodyText"/>
        <w:spacing w:before="120" w:line="240" w:lineRule="auto"/>
        <w:rPr>
          <w:b/>
          <w:u w:val="single"/>
        </w:rPr>
      </w:pPr>
      <w:r w:rsidRPr="00184BBC">
        <w:rPr>
          <w:b/>
          <w:u w:val="single"/>
        </w:rPr>
        <w:t>Cumplimiento parcial:</w:t>
      </w:r>
    </w:p>
    <w:p w:rsidR="003E7406" w:rsidRPr="00CA648F" w:rsidRDefault="003E7406" w:rsidP="003E7406">
      <w:pPr>
        <w:pStyle w:val="ListParagraph"/>
        <w:ind w:left="360" w:hanging="360"/>
      </w:pPr>
    </w:p>
    <w:p w:rsidR="003E7406" w:rsidRPr="003E7406" w:rsidRDefault="003E7406" w:rsidP="003E7406">
      <w:pPr>
        <w:pStyle w:val="BodyText3"/>
        <w:numPr>
          <w:ilvl w:val="0"/>
          <w:numId w:val="1"/>
        </w:numPr>
        <w:spacing w:before="120" w:after="0"/>
        <w:ind w:left="360"/>
        <w:jc w:val="both"/>
        <w:rPr>
          <w:rFonts w:ascii="Verdana" w:hAnsi="Verdana"/>
          <w:sz w:val="20"/>
          <w:szCs w:val="20"/>
        </w:rPr>
      </w:pPr>
      <w:r w:rsidRPr="003E7406">
        <w:rPr>
          <w:rFonts w:ascii="Verdana" w:hAnsi="Verdana"/>
          <w:sz w:val="20"/>
          <w:szCs w:val="20"/>
        </w:rPr>
        <w:t>Pagar las cantidades fijadas en el párrafo 274 y 278 de la presente Sentencia, a favor de familiares de las víctimas, por concepto de daño material, en los términos de los párrafos 257, 259, 260, 311, 326, 327, 329 a 333 de la misma.</w:t>
      </w:r>
    </w:p>
    <w:p w:rsidR="003E7406" w:rsidRPr="003E7406" w:rsidRDefault="003E7406" w:rsidP="003E7406">
      <w:pPr>
        <w:pStyle w:val="ListParagraph"/>
        <w:ind w:left="360" w:hanging="360"/>
        <w:rPr>
          <w:szCs w:val="20"/>
        </w:rPr>
      </w:pPr>
    </w:p>
    <w:p w:rsidR="003E7406" w:rsidRPr="003E7406" w:rsidRDefault="003E7406" w:rsidP="003E7406">
      <w:pPr>
        <w:pStyle w:val="BodyText3"/>
        <w:numPr>
          <w:ilvl w:val="0"/>
          <w:numId w:val="1"/>
        </w:numPr>
        <w:spacing w:before="120" w:after="0"/>
        <w:ind w:left="360"/>
        <w:jc w:val="both"/>
        <w:rPr>
          <w:rFonts w:ascii="Verdana" w:hAnsi="Verdana"/>
          <w:sz w:val="20"/>
          <w:szCs w:val="20"/>
        </w:rPr>
      </w:pPr>
      <w:r w:rsidRPr="003E7406">
        <w:rPr>
          <w:rFonts w:ascii="Verdana" w:hAnsi="Verdana"/>
          <w:sz w:val="20"/>
          <w:szCs w:val="20"/>
        </w:rPr>
        <w:t>Pagar las cantidades fijadas en los párrafos 288 y 290 de la presente Sentencia, a favor de los familiares de las víctimas, por concepto de daño inmaterial, en los términos de los párrafos 257, 259, 260, 289, 311, 326, 327, 329 a 333 de la misma.</w:t>
      </w:r>
    </w:p>
    <w:p w:rsidR="003E7406" w:rsidRPr="003E7406" w:rsidRDefault="003E7406" w:rsidP="003E7406">
      <w:pPr>
        <w:pStyle w:val="ListParagraph"/>
        <w:ind w:left="360" w:hanging="360"/>
        <w:rPr>
          <w:szCs w:val="20"/>
        </w:rPr>
      </w:pPr>
    </w:p>
    <w:p w:rsidR="003E7406" w:rsidRPr="003E7406" w:rsidRDefault="003E7406" w:rsidP="003E7406">
      <w:pPr>
        <w:pStyle w:val="BodyText3"/>
        <w:numPr>
          <w:ilvl w:val="0"/>
          <w:numId w:val="1"/>
        </w:numPr>
        <w:spacing w:before="120" w:after="0"/>
        <w:ind w:left="360"/>
        <w:jc w:val="both"/>
        <w:rPr>
          <w:rFonts w:ascii="Verdana" w:hAnsi="Verdana"/>
          <w:sz w:val="20"/>
          <w:szCs w:val="20"/>
        </w:rPr>
      </w:pPr>
      <w:r w:rsidRPr="003E7406">
        <w:rPr>
          <w:rFonts w:ascii="Verdana" w:hAnsi="Verdana"/>
          <w:sz w:val="20"/>
          <w:szCs w:val="20"/>
        </w:rPr>
        <w:t>Pagar las cantidades fijadas en el párrafo 325 de la presente Sentencia, por concepto de costas y gastos, en los términos de los párrafos 326, 328 a 333 de la misma.</w:t>
      </w:r>
    </w:p>
    <w:p w:rsidR="003E7406" w:rsidRDefault="003E7406" w:rsidP="003E7406">
      <w:pPr>
        <w:pStyle w:val="BodyText"/>
        <w:spacing w:before="120" w:line="240" w:lineRule="auto"/>
      </w:pPr>
    </w:p>
    <w:p w:rsidR="003E7406" w:rsidRDefault="003E7406" w:rsidP="003E7406">
      <w:pPr>
        <w:jc w:val="both"/>
        <w:rPr>
          <w:color w:val="000000" w:themeColor="text1"/>
        </w:rPr>
      </w:pPr>
      <w:r>
        <w:rPr>
          <w:lang w:val="es-CR"/>
        </w:rPr>
        <w:t>En el punto declarativo 2 de la resolución de la Corte de 8 de julio de 2009 se explica el estado de cumplimiento respecto a esta medida de reparación:</w:t>
      </w:r>
    </w:p>
    <w:p w:rsidR="003E7406" w:rsidRPr="00184BBC" w:rsidRDefault="003E7406" w:rsidP="003E7406">
      <w:pPr>
        <w:pStyle w:val="BodyText"/>
        <w:spacing w:before="120" w:line="240" w:lineRule="auto"/>
        <w:rPr>
          <w:sz w:val="18"/>
          <w:szCs w:val="18"/>
        </w:rPr>
      </w:pPr>
      <w:r w:rsidRPr="00184BBC">
        <w:rPr>
          <w:sz w:val="18"/>
          <w:szCs w:val="18"/>
        </w:rPr>
        <w:t xml:space="preserve">2. Que el Estado ha dado cumplimiento parcial al siguiente punto pendiente de acatamiento en el </w:t>
      </w:r>
      <w:r w:rsidRPr="00184BBC">
        <w:rPr>
          <w:sz w:val="18"/>
          <w:szCs w:val="18"/>
        </w:rPr>
        <w:lastRenderedPageBreak/>
        <w:t xml:space="preserve">presente caso, a saber: </w:t>
      </w:r>
    </w:p>
    <w:p w:rsidR="003E7406" w:rsidRPr="00184BBC" w:rsidRDefault="003E7406" w:rsidP="003E7406">
      <w:pPr>
        <w:pStyle w:val="BodyText"/>
        <w:spacing w:before="120" w:line="240" w:lineRule="auto"/>
        <w:rPr>
          <w:sz w:val="18"/>
          <w:szCs w:val="18"/>
        </w:rPr>
      </w:pPr>
      <w:r w:rsidRPr="00184BBC">
        <w:rPr>
          <w:sz w:val="18"/>
          <w:szCs w:val="18"/>
        </w:rPr>
        <w:t>a) pagar las cantidades establecidas en los párrafos 274, 278, 288, 290 y 325 de la Sentencia a favor de los familiares de las víctimas hasta el momento identificados, por concepto de daño material y daño inmaterial (puntos resolutivos decimoquinto, decimosexto y párrafos 257, 259, 260, 289, 311, 326, 327, 329 a 333 de la Sentencia), así como a los representantes de las víctimas por concepto de costas y gastos (punto resolutivo decimoséptimo y párrafos 326, 328 a 333 de la Sentencia).</w:t>
      </w:r>
    </w:p>
    <w:p w:rsidR="003E7406" w:rsidRPr="00970115" w:rsidRDefault="003E7406" w:rsidP="003E7406">
      <w:pPr>
        <w:pStyle w:val="BodyText3"/>
        <w:spacing w:before="120" w:after="0"/>
        <w:jc w:val="both"/>
        <w:rPr>
          <w:rFonts w:ascii="Verdana" w:hAnsi="Verdana"/>
          <w:sz w:val="20"/>
          <w:szCs w:val="20"/>
        </w:rPr>
      </w:pPr>
    </w:p>
    <w:p w:rsidR="00970115" w:rsidRDefault="00970115"/>
    <w:sectPr w:rsidR="0097011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4CE" w:rsidRDefault="005D04CE" w:rsidP="00970115">
      <w:r>
        <w:separator/>
      </w:r>
    </w:p>
  </w:endnote>
  <w:endnote w:type="continuationSeparator" w:id="0">
    <w:p w:rsidR="005D04CE" w:rsidRDefault="005D04CE" w:rsidP="0097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406" w:rsidRDefault="003E7406" w:rsidP="00970115">
    <w:pPr>
      <w:pStyle w:val="Footer"/>
      <w:jc w:val="both"/>
      <w:rPr>
        <w:bCs/>
        <w:sz w:val="16"/>
        <w:szCs w:val="16"/>
        <w:lang w:val="es-MX"/>
      </w:rPr>
    </w:pPr>
  </w:p>
  <w:p w:rsidR="00970115" w:rsidRPr="00F35356" w:rsidRDefault="00970115" w:rsidP="00970115">
    <w:pPr>
      <w:pStyle w:val="Footer"/>
      <w:jc w:val="both"/>
      <w:rPr>
        <w:lang w:val="es-MX"/>
      </w:rPr>
    </w:pPr>
    <w:r w:rsidRPr="00911C21">
      <w:rPr>
        <w:bCs/>
        <w:sz w:val="16"/>
        <w:szCs w:val="16"/>
        <w:lang w:val="es-MX"/>
      </w:rPr>
      <w:t xml:space="preserve">La presente sistematización de información fue </w:t>
    </w:r>
    <w:r w:rsidR="00BF2159">
      <w:rPr>
        <w:bCs/>
        <w:sz w:val="16"/>
        <w:szCs w:val="16"/>
        <w:lang w:val="es-MX"/>
      </w:rPr>
      <w:t>realizada</w:t>
    </w:r>
    <w:r w:rsidRPr="00911C21">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r>
      <w:rPr>
        <w:bCs/>
        <w:sz w:val="16"/>
        <w:szCs w:val="16"/>
        <w:lang w:val="es-MX"/>
      </w:rPr>
      <w:t>.</w:t>
    </w:r>
  </w:p>
  <w:p w:rsidR="00970115" w:rsidRPr="00970115" w:rsidRDefault="00970115">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4CE" w:rsidRDefault="005D04CE" w:rsidP="00970115">
      <w:r>
        <w:separator/>
      </w:r>
    </w:p>
  </w:footnote>
  <w:footnote w:type="continuationSeparator" w:id="0">
    <w:p w:rsidR="005D04CE" w:rsidRDefault="005D04CE" w:rsidP="00970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934645" w:rsidRDefault="00934645" w:rsidP="00934645">
        <w:pPr>
          <w:pStyle w:val="Header"/>
          <w:jc w:val="right"/>
          <w:rPr>
            <w:szCs w:val="20"/>
          </w:rPr>
        </w:pPr>
        <w:r>
          <w:rPr>
            <w:szCs w:val="20"/>
          </w:rPr>
          <w:fldChar w:fldCharType="begin"/>
        </w:r>
        <w:r>
          <w:rPr>
            <w:szCs w:val="20"/>
          </w:rPr>
          <w:instrText xml:space="preserve"> PAGE   \* MERGEFORMAT </w:instrText>
        </w:r>
        <w:r>
          <w:rPr>
            <w:szCs w:val="20"/>
          </w:rPr>
          <w:fldChar w:fldCharType="separate"/>
        </w:r>
        <w:r w:rsidR="001E0FD6">
          <w:rPr>
            <w:noProof/>
            <w:szCs w:val="20"/>
          </w:rPr>
          <w:t>1</w:t>
        </w:r>
        <w:r>
          <w:rPr>
            <w:noProof/>
            <w:szCs w:val="20"/>
          </w:rPr>
          <w:fldChar w:fldCharType="end"/>
        </w:r>
      </w:p>
    </w:sdtContent>
  </w:sdt>
  <w:p w:rsidR="00934645" w:rsidRDefault="00934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65DE5"/>
    <w:multiLevelType w:val="hybridMultilevel"/>
    <w:tmpl w:val="1890C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68745C"/>
    <w:multiLevelType w:val="hybridMultilevel"/>
    <w:tmpl w:val="3826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15"/>
    <w:rsid w:val="001E0FD6"/>
    <w:rsid w:val="003A7E5E"/>
    <w:rsid w:val="003E7406"/>
    <w:rsid w:val="005D04CE"/>
    <w:rsid w:val="00934645"/>
    <w:rsid w:val="00970115"/>
    <w:rsid w:val="009832C0"/>
    <w:rsid w:val="00A53F75"/>
    <w:rsid w:val="00BF2159"/>
    <w:rsid w:val="00D97055"/>
    <w:rsid w:val="00DD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115"/>
    <w:pPr>
      <w:spacing w:after="0" w:line="240" w:lineRule="auto"/>
    </w:pPr>
    <w:rPr>
      <w:rFonts w:ascii="Verdana" w:eastAsia="Times New Roman" w:hAnsi="Verdana" w:cs="Times New Roman"/>
      <w:sz w:val="20"/>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115"/>
    <w:pPr>
      <w:tabs>
        <w:tab w:val="center" w:pos="4680"/>
        <w:tab w:val="right" w:pos="9360"/>
      </w:tabs>
    </w:pPr>
  </w:style>
  <w:style w:type="character" w:customStyle="1" w:styleId="HeaderChar">
    <w:name w:val="Header Char"/>
    <w:basedOn w:val="DefaultParagraphFont"/>
    <w:link w:val="Header"/>
    <w:uiPriority w:val="99"/>
    <w:rsid w:val="00970115"/>
    <w:rPr>
      <w:rFonts w:ascii="Verdana" w:eastAsia="Times New Roman" w:hAnsi="Verdana" w:cs="Times New Roman"/>
      <w:sz w:val="20"/>
      <w:szCs w:val="24"/>
      <w:lang w:val="es-ES_tradnl"/>
    </w:rPr>
  </w:style>
  <w:style w:type="paragraph" w:styleId="Footer">
    <w:name w:val="footer"/>
    <w:basedOn w:val="Normal"/>
    <w:link w:val="FooterChar"/>
    <w:uiPriority w:val="99"/>
    <w:unhideWhenUsed/>
    <w:rsid w:val="00970115"/>
    <w:pPr>
      <w:tabs>
        <w:tab w:val="center" w:pos="4680"/>
        <w:tab w:val="right" w:pos="9360"/>
      </w:tabs>
    </w:pPr>
  </w:style>
  <w:style w:type="character" w:customStyle="1" w:styleId="FooterChar">
    <w:name w:val="Footer Char"/>
    <w:basedOn w:val="DefaultParagraphFont"/>
    <w:link w:val="Footer"/>
    <w:uiPriority w:val="99"/>
    <w:rsid w:val="00970115"/>
    <w:rPr>
      <w:rFonts w:ascii="Verdana" w:eastAsia="Times New Roman" w:hAnsi="Verdana" w:cs="Times New Roman"/>
      <w:sz w:val="20"/>
      <w:szCs w:val="24"/>
      <w:lang w:val="es-ES_tradnl"/>
    </w:rPr>
  </w:style>
  <w:style w:type="paragraph" w:styleId="BodyText">
    <w:name w:val="Body Text"/>
    <w:basedOn w:val="Normal"/>
    <w:link w:val="BodyTextChar"/>
    <w:rsid w:val="00970115"/>
    <w:pPr>
      <w:widowControl w:val="0"/>
      <w:spacing w:line="360" w:lineRule="atLeast"/>
      <w:jc w:val="both"/>
    </w:pPr>
    <w:rPr>
      <w:szCs w:val="20"/>
    </w:rPr>
  </w:style>
  <w:style w:type="character" w:customStyle="1" w:styleId="BodyTextChar">
    <w:name w:val="Body Text Char"/>
    <w:basedOn w:val="DefaultParagraphFont"/>
    <w:link w:val="BodyText"/>
    <w:rsid w:val="00970115"/>
    <w:rPr>
      <w:rFonts w:ascii="Verdana" w:eastAsia="Times New Roman" w:hAnsi="Verdana" w:cs="Times New Roman"/>
      <w:sz w:val="20"/>
      <w:szCs w:val="20"/>
      <w:lang w:val="es-ES_tradnl"/>
    </w:rPr>
  </w:style>
  <w:style w:type="paragraph" w:styleId="BodyText3">
    <w:name w:val="Body Text 3"/>
    <w:basedOn w:val="Normal"/>
    <w:link w:val="BodyText3Char"/>
    <w:rsid w:val="00970115"/>
    <w:pPr>
      <w:spacing w:after="120"/>
    </w:pPr>
    <w:rPr>
      <w:rFonts w:ascii="Times" w:hAnsi="Times"/>
      <w:sz w:val="16"/>
      <w:szCs w:val="16"/>
    </w:rPr>
  </w:style>
  <w:style w:type="character" w:customStyle="1" w:styleId="BodyText3Char">
    <w:name w:val="Body Text 3 Char"/>
    <w:basedOn w:val="DefaultParagraphFont"/>
    <w:link w:val="BodyText3"/>
    <w:rsid w:val="00970115"/>
    <w:rPr>
      <w:rFonts w:ascii="Times" w:eastAsia="Times New Roman" w:hAnsi="Times" w:cs="Times New Roman"/>
      <w:sz w:val="16"/>
      <w:szCs w:val="16"/>
      <w:lang w:val="es-ES_tradnl"/>
    </w:rPr>
  </w:style>
  <w:style w:type="paragraph" w:styleId="ListParagraph">
    <w:name w:val="List Paragraph"/>
    <w:basedOn w:val="Normal"/>
    <w:uiPriority w:val="34"/>
    <w:qFormat/>
    <w:rsid w:val="009701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115"/>
    <w:pPr>
      <w:spacing w:after="0" w:line="240" w:lineRule="auto"/>
    </w:pPr>
    <w:rPr>
      <w:rFonts w:ascii="Verdana" w:eastAsia="Times New Roman" w:hAnsi="Verdana" w:cs="Times New Roman"/>
      <w:sz w:val="20"/>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115"/>
    <w:pPr>
      <w:tabs>
        <w:tab w:val="center" w:pos="4680"/>
        <w:tab w:val="right" w:pos="9360"/>
      </w:tabs>
    </w:pPr>
  </w:style>
  <w:style w:type="character" w:customStyle="1" w:styleId="HeaderChar">
    <w:name w:val="Header Char"/>
    <w:basedOn w:val="DefaultParagraphFont"/>
    <w:link w:val="Header"/>
    <w:uiPriority w:val="99"/>
    <w:rsid w:val="00970115"/>
    <w:rPr>
      <w:rFonts w:ascii="Verdana" w:eastAsia="Times New Roman" w:hAnsi="Verdana" w:cs="Times New Roman"/>
      <w:sz w:val="20"/>
      <w:szCs w:val="24"/>
      <w:lang w:val="es-ES_tradnl"/>
    </w:rPr>
  </w:style>
  <w:style w:type="paragraph" w:styleId="Footer">
    <w:name w:val="footer"/>
    <w:basedOn w:val="Normal"/>
    <w:link w:val="FooterChar"/>
    <w:uiPriority w:val="99"/>
    <w:unhideWhenUsed/>
    <w:rsid w:val="00970115"/>
    <w:pPr>
      <w:tabs>
        <w:tab w:val="center" w:pos="4680"/>
        <w:tab w:val="right" w:pos="9360"/>
      </w:tabs>
    </w:pPr>
  </w:style>
  <w:style w:type="character" w:customStyle="1" w:styleId="FooterChar">
    <w:name w:val="Footer Char"/>
    <w:basedOn w:val="DefaultParagraphFont"/>
    <w:link w:val="Footer"/>
    <w:uiPriority w:val="99"/>
    <w:rsid w:val="00970115"/>
    <w:rPr>
      <w:rFonts w:ascii="Verdana" w:eastAsia="Times New Roman" w:hAnsi="Verdana" w:cs="Times New Roman"/>
      <w:sz w:val="20"/>
      <w:szCs w:val="24"/>
      <w:lang w:val="es-ES_tradnl"/>
    </w:rPr>
  </w:style>
  <w:style w:type="paragraph" w:styleId="BodyText">
    <w:name w:val="Body Text"/>
    <w:basedOn w:val="Normal"/>
    <w:link w:val="BodyTextChar"/>
    <w:rsid w:val="00970115"/>
    <w:pPr>
      <w:widowControl w:val="0"/>
      <w:spacing w:line="360" w:lineRule="atLeast"/>
      <w:jc w:val="both"/>
    </w:pPr>
    <w:rPr>
      <w:szCs w:val="20"/>
    </w:rPr>
  </w:style>
  <w:style w:type="character" w:customStyle="1" w:styleId="BodyTextChar">
    <w:name w:val="Body Text Char"/>
    <w:basedOn w:val="DefaultParagraphFont"/>
    <w:link w:val="BodyText"/>
    <w:rsid w:val="00970115"/>
    <w:rPr>
      <w:rFonts w:ascii="Verdana" w:eastAsia="Times New Roman" w:hAnsi="Verdana" w:cs="Times New Roman"/>
      <w:sz w:val="20"/>
      <w:szCs w:val="20"/>
      <w:lang w:val="es-ES_tradnl"/>
    </w:rPr>
  </w:style>
  <w:style w:type="paragraph" w:styleId="BodyText3">
    <w:name w:val="Body Text 3"/>
    <w:basedOn w:val="Normal"/>
    <w:link w:val="BodyText3Char"/>
    <w:rsid w:val="00970115"/>
    <w:pPr>
      <w:spacing w:after="120"/>
    </w:pPr>
    <w:rPr>
      <w:rFonts w:ascii="Times" w:hAnsi="Times"/>
      <w:sz w:val="16"/>
      <w:szCs w:val="16"/>
    </w:rPr>
  </w:style>
  <w:style w:type="character" w:customStyle="1" w:styleId="BodyText3Char">
    <w:name w:val="Body Text 3 Char"/>
    <w:basedOn w:val="DefaultParagraphFont"/>
    <w:link w:val="BodyText3"/>
    <w:rsid w:val="00970115"/>
    <w:rPr>
      <w:rFonts w:ascii="Times" w:eastAsia="Times New Roman" w:hAnsi="Times" w:cs="Times New Roman"/>
      <w:sz w:val="16"/>
      <w:szCs w:val="16"/>
      <w:lang w:val="es-ES_tradnl"/>
    </w:rPr>
  </w:style>
  <w:style w:type="paragraph" w:styleId="ListParagraph">
    <w:name w:val="List Paragraph"/>
    <w:basedOn w:val="Normal"/>
    <w:uiPriority w:val="34"/>
    <w:qFormat/>
    <w:rsid w:val="00970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1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3</cp:revision>
  <cp:lastPrinted>2018-10-04T21:36:00Z</cp:lastPrinted>
  <dcterms:created xsi:type="dcterms:W3CDTF">2018-10-04T21:36:00Z</dcterms:created>
  <dcterms:modified xsi:type="dcterms:W3CDTF">2018-10-04T21:36:00Z</dcterms:modified>
</cp:coreProperties>
</file>