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85" w:rsidRDefault="002C3685" w:rsidP="002C3685">
      <w:pPr>
        <w:jc w:val="center"/>
        <w:rPr>
          <w:rFonts w:ascii="Verdana" w:hAnsi="Verdana"/>
          <w:b/>
          <w:sz w:val="20"/>
          <w:szCs w:val="20"/>
          <w:u w:val="single"/>
        </w:rPr>
      </w:pPr>
      <w:r w:rsidRPr="002C3685">
        <w:rPr>
          <w:rFonts w:ascii="Verdana" w:hAnsi="Verdana"/>
          <w:b/>
          <w:sz w:val="20"/>
          <w:szCs w:val="20"/>
          <w:u w:val="single"/>
        </w:rPr>
        <w:t xml:space="preserve">Caso de la Masacre de Pueblo Bello </w:t>
      </w:r>
      <w:r w:rsidRPr="002C3685">
        <w:rPr>
          <w:rFonts w:ascii="Verdana" w:hAnsi="Verdana"/>
          <w:b/>
          <w:i/>
          <w:sz w:val="20"/>
          <w:szCs w:val="20"/>
          <w:u w:val="single"/>
        </w:rPr>
        <w:t xml:space="preserve">Vs. </w:t>
      </w:r>
      <w:r w:rsidRPr="002C3685">
        <w:rPr>
          <w:rFonts w:ascii="Verdana" w:hAnsi="Verdana"/>
          <w:b/>
          <w:sz w:val="20"/>
          <w:szCs w:val="20"/>
          <w:u w:val="single"/>
        </w:rPr>
        <w:t>Colombia: reparaciones declaradas cumplidas</w:t>
      </w:r>
    </w:p>
    <w:p w:rsidR="002C3685" w:rsidRDefault="002C3685" w:rsidP="002C3685">
      <w:pPr>
        <w:rPr>
          <w:rFonts w:ascii="Verdana" w:hAnsi="Verdana"/>
          <w:b/>
          <w:sz w:val="20"/>
          <w:szCs w:val="20"/>
          <w:u w:val="single"/>
        </w:rPr>
      </w:pPr>
    </w:p>
    <w:p w:rsidR="004E6D5B" w:rsidRDefault="004E6D5B" w:rsidP="002C3685">
      <w:pPr>
        <w:rPr>
          <w:rFonts w:ascii="Verdana" w:hAnsi="Verdana"/>
          <w:b/>
          <w:sz w:val="20"/>
          <w:szCs w:val="20"/>
          <w:u w:val="single"/>
        </w:rPr>
      </w:pPr>
    </w:p>
    <w:p w:rsidR="004E6D5B" w:rsidRDefault="004E6D5B" w:rsidP="004E6D5B">
      <w:pPr>
        <w:pStyle w:val="Prrafodelista"/>
        <w:numPr>
          <w:ilvl w:val="0"/>
          <w:numId w:val="2"/>
        </w:numPr>
        <w:ind w:left="360"/>
        <w:jc w:val="both"/>
        <w:rPr>
          <w:rFonts w:ascii="Verdana" w:hAnsi="Verdana"/>
          <w:sz w:val="20"/>
        </w:rPr>
      </w:pPr>
      <w:r>
        <w:rPr>
          <w:rFonts w:ascii="Verdana" w:hAnsi="Verdana"/>
          <w:sz w:val="20"/>
        </w:rPr>
        <w:t>R</w:t>
      </w:r>
      <w:r w:rsidR="002C3685" w:rsidRPr="004E6D5B">
        <w:rPr>
          <w:rFonts w:ascii="Verdana" w:hAnsi="Verdana"/>
          <w:sz w:val="20"/>
        </w:rPr>
        <w:t>ealizar, en el plazo de un año, contado a partir de la notificación de la presente Sentencia, un acto de disculpa pública y reconocimiento de responsabilidad internacional, en relación con las violaciones declaradas en la misma y de desagravio a las personas desaparecidas, a las privadas de la vida y a sus familiares, por haber incumplido sus obligaciones de garantizar los derechos a la vida, a la integridad personal y a la libertad personal de esas personas, como consecuencia de las faltas del Estado a sus deberes de prevención, protección e investigación, así como por las violaciones a los derechos de acceso a la justicia, protección judicial y garantías judiciales cometidas en su perjuicio,</w:t>
      </w:r>
      <w:r w:rsidR="002C3685" w:rsidRPr="004E6D5B">
        <w:rPr>
          <w:rFonts w:ascii="Verdana" w:hAnsi="Verdana"/>
          <w:b/>
          <w:sz w:val="20"/>
        </w:rPr>
        <w:t xml:space="preserve"> </w:t>
      </w:r>
      <w:r w:rsidR="002C3685" w:rsidRPr="004E6D5B">
        <w:rPr>
          <w:rFonts w:ascii="Verdana" w:hAnsi="Verdana"/>
          <w:sz w:val="20"/>
        </w:rPr>
        <w:t>en presencia de altas autoridades del Estado, en los términos de los párrafos 277 y 286 de la presente Sentencia.</w:t>
      </w:r>
    </w:p>
    <w:p w:rsidR="004E6D5B" w:rsidRDefault="004E6D5B" w:rsidP="004E6D5B">
      <w:pPr>
        <w:pStyle w:val="Prrafodelista"/>
        <w:ind w:left="360" w:hanging="360"/>
        <w:jc w:val="both"/>
        <w:rPr>
          <w:rFonts w:ascii="Verdana" w:hAnsi="Verdana"/>
          <w:sz w:val="20"/>
        </w:rPr>
      </w:pPr>
    </w:p>
    <w:p w:rsidR="002C3685" w:rsidRDefault="004E6D5B" w:rsidP="004E6D5B">
      <w:pPr>
        <w:pStyle w:val="Prrafodelista"/>
        <w:numPr>
          <w:ilvl w:val="0"/>
          <w:numId w:val="2"/>
        </w:numPr>
        <w:ind w:left="360"/>
        <w:jc w:val="both"/>
        <w:rPr>
          <w:rFonts w:ascii="Verdana" w:hAnsi="Verdana"/>
          <w:sz w:val="20"/>
        </w:rPr>
      </w:pPr>
      <w:r>
        <w:rPr>
          <w:rFonts w:ascii="Verdana" w:hAnsi="Verdana"/>
          <w:sz w:val="20"/>
        </w:rPr>
        <w:t>P</w:t>
      </w:r>
      <w:r w:rsidR="002C3685" w:rsidRPr="004E6D5B">
        <w:rPr>
          <w:rFonts w:ascii="Verdana" w:hAnsi="Verdana"/>
          <w:sz w:val="20"/>
        </w:rPr>
        <w:t>ublicar, dentro del plazo de seis meses, contado a partir de la notificación de la presente Sentencia, por una vez, en el Diario Oficial y en otro diario de circulación nacional, la sección de esta Sentencia denominada Hechos Probados, sin las notas al pie de página correspondientes, así como la parte resolutiva de la misma, en los términos de los párrafos 279 y 286 de esta Sentencia.</w:t>
      </w:r>
    </w:p>
    <w:p w:rsidR="0069635F" w:rsidRPr="0069635F" w:rsidRDefault="0069635F" w:rsidP="0069635F">
      <w:pPr>
        <w:pStyle w:val="Prrafodelista"/>
        <w:rPr>
          <w:rFonts w:ascii="Verdana" w:hAnsi="Verdana"/>
          <w:sz w:val="20"/>
        </w:rPr>
      </w:pPr>
    </w:p>
    <w:p w:rsidR="0069635F" w:rsidRDefault="0069635F" w:rsidP="0069635F">
      <w:pPr>
        <w:pStyle w:val="Prrafodelista"/>
        <w:numPr>
          <w:ilvl w:val="0"/>
          <w:numId w:val="2"/>
        </w:numPr>
        <w:ind w:left="360"/>
        <w:jc w:val="both"/>
        <w:rPr>
          <w:rFonts w:ascii="Verdana" w:hAnsi="Verdana"/>
          <w:sz w:val="20"/>
        </w:rPr>
      </w:pPr>
      <w:r w:rsidRPr="008D7E6F">
        <w:rPr>
          <w:rFonts w:ascii="Verdana" w:hAnsi="Verdana"/>
          <w:sz w:val="20"/>
        </w:rPr>
        <w:t>Pagar las cantidades fijadas en el Anexo I de la presente Sentencia, a favor de los familiares de las personas desaparecidas y privadas de la vida, por concepto de daño material, en los términos de los párrafos 234 a 241, 246 a 251, 286, 288 y 290 a 294 de la misma.</w:t>
      </w:r>
    </w:p>
    <w:p w:rsidR="0069635F" w:rsidRPr="008D7E6F" w:rsidRDefault="0069635F" w:rsidP="0069635F">
      <w:pPr>
        <w:pStyle w:val="Prrafodelista"/>
        <w:rPr>
          <w:rFonts w:ascii="Verdana" w:hAnsi="Verdana"/>
          <w:sz w:val="20"/>
        </w:rPr>
      </w:pPr>
    </w:p>
    <w:p w:rsidR="0069635F" w:rsidRDefault="0069635F" w:rsidP="0069635F">
      <w:pPr>
        <w:pStyle w:val="Prrafodelista"/>
        <w:numPr>
          <w:ilvl w:val="0"/>
          <w:numId w:val="2"/>
        </w:numPr>
        <w:ind w:left="360"/>
        <w:jc w:val="both"/>
        <w:rPr>
          <w:rFonts w:ascii="Verdana" w:hAnsi="Verdana"/>
          <w:sz w:val="20"/>
        </w:rPr>
      </w:pPr>
      <w:r w:rsidRPr="008D7E6F">
        <w:rPr>
          <w:rFonts w:ascii="Verdana" w:hAnsi="Verdana"/>
          <w:sz w:val="20"/>
        </w:rPr>
        <w:t>Pagar las cantidades fijadas en el Anexo II de la presente Sentencia, a favor de los familiares de las personas desaparecidas y privadas de la vida, por concepto de daño inmaterial, en los términos de los párrafos 234 a 241, 254 a 259, 286, 288 y 290 a 294 de la misma.</w:t>
      </w:r>
    </w:p>
    <w:p w:rsidR="0069635F" w:rsidRDefault="0069635F" w:rsidP="0069635F">
      <w:pPr>
        <w:pStyle w:val="Prrafodelista"/>
        <w:ind w:left="360"/>
        <w:jc w:val="both"/>
        <w:rPr>
          <w:rFonts w:ascii="Verdana" w:hAnsi="Verdana"/>
          <w:sz w:val="20"/>
        </w:rPr>
      </w:pPr>
    </w:p>
    <w:p w:rsidR="00926AC3" w:rsidRDefault="00926AC3" w:rsidP="00926AC3">
      <w:pPr>
        <w:pStyle w:val="Prrafodelista"/>
        <w:ind w:left="360"/>
        <w:jc w:val="both"/>
        <w:rPr>
          <w:rFonts w:ascii="Verdana" w:hAnsi="Verdana"/>
          <w:sz w:val="20"/>
        </w:rPr>
      </w:pPr>
    </w:p>
    <w:p w:rsidR="00926AC3" w:rsidRPr="00042007" w:rsidRDefault="00926AC3" w:rsidP="00926AC3">
      <w:pPr>
        <w:jc w:val="both"/>
        <w:rPr>
          <w:rFonts w:ascii="Verdana" w:hAnsi="Verdana"/>
          <w:b/>
          <w:sz w:val="20"/>
          <w:u w:val="single"/>
        </w:rPr>
      </w:pPr>
      <w:r w:rsidRPr="00042007">
        <w:rPr>
          <w:rFonts w:ascii="Verdana" w:hAnsi="Verdana"/>
          <w:b/>
          <w:sz w:val="20"/>
          <w:u w:val="single"/>
        </w:rPr>
        <w:t>Cumplimiento parcial:</w:t>
      </w:r>
    </w:p>
    <w:p w:rsidR="00926AC3" w:rsidRDefault="00926AC3" w:rsidP="00926AC3">
      <w:pPr>
        <w:jc w:val="both"/>
        <w:rPr>
          <w:rFonts w:ascii="Verdana" w:hAnsi="Verdana"/>
          <w:sz w:val="20"/>
        </w:rPr>
      </w:pPr>
    </w:p>
    <w:p w:rsidR="00926AC3" w:rsidRDefault="00926AC3" w:rsidP="00926AC3">
      <w:pPr>
        <w:jc w:val="both"/>
        <w:rPr>
          <w:rFonts w:ascii="Verdana" w:hAnsi="Verdana"/>
          <w:sz w:val="20"/>
        </w:rPr>
      </w:pPr>
    </w:p>
    <w:p w:rsidR="0069635F" w:rsidRPr="0069635F" w:rsidRDefault="0069635F" w:rsidP="0069635F">
      <w:pPr>
        <w:pStyle w:val="Prrafodelista"/>
        <w:numPr>
          <w:ilvl w:val="0"/>
          <w:numId w:val="2"/>
        </w:numPr>
        <w:ind w:left="284"/>
        <w:jc w:val="both"/>
        <w:rPr>
          <w:rFonts w:ascii="Verdana" w:hAnsi="Verdana"/>
          <w:sz w:val="16"/>
        </w:rPr>
      </w:pPr>
      <w:r>
        <w:rPr>
          <w:rFonts w:ascii="Verdana" w:hAnsi="Verdana"/>
          <w:sz w:val="20"/>
        </w:rPr>
        <w:t>R</w:t>
      </w:r>
      <w:r w:rsidRPr="0069635F">
        <w:rPr>
          <w:rFonts w:ascii="Verdana" w:hAnsi="Verdana"/>
          <w:sz w:val="20"/>
        </w:rPr>
        <w:t>ealizar inmediatamente las debidas diligencias para activar y completar eficazmente, en un plazo razonable, la investigación para determinar la responsabilidad de todos los partícipes en la masacre, así como la de quienes hubiesen sido responsables por acción o por omisión del incumplimiento de la obligación estatal de garantizar los derechos violados y adoptar las medidas pertinentes para que las violaciones a los derechos humanos cometidas sean efectivamente investigadas en procesos en los que se otorguen todas las garantías judiciales, con el fin de evitar la repetición de hechos tan graves como los que ocurrieron en la masacre de Pueblo Bello</w:t>
      </w:r>
      <w:r>
        <w:rPr>
          <w:rFonts w:ascii="Verdana" w:hAnsi="Verdana"/>
          <w:sz w:val="20"/>
        </w:rPr>
        <w:t xml:space="preserve">, </w:t>
      </w:r>
      <w:r w:rsidRPr="0069635F">
        <w:rPr>
          <w:rFonts w:ascii="Verdana" w:hAnsi="Verdana"/>
          <w:sz w:val="20"/>
        </w:rPr>
        <w:t xml:space="preserve">en los términos de los párrafos 265 a 268 y 287 de </w:t>
      </w:r>
      <w:r>
        <w:rPr>
          <w:rFonts w:ascii="Verdana" w:hAnsi="Verdana"/>
          <w:sz w:val="20"/>
        </w:rPr>
        <w:t>l</w:t>
      </w:r>
      <w:r w:rsidRPr="0069635F">
        <w:rPr>
          <w:rFonts w:ascii="Verdana" w:hAnsi="Verdana"/>
          <w:sz w:val="20"/>
        </w:rPr>
        <w:t>a Sentencia.</w:t>
      </w:r>
    </w:p>
    <w:p w:rsidR="0069635F" w:rsidRPr="0069635F" w:rsidRDefault="0069635F" w:rsidP="0069635F">
      <w:pPr>
        <w:pStyle w:val="Prrafodelista"/>
        <w:ind w:left="284"/>
        <w:jc w:val="both"/>
        <w:rPr>
          <w:rFonts w:ascii="Verdana" w:hAnsi="Verdana"/>
          <w:sz w:val="16"/>
        </w:rPr>
      </w:pPr>
    </w:p>
    <w:p w:rsidR="0069635F" w:rsidRPr="0069635F" w:rsidRDefault="0069635F" w:rsidP="0069635F">
      <w:pPr>
        <w:pStyle w:val="Prrafodelista"/>
        <w:numPr>
          <w:ilvl w:val="0"/>
          <w:numId w:val="2"/>
        </w:numPr>
        <w:ind w:left="284"/>
        <w:jc w:val="both"/>
        <w:rPr>
          <w:rFonts w:ascii="Verdana" w:hAnsi="Verdana"/>
          <w:sz w:val="16"/>
        </w:rPr>
      </w:pPr>
      <w:r>
        <w:rPr>
          <w:rFonts w:ascii="Verdana" w:hAnsi="Verdana"/>
          <w:sz w:val="20"/>
        </w:rPr>
        <w:t>R</w:t>
      </w:r>
      <w:r w:rsidRPr="0069635F">
        <w:rPr>
          <w:rFonts w:ascii="Verdana" w:hAnsi="Verdana"/>
          <w:sz w:val="20"/>
        </w:rPr>
        <w:t>ealizar las acciones necesarias para garantizar las condiciones de seguridad para que los familiares de las personas desaparecidas y privadas de la vida, así como otros ex pobladores de Pueblo Bello, que se hayan visto desplazados, puedan regresar a tal localidad, en caso que así lo deseen e implementar un progra</w:t>
      </w:r>
      <w:r>
        <w:rPr>
          <w:rFonts w:ascii="Verdana" w:hAnsi="Verdana"/>
          <w:sz w:val="20"/>
        </w:rPr>
        <w:t>ma habitacional de vivienda</w:t>
      </w:r>
      <w:r w:rsidRPr="0069635F">
        <w:rPr>
          <w:rFonts w:ascii="Verdana" w:hAnsi="Verdana"/>
          <w:sz w:val="20"/>
          <w:szCs w:val="20"/>
        </w:rPr>
        <w:t xml:space="preserve">, </w:t>
      </w:r>
      <w:r w:rsidRPr="0069635F">
        <w:rPr>
          <w:rFonts w:ascii="Verdana" w:hAnsi="Verdana"/>
          <w:sz w:val="20"/>
          <w:szCs w:val="20"/>
        </w:rPr>
        <w:t xml:space="preserve">en los términos de los párrafos 275, 276 y 287 de </w:t>
      </w:r>
      <w:r>
        <w:rPr>
          <w:rFonts w:ascii="Verdana" w:hAnsi="Verdana"/>
          <w:sz w:val="20"/>
          <w:szCs w:val="20"/>
        </w:rPr>
        <w:t>l</w:t>
      </w:r>
      <w:r w:rsidRPr="0069635F">
        <w:rPr>
          <w:rFonts w:ascii="Verdana" w:hAnsi="Verdana"/>
          <w:sz w:val="20"/>
          <w:szCs w:val="20"/>
        </w:rPr>
        <w:t>a Sentencia.</w:t>
      </w:r>
    </w:p>
    <w:p w:rsidR="0069635F" w:rsidRPr="0069635F" w:rsidRDefault="0069635F" w:rsidP="0069635F">
      <w:pPr>
        <w:pStyle w:val="Prrafodelista"/>
        <w:rPr>
          <w:rFonts w:ascii="Verdana" w:hAnsi="Verdana"/>
          <w:sz w:val="20"/>
        </w:rPr>
      </w:pPr>
    </w:p>
    <w:p w:rsidR="00926AC3" w:rsidRPr="0069635F" w:rsidRDefault="0069635F" w:rsidP="0069635F">
      <w:pPr>
        <w:pStyle w:val="Prrafodelista"/>
        <w:numPr>
          <w:ilvl w:val="0"/>
          <w:numId w:val="2"/>
        </w:numPr>
        <w:ind w:left="284"/>
        <w:jc w:val="both"/>
        <w:rPr>
          <w:rFonts w:ascii="Verdana" w:hAnsi="Verdana"/>
          <w:sz w:val="16"/>
        </w:rPr>
      </w:pPr>
      <w:r>
        <w:rPr>
          <w:rFonts w:ascii="Verdana" w:hAnsi="Verdana"/>
          <w:sz w:val="20"/>
        </w:rPr>
        <w:t>P</w:t>
      </w:r>
      <w:r w:rsidRPr="0069635F">
        <w:rPr>
          <w:rFonts w:ascii="Verdana" w:hAnsi="Verdana"/>
          <w:sz w:val="20"/>
        </w:rPr>
        <w:t xml:space="preserve">agar las cantidades fijadas </w:t>
      </w:r>
      <w:r>
        <w:rPr>
          <w:rFonts w:ascii="Verdana" w:hAnsi="Verdana"/>
          <w:sz w:val="20"/>
        </w:rPr>
        <w:t>por concepto de costas y gasto</w:t>
      </w:r>
      <w:r w:rsidRPr="0069635F">
        <w:rPr>
          <w:rFonts w:ascii="Verdana" w:hAnsi="Verdana"/>
          <w:sz w:val="20"/>
          <w:szCs w:val="20"/>
        </w:rPr>
        <w:t xml:space="preserve">s, </w:t>
      </w:r>
      <w:r w:rsidRPr="0069635F">
        <w:rPr>
          <w:rFonts w:ascii="Verdana" w:hAnsi="Verdana"/>
          <w:sz w:val="20"/>
          <w:szCs w:val="20"/>
        </w:rPr>
        <w:t>en los términos de los párrafos 283 a 286, 289, 291</w:t>
      </w:r>
      <w:r>
        <w:rPr>
          <w:rFonts w:ascii="Verdana" w:hAnsi="Verdana"/>
          <w:sz w:val="20"/>
          <w:szCs w:val="20"/>
        </w:rPr>
        <w:t xml:space="preserve"> y 294 de la </w:t>
      </w:r>
      <w:bookmarkStart w:id="0" w:name="_GoBack"/>
      <w:bookmarkEnd w:id="0"/>
      <w:r>
        <w:rPr>
          <w:rFonts w:ascii="Verdana" w:hAnsi="Verdana"/>
          <w:sz w:val="20"/>
          <w:szCs w:val="20"/>
        </w:rPr>
        <w:t>Sentencia,</w:t>
      </w:r>
      <w:r w:rsidRPr="0069635F">
        <w:rPr>
          <w:rFonts w:ascii="Verdana" w:hAnsi="Verdana"/>
          <w:sz w:val="20"/>
          <w:szCs w:val="20"/>
        </w:rPr>
        <w:t xml:space="preserve"> </w:t>
      </w:r>
      <w:r w:rsidRPr="0069635F">
        <w:rPr>
          <w:rFonts w:ascii="Verdana" w:hAnsi="Verdana"/>
          <w:sz w:val="20"/>
        </w:rPr>
        <w:t>ya que reintegró el monto a una de las organizaciones representantes de las víctimas, quedando pendiente que acredite el pago a las otras dos organizaciones.</w:t>
      </w:r>
    </w:p>
    <w:p w:rsidR="002C3685" w:rsidRPr="002C3685" w:rsidRDefault="002C3685" w:rsidP="002C3685">
      <w:pPr>
        <w:rPr>
          <w:rFonts w:ascii="Verdana" w:hAnsi="Verdana"/>
          <w:b/>
          <w:sz w:val="20"/>
          <w:szCs w:val="20"/>
          <w:u w:val="single"/>
        </w:rPr>
      </w:pPr>
    </w:p>
    <w:sectPr w:rsidR="002C3685" w:rsidRPr="002C36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DE" w:rsidRDefault="000C75DE" w:rsidP="002C3685">
      <w:r>
        <w:separator/>
      </w:r>
    </w:p>
  </w:endnote>
  <w:endnote w:type="continuationSeparator" w:id="0">
    <w:p w:rsidR="000C75DE" w:rsidRDefault="000C75DE"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685" w:rsidRPr="00F35356" w:rsidRDefault="002C3685" w:rsidP="002C3685">
    <w:pPr>
      <w:pStyle w:val="Piedepgina"/>
      <w:jc w:val="both"/>
      <w:rPr>
        <w:lang w:val="es-MX"/>
      </w:rPr>
    </w:pPr>
    <w:r w:rsidRPr="00911C21">
      <w:rPr>
        <w:rFonts w:ascii="Verdana" w:hAnsi="Verdana"/>
        <w:bCs/>
        <w:sz w:val="16"/>
        <w:szCs w:val="16"/>
        <w:lang w:val="es-MX"/>
      </w:rPr>
      <w:t xml:space="preserve">La presente sistematización de información fue </w:t>
    </w:r>
    <w:r w:rsidR="009910A4">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r>
      <w:rPr>
        <w:rFonts w:ascii="Verdana" w:hAnsi="Verdana"/>
        <w:bCs/>
        <w:sz w:val="16"/>
        <w:szCs w:val="16"/>
        <w:lang w:val="es-MX"/>
      </w:rPr>
      <w:t>.</w:t>
    </w:r>
  </w:p>
  <w:p w:rsidR="002C3685" w:rsidRPr="002C3685" w:rsidRDefault="002C368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DE" w:rsidRDefault="000C75DE" w:rsidP="002C3685">
      <w:r>
        <w:separator/>
      </w:r>
    </w:p>
  </w:footnote>
  <w:footnote w:type="continuationSeparator" w:id="0">
    <w:p w:rsidR="000C75DE" w:rsidRDefault="000C75DE" w:rsidP="002C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sdtContent>
      <w:p w:rsidR="00C22285" w:rsidRDefault="00C22285" w:rsidP="00C22285">
        <w:pPr>
          <w:pStyle w:val="Encabezado"/>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69635F">
          <w:rPr>
            <w:rFonts w:ascii="Verdana" w:hAnsi="Verdana"/>
            <w:noProof/>
            <w:sz w:val="20"/>
            <w:szCs w:val="20"/>
          </w:rPr>
          <w:t>1</w:t>
        </w:r>
        <w:r>
          <w:rPr>
            <w:rFonts w:ascii="Verdana" w:hAnsi="Verdana"/>
            <w:noProof/>
            <w:sz w:val="20"/>
            <w:szCs w:val="20"/>
          </w:rPr>
          <w:fldChar w:fldCharType="end"/>
        </w:r>
      </w:p>
    </w:sdtContent>
  </w:sdt>
  <w:p w:rsidR="00C22285" w:rsidRDefault="00C222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D3E"/>
    <w:multiLevelType w:val="hybridMultilevel"/>
    <w:tmpl w:val="6032B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53A69"/>
    <w:multiLevelType w:val="hybridMultilevel"/>
    <w:tmpl w:val="31505988"/>
    <w:lvl w:ilvl="0" w:tplc="72EAE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60505"/>
    <w:multiLevelType w:val="hybridMultilevel"/>
    <w:tmpl w:val="D2BE4064"/>
    <w:lvl w:ilvl="0" w:tplc="86F4CAC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5"/>
    <w:rsid w:val="000234F7"/>
    <w:rsid w:val="000C75DE"/>
    <w:rsid w:val="002C3685"/>
    <w:rsid w:val="003A7E5E"/>
    <w:rsid w:val="004E6D5B"/>
    <w:rsid w:val="0069635F"/>
    <w:rsid w:val="00926AC3"/>
    <w:rsid w:val="009832C0"/>
    <w:rsid w:val="009910A4"/>
    <w:rsid w:val="00C22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1B35"/>
  <w15:docId w15:val="{85070E88-6738-4775-8F8C-7917BD7C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5"/>
    <w:pPr>
      <w:spacing w:after="0" w:line="240" w:lineRule="auto"/>
    </w:pPr>
    <w:rPr>
      <w:rFonts w:ascii="Times New Roman" w:eastAsia="Times New Roman" w:hAnsi="Times New Roman"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3685"/>
    <w:pPr>
      <w:tabs>
        <w:tab w:val="center" w:pos="4680"/>
        <w:tab w:val="right" w:pos="9360"/>
      </w:tabs>
    </w:pPr>
  </w:style>
  <w:style w:type="character" w:customStyle="1" w:styleId="EncabezadoCar">
    <w:name w:val="Encabezado Car"/>
    <w:basedOn w:val="Fuentedeprrafopredeter"/>
    <w:link w:val="Encabezado"/>
    <w:uiPriority w:val="99"/>
    <w:rsid w:val="002C3685"/>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2C3685"/>
    <w:pPr>
      <w:tabs>
        <w:tab w:val="center" w:pos="4680"/>
        <w:tab w:val="right" w:pos="9360"/>
      </w:tabs>
    </w:pPr>
  </w:style>
  <w:style w:type="character" w:customStyle="1" w:styleId="PiedepginaCar">
    <w:name w:val="Pie de página Car"/>
    <w:basedOn w:val="Fuentedeprrafopredeter"/>
    <w:link w:val="Piedepgina"/>
    <w:uiPriority w:val="99"/>
    <w:rsid w:val="002C3685"/>
    <w:rPr>
      <w:rFonts w:ascii="Times New Roman" w:eastAsia="Times New Roman" w:hAnsi="Times New Roman" w:cs="Times New Roman"/>
      <w:sz w:val="24"/>
      <w:szCs w:val="24"/>
      <w:lang w:val="es-ES_tradnl"/>
    </w:rPr>
  </w:style>
  <w:style w:type="paragraph" w:styleId="Prrafodelista">
    <w:name w:val="List Paragraph"/>
    <w:basedOn w:val="Normal"/>
    <w:uiPriority w:val="34"/>
    <w:qFormat/>
    <w:rsid w:val="004E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Tsaitami Ordonez</cp:lastModifiedBy>
  <cp:revision>8</cp:revision>
  <dcterms:created xsi:type="dcterms:W3CDTF">2016-09-28T19:51:00Z</dcterms:created>
  <dcterms:modified xsi:type="dcterms:W3CDTF">2021-02-18T19:56:00Z</dcterms:modified>
</cp:coreProperties>
</file>