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034"/>
        <w:rPr>
          <w:u w:val="none"/>
        </w:rPr>
      </w:pPr>
      <w:r>
        <w:rPr>
          <w:u w:val="thick"/>
        </w:rPr>
        <w:t>Caso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Masacre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Pueblo</w:t>
      </w:r>
      <w:r>
        <w:rPr>
          <w:spacing w:val="-2"/>
          <w:u w:val="thick"/>
        </w:rPr>
        <w:t> </w:t>
      </w:r>
      <w:r>
        <w:rPr>
          <w:u w:val="thick"/>
        </w:rPr>
        <w:t>Bello</w:t>
      </w:r>
      <w:r>
        <w:rPr>
          <w:spacing w:val="-2"/>
          <w:u w:val="thick"/>
        </w:rPr>
        <w:t> </w:t>
      </w:r>
      <w:r>
        <w:rPr>
          <w:i/>
          <w:u w:val="thick"/>
        </w:rPr>
        <w:t>Vs.</w:t>
      </w:r>
      <w:r>
        <w:rPr>
          <w:i/>
          <w:spacing w:val="-3"/>
          <w:u w:val="thick"/>
        </w:rPr>
        <w:t> </w:t>
      </w:r>
      <w:r>
        <w:rPr>
          <w:u w:val="thick"/>
        </w:rPr>
        <w:t>Colombia:</w:t>
      </w:r>
      <w:r>
        <w:rPr>
          <w:spacing w:val="-3"/>
          <w:u w:val="thick"/>
        </w:rPr>
        <w:t> </w:t>
      </w:r>
      <w:r>
        <w:rPr>
          <w:u w:val="thick"/>
        </w:rPr>
        <w:t>reparaciones</w:t>
      </w:r>
      <w:r>
        <w:rPr>
          <w:spacing w:val="-3"/>
          <w:u w:val="thick"/>
        </w:rPr>
        <w:t> </w:t>
      </w:r>
      <w:r>
        <w:rPr>
          <w:u w:val="thick"/>
        </w:rPr>
        <w:t>pendientes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65"/>
          <w:u w:val="none"/>
        </w:rPr>
        <w:t> </w:t>
      </w:r>
      <w:r>
        <w:rPr>
          <w:u w:val="thick"/>
        </w:rPr>
        <w:t>cumplimiento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99" w:after="0"/>
        <w:ind w:left="479" w:right="115" w:hanging="360"/>
        <w:jc w:val="both"/>
        <w:rPr>
          <w:sz w:val="20"/>
        </w:rPr>
      </w:pPr>
      <w:r>
        <w:rPr>
          <w:sz w:val="20"/>
        </w:rPr>
        <w:t>Adoptar inmediatamente las medidas pertinentes para buscar e identificar a las víctimas</w:t>
      </w:r>
      <w:r>
        <w:rPr>
          <w:spacing w:val="1"/>
          <w:sz w:val="20"/>
        </w:rPr>
        <w:t> </w:t>
      </w:r>
      <w:r>
        <w:rPr>
          <w:sz w:val="20"/>
        </w:rPr>
        <w:t>desaparecidas, así como para entregar los restos mortales a sus familiares y cubrir los</w:t>
      </w:r>
      <w:r>
        <w:rPr>
          <w:spacing w:val="1"/>
          <w:sz w:val="20"/>
        </w:rPr>
        <w:t> </w:t>
      </w:r>
      <w:r>
        <w:rPr>
          <w:sz w:val="20"/>
        </w:rPr>
        <w:t>gastos de entierro de aquéllos, en un plazo razonable. Para estos efectos, deberá</w:t>
      </w:r>
      <w:r>
        <w:rPr>
          <w:spacing w:val="1"/>
          <w:sz w:val="20"/>
        </w:rPr>
        <w:t> </w:t>
      </w:r>
      <w:r>
        <w:rPr>
          <w:sz w:val="20"/>
        </w:rPr>
        <w:t>completar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emprendidas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recuperar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desaparecidas, así como cualesquiera otras que resulten necesarias, para lo cual deberá</w:t>
      </w:r>
      <w:r>
        <w:rPr>
          <w:spacing w:val="1"/>
          <w:sz w:val="20"/>
        </w:rPr>
        <w:t> </w:t>
      </w:r>
      <w:r>
        <w:rPr>
          <w:sz w:val="20"/>
        </w:rPr>
        <w:t>emplear todos los medios técnicos y científicos posibles, tomando en cuenta las normas</w:t>
      </w:r>
      <w:r>
        <w:rPr>
          <w:spacing w:val="1"/>
          <w:sz w:val="20"/>
        </w:rPr>
        <w:t> </w:t>
      </w:r>
      <w:r>
        <w:rPr>
          <w:sz w:val="20"/>
        </w:rPr>
        <w:t>internacionales pertinentes en la materia, en los términos de los párrafos 270 a 273 y</w:t>
      </w:r>
      <w:r>
        <w:rPr>
          <w:spacing w:val="1"/>
          <w:sz w:val="20"/>
        </w:rPr>
        <w:t> </w:t>
      </w:r>
      <w:r>
        <w:rPr>
          <w:sz w:val="20"/>
        </w:rPr>
        <w:t>287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115" w:hanging="360"/>
        <w:jc w:val="both"/>
        <w:rPr>
          <w:sz w:val="20"/>
        </w:rPr>
      </w:pPr>
      <w:r>
        <w:rPr>
          <w:sz w:val="20"/>
        </w:rPr>
        <w:t>Garantizar que, independientemente de las acciones específicas señaladas en el punto</w:t>
      </w:r>
      <w:r>
        <w:rPr>
          <w:spacing w:val="1"/>
          <w:sz w:val="20"/>
        </w:rPr>
        <w:t> </w:t>
      </w:r>
      <w:r>
        <w:rPr>
          <w:sz w:val="20"/>
        </w:rPr>
        <w:t>resolutivo anterior, las entidades oficiales correspondientes hagan uso de dichas normas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instrumental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identificación de personas desaparecidas o privadas de la vida,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 270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271</w:t>
      </w:r>
      <w:r>
        <w:rPr>
          <w:spacing w:val="-1"/>
          <w:sz w:val="20"/>
        </w:rPr>
        <w:t> </w:t>
      </w:r>
      <w:r>
        <w:rPr>
          <w:sz w:val="20"/>
        </w:rPr>
        <w:t>de la 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118" w:hanging="360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22"/>
          <w:sz w:val="20"/>
        </w:rPr>
        <w:t> </w:t>
      </w:r>
      <w:r>
        <w:rPr>
          <w:sz w:val="20"/>
        </w:rPr>
        <w:t>tratamiento</w:t>
      </w:r>
      <w:r>
        <w:rPr>
          <w:spacing w:val="22"/>
          <w:sz w:val="20"/>
        </w:rPr>
        <w:t> </w:t>
      </w:r>
      <w:r>
        <w:rPr>
          <w:sz w:val="20"/>
        </w:rPr>
        <w:t>médico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psicológico,</w:t>
      </w:r>
      <w:r>
        <w:rPr>
          <w:spacing w:val="23"/>
          <w:sz w:val="20"/>
        </w:rPr>
        <w:t> </w:t>
      </w:r>
      <w:r>
        <w:rPr>
          <w:sz w:val="20"/>
        </w:rPr>
        <w:t>según</w:t>
      </w:r>
      <w:r>
        <w:rPr>
          <w:spacing w:val="21"/>
          <w:sz w:val="20"/>
        </w:rPr>
        <w:t> </w:t>
      </w:r>
      <w:r>
        <w:rPr>
          <w:sz w:val="20"/>
        </w:rPr>
        <w:t>sea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caso,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todos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3"/>
          <w:sz w:val="20"/>
        </w:rPr>
        <w:t> </w:t>
      </w:r>
      <w:r>
        <w:rPr>
          <w:sz w:val="20"/>
        </w:rPr>
        <w:t>familiares</w:t>
      </w:r>
      <w:r>
        <w:rPr>
          <w:spacing w:val="-68"/>
          <w:sz w:val="20"/>
        </w:rPr>
        <w:t> </w:t>
      </w:r>
      <w:r>
        <w:rPr>
          <w:sz w:val="20"/>
        </w:rPr>
        <w:t>de las 37 personas desaparecidas y de las seis privadas de la vida que lo requieran, a</w:t>
      </w:r>
      <w:r>
        <w:rPr>
          <w:spacing w:val="1"/>
          <w:sz w:val="20"/>
        </w:rPr>
        <w:t> </w:t>
      </w:r>
      <w:r>
        <w:rPr>
          <w:sz w:val="20"/>
        </w:rPr>
        <w:t>partir de la notificación de la presente Sentencia a quienes ya están identificados, y a</w:t>
      </w:r>
      <w:r>
        <w:rPr>
          <w:spacing w:val="1"/>
          <w:sz w:val="20"/>
        </w:rPr>
        <w:t> </w:t>
      </w:r>
      <w:r>
        <w:rPr>
          <w:sz w:val="20"/>
        </w:rPr>
        <w:t>partir del momento en que realice su identificación en el caso de quienes no lo están</w:t>
      </w:r>
      <w:r>
        <w:rPr>
          <w:spacing w:val="1"/>
          <w:sz w:val="20"/>
        </w:rPr>
        <w:t> </w:t>
      </w:r>
      <w:r>
        <w:rPr>
          <w:sz w:val="20"/>
        </w:rPr>
        <w:t>actualmente, y por el tiempo que sea necesario, en los términos de los párrafos 274 y</w:t>
      </w:r>
      <w:r>
        <w:rPr>
          <w:spacing w:val="1"/>
          <w:sz w:val="20"/>
        </w:rPr>
        <w:t> </w:t>
      </w:r>
      <w:r>
        <w:rPr>
          <w:sz w:val="20"/>
        </w:rPr>
        <w:t>287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118" w:hanging="360"/>
        <w:jc w:val="both"/>
        <w:rPr>
          <w:sz w:val="20"/>
        </w:rPr>
      </w:pPr>
      <w:r>
        <w:rPr>
          <w:sz w:val="20"/>
        </w:rPr>
        <w:t>Construir, en el</w:t>
      </w:r>
      <w:r>
        <w:rPr>
          <w:spacing w:val="70"/>
          <w:sz w:val="20"/>
        </w:rPr>
        <w:t> </w:t>
      </w:r>
      <w:r>
        <w:rPr>
          <w:sz w:val="20"/>
        </w:rPr>
        <w:t>plazo de un año, contado a partir de la notificación de esta Sentencia,</w:t>
      </w:r>
      <w:r>
        <w:rPr>
          <w:spacing w:val="1"/>
          <w:sz w:val="20"/>
        </w:rPr>
        <w:t> </w:t>
      </w:r>
      <w:r>
        <w:rPr>
          <w:sz w:val="20"/>
        </w:rPr>
        <w:t>un monumento apropiado y digno para recordar los hechos de la masacre de Pueblo</w:t>
      </w:r>
      <w:r>
        <w:rPr>
          <w:spacing w:val="1"/>
          <w:sz w:val="20"/>
        </w:rPr>
        <w:t> </w:t>
      </w:r>
      <w:r>
        <w:rPr>
          <w:sz w:val="20"/>
        </w:rPr>
        <w:t>Bello,</w:t>
      </w:r>
      <w:r>
        <w:rPr>
          <w:spacing w:val="-3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-2"/>
          <w:sz w:val="20"/>
        </w:rPr>
        <w:t> </w:t>
      </w:r>
      <w:r>
        <w:rPr>
          <w:sz w:val="20"/>
        </w:rPr>
        <w:t>278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286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rPr>
          <w:sz w:val="24"/>
        </w:rPr>
      </w:pPr>
    </w:p>
    <w:p>
      <w:pPr>
        <w:pStyle w:val="Heading1"/>
        <w:spacing w:before="193"/>
        <w:ind w:firstLine="0"/>
        <w:rPr>
          <w:u w:val="none"/>
        </w:rPr>
      </w:pPr>
      <w:r>
        <w:rPr>
          <w:u w:val="thick"/>
        </w:rPr>
        <w:t>Cumplimiento</w:t>
      </w:r>
      <w:r>
        <w:rPr>
          <w:spacing w:val="-7"/>
          <w:u w:val="thick"/>
        </w:rPr>
        <w:t> </w:t>
      </w:r>
      <w:r>
        <w:rPr>
          <w:u w:val="thick"/>
        </w:rPr>
        <w:t>parcial:</w:t>
      </w:r>
    </w:p>
    <w:p>
      <w:pPr>
        <w:pStyle w:val="BodyText"/>
        <w:spacing w:before="11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99" w:after="0"/>
        <w:ind w:left="479" w:right="117" w:hanging="360"/>
        <w:jc w:val="both"/>
        <w:rPr>
          <w:sz w:val="20"/>
        </w:rPr>
      </w:pPr>
      <w:r>
        <w:rPr>
          <w:sz w:val="20"/>
        </w:rPr>
        <w:t>Realizar inmediatamente las debidas diligencias para</w:t>
      </w:r>
      <w:r>
        <w:rPr>
          <w:spacing w:val="1"/>
          <w:sz w:val="20"/>
        </w:rPr>
        <w:t> </w:t>
      </w:r>
      <w:r>
        <w:rPr>
          <w:sz w:val="20"/>
        </w:rPr>
        <w:t>activar</w:t>
      </w:r>
      <w:r>
        <w:rPr>
          <w:spacing w:val="1"/>
          <w:sz w:val="20"/>
        </w:rPr>
        <w:t> </w:t>
      </w:r>
      <w:r>
        <w:rPr>
          <w:sz w:val="20"/>
        </w:rPr>
        <w:t>y completar</w:t>
      </w:r>
      <w:r>
        <w:rPr>
          <w:spacing w:val="70"/>
          <w:sz w:val="20"/>
        </w:rPr>
        <w:t> </w:t>
      </w:r>
      <w:r>
        <w:rPr>
          <w:sz w:val="20"/>
        </w:rPr>
        <w:t>eficazmente,</w:t>
      </w:r>
      <w:r>
        <w:rPr>
          <w:spacing w:val="1"/>
          <w:sz w:val="20"/>
        </w:rPr>
        <w:t> </w:t>
      </w:r>
      <w:r>
        <w:rPr>
          <w:sz w:val="20"/>
        </w:rPr>
        <w:t>en un plazo razonable, la investigación para determinar la responsabilidad de todos los</w:t>
      </w:r>
      <w:r>
        <w:rPr>
          <w:spacing w:val="1"/>
          <w:sz w:val="20"/>
        </w:rPr>
        <w:t> </w:t>
      </w:r>
      <w:r>
        <w:rPr>
          <w:sz w:val="20"/>
        </w:rPr>
        <w:t>partícipes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masacre,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quienes</w:t>
      </w:r>
      <w:r>
        <w:rPr>
          <w:spacing w:val="10"/>
          <w:sz w:val="20"/>
        </w:rPr>
        <w:t> </w:t>
      </w:r>
      <w:r>
        <w:rPr>
          <w:sz w:val="20"/>
        </w:rPr>
        <w:t>hubiesen</w:t>
      </w:r>
      <w:r>
        <w:rPr>
          <w:spacing w:val="12"/>
          <w:sz w:val="20"/>
        </w:rPr>
        <w:t> </w:t>
      </w:r>
      <w:r>
        <w:rPr>
          <w:sz w:val="20"/>
        </w:rPr>
        <w:t>sido</w:t>
      </w:r>
      <w:r>
        <w:rPr>
          <w:spacing w:val="13"/>
          <w:sz w:val="20"/>
        </w:rPr>
        <w:t> </w:t>
      </w:r>
      <w:r>
        <w:rPr>
          <w:sz w:val="20"/>
        </w:rPr>
        <w:t>responsables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acción</w:t>
      </w:r>
      <w:r>
        <w:rPr>
          <w:spacing w:val="-68"/>
          <w:sz w:val="20"/>
        </w:rPr>
        <w:t> </w:t>
      </w:r>
      <w:r>
        <w:rPr>
          <w:sz w:val="20"/>
        </w:rPr>
        <w:t>o por omisión del incumplimiento de la obligación estatal de garantizar los derechos</w:t>
      </w:r>
      <w:r>
        <w:rPr>
          <w:spacing w:val="1"/>
          <w:sz w:val="20"/>
        </w:rPr>
        <w:t> </w:t>
      </w:r>
      <w:r>
        <w:rPr>
          <w:sz w:val="20"/>
        </w:rPr>
        <w:t>violados y adoptar las medidas pertinentes para que las violaciones a los 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cometidas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efectivamente</w:t>
      </w:r>
      <w:r>
        <w:rPr>
          <w:spacing w:val="1"/>
          <w:sz w:val="20"/>
        </w:rPr>
        <w:t> </w:t>
      </w:r>
      <w:r>
        <w:rPr>
          <w:sz w:val="20"/>
        </w:rPr>
        <w:t>investigadas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70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otorguen todas las garantías judiciales, con el fin de evitar la repetición de hechos tan</w:t>
      </w:r>
      <w:r>
        <w:rPr>
          <w:spacing w:val="1"/>
          <w:sz w:val="20"/>
        </w:rPr>
        <w:t> </w:t>
      </w:r>
      <w:r>
        <w:rPr>
          <w:sz w:val="20"/>
        </w:rPr>
        <w:t>graves como los que ocurrieron en la masacre de Pueblo Bello,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 265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268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287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93" w:after="0"/>
        <w:ind w:left="479" w:right="117" w:hanging="360"/>
        <w:jc w:val="both"/>
        <w:rPr>
          <w:sz w:val="20"/>
        </w:rPr>
      </w:pPr>
      <w:r>
        <w:rPr>
          <w:sz w:val="20"/>
        </w:rPr>
        <w:t>Realizar las acciones necesarias para garantizar las condiciones de seguridad para que</w:t>
      </w:r>
      <w:r>
        <w:rPr>
          <w:spacing w:val="1"/>
          <w:sz w:val="20"/>
        </w:rPr>
        <w:t> </w:t>
      </w:r>
      <w:r>
        <w:rPr>
          <w:sz w:val="20"/>
        </w:rPr>
        <w:t>los familiares de las personas desaparecidas y privadas de la vida, así como otros ex</w:t>
      </w:r>
      <w:r>
        <w:rPr>
          <w:spacing w:val="1"/>
          <w:sz w:val="20"/>
        </w:rPr>
        <w:t> </w:t>
      </w:r>
      <w:r>
        <w:rPr>
          <w:sz w:val="20"/>
        </w:rPr>
        <w:t>pobladores de Pueblo Bello, que se hayan visto desplazados, puedan regresar a tal</w:t>
      </w:r>
      <w:r>
        <w:rPr>
          <w:spacing w:val="1"/>
          <w:sz w:val="20"/>
        </w:rPr>
        <w:t> </w:t>
      </w:r>
      <w:r>
        <w:rPr>
          <w:sz w:val="20"/>
        </w:rPr>
        <w:t>localidad,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deseen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habitacional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68"/>
          <w:sz w:val="20"/>
        </w:rPr>
        <w:t> </w:t>
      </w:r>
      <w:r>
        <w:rPr>
          <w:sz w:val="20"/>
        </w:rPr>
        <w:t>vivienda,</w:t>
      </w:r>
      <w:r>
        <w:rPr>
          <w:spacing w:val="-3"/>
          <w:sz w:val="20"/>
        </w:rPr>
        <w:t> </w:t>
      </w:r>
      <w:r>
        <w:rPr>
          <w:sz w:val="20"/>
        </w:rPr>
        <w:t>en 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275,</w:t>
      </w:r>
      <w:r>
        <w:rPr>
          <w:spacing w:val="-3"/>
          <w:sz w:val="20"/>
        </w:rPr>
        <w:t> </w:t>
      </w:r>
      <w:r>
        <w:rPr>
          <w:sz w:val="20"/>
        </w:rPr>
        <w:t>276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287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Sentencia.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0" w:after="0"/>
        <w:ind w:left="480" w:right="117" w:hanging="360"/>
        <w:jc w:val="both"/>
        <w:rPr>
          <w:sz w:val="20"/>
        </w:rPr>
      </w:pPr>
      <w:r>
        <w:rPr>
          <w:sz w:val="20"/>
        </w:rPr>
        <w:t>Pagar las cantidades fijadas por concepto de costas y gastos, en los términos de los</w:t>
      </w:r>
      <w:r>
        <w:rPr>
          <w:spacing w:val="1"/>
          <w:sz w:val="20"/>
        </w:rPr>
        <w:t> </w:t>
      </w:r>
      <w:r>
        <w:rPr>
          <w:sz w:val="20"/>
        </w:rPr>
        <w:t>párrafos</w:t>
      </w:r>
      <w:r>
        <w:rPr>
          <w:spacing w:val="1"/>
          <w:sz w:val="20"/>
        </w:rPr>
        <w:t> </w:t>
      </w:r>
      <w:r>
        <w:rPr>
          <w:sz w:val="20"/>
        </w:rPr>
        <w:t>283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286, 289, 291</w:t>
      </w:r>
      <w:r>
        <w:rPr>
          <w:spacing w:val="3"/>
          <w:sz w:val="20"/>
        </w:rPr>
        <w:t> </w:t>
      </w:r>
      <w:r>
        <w:rPr>
          <w:sz w:val="20"/>
        </w:rPr>
        <w:t>y 294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Sentencia,</w:t>
      </w:r>
      <w:r>
        <w:rPr>
          <w:spacing w:val="-1"/>
          <w:sz w:val="20"/>
        </w:rPr>
        <w:t> </w:t>
      </w:r>
      <w:r>
        <w:rPr>
          <w:sz w:val="20"/>
        </w:rPr>
        <w:t>ya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reintegró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1" w:footer="1572" w:top="1340" w:bottom="1760" w:left="1320" w:right="1320"/>
          <w:pgNumType w:start="1"/>
        </w:sectPr>
      </w:pPr>
    </w:p>
    <w:p>
      <w:pPr>
        <w:pStyle w:val="BodyText"/>
        <w:spacing w:before="89"/>
        <w:ind w:left="480"/>
      </w:pPr>
      <w:r>
        <w:rPr/>
        <w:t>las</w:t>
      </w:r>
      <w:r>
        <w:rPr>
          <w:spacing w:val="23"/>
        </w:rPr>
        <w:t> </w:t>
      </w:r>
      <w:r>
        <w:rPr/>
        <w:t>organizaciones</w:t>
      </w:r>
      <w:r>
        <w:rPr>
          <w:spacing w:val="23"/>
        </w:rPr>
        <w:t> </w:t>
      </w:r>
      <w:r>
        <w:rPr/>
        <w:t>representantes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víctimas,</w:t>
      </w:r>
      <w:r>
        <w:rPr>
          <w:spacing w:val="24"/>
        </w:rPr>
        <w:t> </w:t>
      </w:r>
      <w:r>
        <w:rPr/>
        <w:t>quedando</w:t>
      </w:r>
      <w:r>
        <w:rPr>
          <w:spacing w:val="22"/>
        </w:rPr>
        <w:t> </w:t>
      </w:r>
      <w:r>
        <w:rPr/>
        <w:t>pendiente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acredite</w:t>
      </w:r>
      <w:r>
        <w:rPr>
          <w:spacing w:val="22"/>
        </w:rPr>
        <w:t> </w:t>
      </w:r>
      <w:r>
        <w:rPr/>
        <w:t>el</w:t>
      </w:r>
      <w:r>
        <w:rPr>
          <w:spacing w:val="-67"/>
        </w:rPr>
        <w:t> </w:t>
      </w:r>
      <w:r>
        <w:rPr/>
        <w:t>pago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otras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organizaciones.</w:t>
      </w:r>
    </w:p>
    <w:sectPr>
      <w:pgSz w:w="12240" w:h="15840"/>
      <w:pgMar w:header="721" w:footer="1572" w:top="1340" w:bottom="17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pt;margin-top:702.39679pt;width:470.2pt;height:40.950pt;mso-position-horizontal-relative:page;mso-position-vertical-relative:page;z-index:-15759360" type="#_x0000_t202" filled="false" stroked="false">
          <v:textbox inset="0,0,0,0">
            <w:txbxContent>
              <w:p>
                <w:pPr>
                  <w:spacing w:before="21"/>
                  <w:ind w:left="20" w:right="18" w:firstLine="0"/>
                  <w:jc w:val="both"/>
                  <w:rPr>
                    <w:sz w:val="16"/>
                  </w:rPr>
                </w:pPr>
                <w:r>
                  <w:rPr>
                    <w:sz w:val="16"/>
                  </w:rPr>
                  <w:t>La presente sistematización de información fue realizada por la Secretaría de la Corte Interamericana de Derechos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Humanos, por lo que es responsabilidad exclusiva de la misma. La información se basa en lo declarado en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resoluciones emitidas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por esta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Corte. Por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tanto, en los expedientes puede haber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información aportada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por</w:t>
                </w:r>
                <w:r>
                  <w:rPr>
                    <w:spacing w:val="56"/>
                    <w:sz w:val="16"/>
                  </w:rPr>
                  <w:t> </w:t>
                </w:r>
                <w:r>
                  <w:rPr>
                    <w:sz w:val="16"/>
                  </w:rPr>
                  <w:t>las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partes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que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aún no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haya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sido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evaluada por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el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Tribunal.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640015pt;margin-top:35.066505pt;width:12.35pt;height:14.15pt;mso-position-horizontal-relative:page;mso-position-vertical-relative:page;z-index:-157598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Verdana" w:hAnsi="Verdana" w:eastAsia="Verdana" w:cs="Verdana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20" w:hanging="3596"/>
      <w:outlineLvl w:val="1"/>
    </w:pPr>
    <w:rPr>
      <w:rFonts w:ascii="Verdana" w:hAnsi="Verdana" w:eastAsia="Verdana" w:cs="Verdana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9" w:right="117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Castro</dc:creator>
  <dcterms:created xsi:type="dcterms:W3CDTF">2021-03-31T21:43:59Z</dcterms:created>
  <dcterms:modified xsi:type="dcterms:W3CDTF">2021-03-31T21:43:59Z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2021-03-31T00:00:00Z</vt:filetime>
  </property>
</Properties>
</file>