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D791" w14:textId="645205D1" w:rsidR="00B847D1" w:rsidRPr="00DC15CE" w:rsidRDefault="00B847D1" w:rsidP="00B847D1">
      <w:pPr>
        <w:jc w:val="center"/>
        <w:rPr>
          <w:rFonts w:ascii="Verdana" w:hAnsi="Verdana"/>
          <w:b/>
          <w:sz w:val="22"/>
          <w:szCs w:val="22"/>
          <w:u w:val="single"/>
        </w:rPr>
      </w:pPr>
      <w:r w:rsidRPr="00DC15CE">
        <w:rPr>
          <w:rFonts w:ascii="Verdana" w:hAnsi="Verdana"/>
          <w:b/>
          <w:sz w:val="22"/>
          <w:szCs w:val="22"/>
          <w:u w:val="single"/>
        </w:rPr>
        <w:t xml:space="preserve">Caso </w:t>
      </w:r>
      <w:r>
        <w:rPr>
          <w:rFonts w:ascii="Verdana" w:hAnsi="Verdana"/>
          <w:b/>
          <w:sz w:val="22"/>
          <w:szCs w:val="22"/>
          <w:u w:val="single"/>
        </w:rPr>
        <w:t>de la Masacre de la Rochela</w:t>
      </w:r>
      <w:r w:rsidRPr="00DC15CE">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Pr>
          <w:rFonts w:ascii="Verdana" w:hAnsi="Verdana"/>
          <w:b/>
          <w:sz w:val="22"/>
          <w:szCs w:val="22"/>
          <w:u w:val="single"/>
        </w:rPr>
        <w:t>Colombia</w:t>
      </w:r>
      <w:r w:rsidRPr="00DC15CE">
        <w:rPr>
          <w:rFonts w:ascii="Verdana" w:hAnsi="Verdana"/>
          <w:b/>
          <w:sz w:val="22"/>
          <w:szCs w:val="22"/>
          <w:u w:val="single"/>
        </w:rPr>
        <w:t xml:space="preserve">: reparaciones </w:t>
      </w:r>
      <w:r>
        <w:rPr>
          <w:rFonts w:ascii="Verdana" w:hAnsi="Verdana"/>
          <w:b/>
          <w:sz w:val="22"/>
          <w:szCs w:val="22"/>
          <w:u w:val="single"/>
        </w:rPr>
        <w:t>pendientes de cumplimiento</w:t>
      </w:r>
    </w:p>
    <w:p w14:paraId="1B66A361" w14:textId="77777777" w:rsidR="00B847D1" w:rsidRDefault="00B847D1" w:rsidP="00B847D1">
      <w:pPr>
        <w:pStyle w:val="Default"/>
      </w:pPr>
    </w:p>
    <w:p w14:paraId="4B968193" w14:textId="77777777" w:rsidR="00B847D1" w:rsidRPr="00F22D6C" w:rsidRDefault="00B847D1" w:rsidP="00B847D1">
      <w:pPr>
        <w:pStyle w:val="Default"/>
        <w:jc w:val="both"/>
      </w:pPr>
      <w:r w:rsidRPr="004B642A">
        <w:t xml:space="preserve"> </w:t>
      </w:r>
    </w:p>
    <w:p w14:paraId="479B7EBB" w14:textId="14024E88" w:rsidR="00E75B2B" w:rsidRDefault="00E75B2B" w:rsidP="00E75B2B">
      <w:pPr>
        <w:pStyle w:val="Default"/>
        <w:numPr>
          <w:ilvl w:val="0"/>
          <w:numId w:val="1"/>
        </w:numPr>
        <w:jc w:val="both"/>
        <w:rPr>
          <w:sz w:val="20"/>
          <w:szCs w:val="20"/>
        </w:rPr>
      </w:pPr>
      <w:r>
        <w:rPr>
          <w:sz w:val="20"/>
          <w:szCs w:val="20"/>
        </w:rPr>
        <w:t>I</w:t>
      </w:r>
      <w:r w:rsidRPr="00E75B2B">
        <w:rPr>
          <w:sz w:val="20"/>
          <w:szCs w:val="20"/>
        </w:rPr>
        <w:t>nvestigar los hechos, identificar, juzgar y, en su caso, sancionar a los</w:t>
      </w:r>
      <w:r>
        <w:rPr>
          <w:sz w:val="20"/>
          <w:szCs w:val="20"/>
        </w:rPr>
        <w:t xml:space="preserve"> </w:t>
      </w:r>
      <w:r w:rsidRPr="00E75B2B">
        <w:rPr>
          <w:sz w:val="20"/>
          <w:szCs w:val="20"/>
        </w:rPr>
        <w:t>responsables</w:t>
      </w:r>
      <w:r>
        <w:rPr>
          <w:sz w:val="20"/>
          <w:szCs w:val="20"/>
        </w:rPr>
        <w:t>.</w:t>
      </w:r>
    </w:p>
    <w:p w14:paraId="378B7838" w14:textId="77777777" w:rsidR="00E75B2B" w:rsidRDefault="00E75B2B" w:rsidP="00E75B2B">
      <w:pPr>
        <w:pStyle w:val="Default"/>
        <w:ind w:left="363"/>
        <w:jc w:val="both"/>
        <w:rPr>
          <w:sz w:val="20"/>
          <w:szCs w:val="20"/>
        </w:rPr>
      </w:pPr>
    </w:p>
    <w:p w14:paraId="6C3845EB" w14:textId="77777777" w:rsidR="00E75B2B" w:rsidRDefault="00E75B2B" w:rsidP="00E75B2B">
      <w:pPr>
        <w:pStyle w:val="Default"/>
        <w:numPr>
          <w:ilvl w:val="0"/>
          <w:numId w:val="1"/>
        </w:numPr>
        <w:jc w:val="both"/>
        <w:rPr>
          <w:sz w:val="20"/>
          <w:szCs w:val="20"/>
        </w:rPr>
      </w:pPr>
      <w:r>
        <w:rPr>
          <w:sz w:val="20"/>
          <w:szCs w:val="20"/>
        </w:rPr>
        <w:t>G</w:t>
      </w:r>
      <w:r w:rsidRPr="00E75B2B">
        <w:rPr>
          <w:sz w:val="20"/>
          <w:szCs w:val="20"/>
        </w:rPr>
        <w:t>arantizar que los funcionarios judiciales, fiscales, investigadores y demás</w:t>
      </w:r>
      <w:r>
        <w:rPr>
          <w:sz w:val="20"/>
          <w:szCs w:val="20"/>
        </w:rPr>
        <w:t xml:space="preserve"> </w:t>
      </w:r>
      <w:r w:rsidRPr="00E75B2B">
        <w:rPr>
          <w:sz w:val="20"/>
          <w:szCs w:val="20"/>
        </w:rPr>
        <w:t>operadores de justicia cuenten con un sistema de seguridad y protección</w:t>
      </w:r>
      <w:r>
        <w:rPr>
          <w:sz w:val="20"/>
          <w:szCs w:val="20"/>
        </w:rPr>
        <w:t xml:space="preserve"> </w:t>
      </w:r>
      <w:r w:rsidRPr="00E75B2B">
        <w:rPr>
          <w:sz w:val="20"/>
          <w:szCs w:val="20"/>
        </w:rPr>
        <w:t>adecuado y asegurar la efectiva protección de testigos, víctimas y familiares de</w:t>
      </w:r>
      <w:r>
        <w:rPr>
          <w:sz w:val="20"/>
          <w:szCs w:val="20"/>
        </w:rPr>
        <w:t xml:space="preserve"> </w:t>
      </w:r>
      <w:r w:rsidRPr="00E75B2B">
        <w:rPr>
          <w:sz w:val="20"/>
          <w:szCs w:val="20"/>
        </w:rPr>
        <w:t>graves violaciones a los derechos humanos, en particular y de forma inmediata</w:t>
      </w:r>
      <w:r>
        <w:rPr>
          <w:sz w:val="20"/>
          <w:szCs w:val="20"/>
        </w:rPr>
        <w:t xml:space="preserve"> </w:t>
      </w:r>
      <w:r w:rsidRPr="00E75B2B">
        <w:rPr>
          <w:sz w:val="20"/>
          <w:szCs w:val="20"/>
        </w:rPr>
        <w:t>con respecto a la investigación de los hechos del presente caso</w:t>
      </w:r>
      <w:r>
        <w:rPr>
          <w:sz w:val="20"/>
          <w:szCs w:val="20"/>
        </w:rPr>
        <w:t>.</w:t>
      </w:r>
    </w:p>
    <w:p w14:paraId="45DF3FBB" w14:textId="77777777" w:rsidR="00E75B2B" w:rsidRDefault="00E75B2B" w:rsidP="00E75B2B">
      <w:pPr>
        <w:pStyle w:val="Prrafodelista"/>
      </w:pPr>
    </w:p>
    <w:p w14:paraId="22C2A398" w14:textId="3A009376" w:rsidR="003C0D06" w:rsidRDefault="00E75B2B" w:rsidP="003C0D06">
      <w:pPr>
        <w:pStyle w:val="Default"/>
        <w:numPr>
          <w:ilvl w:val="0"/>
          <w:numId w:val="1"/>
        </w:numPr>
        <w:jc w:val="both"/>
        <w:rPr>
          <w:sz w:val="20"/>
          <w:szCs w:val="20"/>
        </w:rPr>
      </w:pPr>
      <w:r>
        <w:rPr>
          <w:sz w:val="20"/>
          <w:szCs w:val="20"/>
        </w:rPr>
        <w:t>B</w:t>
      </w:r>
      <w:r w:rsidRPr="00E75B2B">
        <w:rPr>
          <w:sz w:val="20"/>
          <w:szCs w:val="20"/>
        </w:rPr>
        <w:t>rindar tratamiento médico y psicológico requerido por las víctimas</w:t>
      </w:r>
      <w:r w:rsidR="003C0D06">
        <w:rPr>
          <w:sz w:val="20"/>
          <w:szCs w:val="20"/>
        </w:rPr>
        <w:t>.</w:t>
      </w:r>
    </w:p>
    <w:p w14:paraId="4325E418" w14:textId="77777777" w:rsidR="003C0D06" w:rsidRPr="003C0D06" w:rsidRDefault="003C0D06" w:rsidP="003C0D06">
      <w:pPr>
        <w:pStyle w:val="Default"/>
        <w:jc w:val="both"/>
        <w:rPr>
          <w:sz w:val="20"/>
          <w:szCs w:val="20"/>
        </w:rPr>
      </w:pPr>
    </w:p>
    <w:p w14:paraId="1E8B6CAA" w14:textId="77777777" w:rsidR="00E75B2B" w:rsidRDefault="00E75B2B" w:rsidP="00B847D1">
      <w:pPr>
        <w:pStyle w:val="Default"/>
        <w:jc w:val="both"/>
        <w:rPr>
          <w:sz w:val="16"/>
        </w:rPr>
      </w:pPr>
    </w:p>
    <w:p w14:paraId="0F19E913" w14:textId="6BFD74A8" w:rsidR="00B847D1" w:rsidRDefault="00B847D1" w:rsidP="00B847D1">
      <w:pPr>
        <w:pStyle w:val="Default"/>
        <w:jc w:val="both"/>
        <w:rPr>
          <w:b/>
          <w:sz w:val="20"/>
          <w:szCs w:val="20"/>
          <w:u w:val="single"/>
        </w:rPr>
      </w:pPr>
      <w:r>
        <w:rPr>
          <w:b/>
          <w:sz w:val="20"/>
          <w:szCs w:val="20"/>
          <w:u w:val="single"/>
        </w:rPr>
        <w:t>Cumplimiento parcial</w:t>
      </w:r>
    </w:p>
    <w:p w14:paraId="700F2C6E" w14:textId="77777777" w:rsidR="00B847D1" w:rsidRDefault="00B847D1" w:rsidP="00B847D1">
      <w:pPr>
        <w:pStyle w:val="Default"/>
        <w:jc w:val="both"/>
        <w:rPr>
          <w:b/>
          <w:sz w:val="20"/>
          <w:szCs w:val="20"/>
          <w:u w:val="single"/>
        </w:rPr>
      </w:pPr>
    </w:p>
    <w:p w14:paraId="11287073" w14:textId="77777777" w:rsidR="00B847D1" w:rsidRDefault="00B847D1" w:rsidP="003C0D06">
      <w:pPr>
        <w:pStyle w:val="Default"/>
        <w:numPr>
          <w:ilvl w:val="0"/>
          <w:numId w:val="1"/>
        </w:numPr>
        <w:jc w:val="both"/>
        <w:rPr>
          <w:sz w:val="20"/>
          <w:szCs w:val="20"/>
        </w:rPr>
      </w:pPr>
      <w:r>
        <w:rPr>
          <w:sz w:val="20"/>
          <w:szCs w:val="20"/>
        </w:rPr>
        <w:t>C</w:t>
      </w:r>
      <w:r w:rsidRPr="00B75D75">
        <w:rPr>
          <w:sz w:val="20"/>
          <w:szCs w:val="20"/>
        </w:rPr>
        <w:t>ontinuar brindando oportunidades laborales a las víctimas y sus</w:t>
      </w:r>
      <w:r>
        <w:rPr>
          <w:sz w:val="20"/>
          <w:szCs w:val="20"/>
        </w:rPr>
        <w:t xml:space="preserve"> </w:t>
      </w:r>
      <w:r w:rsidRPr="00B75D75">
        <w:rPr>
          <w:sz w:val="20"/>
          <w:szCs w:val="20"/>
        </w:rPr>
        <w:t xml:space="preserve">familiares en la </w:t>
      </w:r>
      <w:proofErr w:type="gramStart"/>
      <w:r w:rsidRPr="00B75D75">
        <w:rPr>
          <w:sz w:val="20"/>
          <w:szCs w:val="20"/>
        </w:rPr>
        <w:t>Fiscalía General</w:t>
      </w:r>
      <w:proofErr w:type="gramEnd"/>
      <w:r w:rsidRPr="00B75D75">
        <w:rPr>
          <w:sz w:val="20"/>
          <w:szCs w:val="20"/>
        </w:rPr>
        <w:t xml:space="preserve"> de la Nación, en la medida que aquéllos cumplan</w:t>
      </w:r>
      <w:r>
        <w:rPr>
          <w:sz w:val="20"/>
          <w:szCs w:val="20"/>
        </w:rPr>
        <w:t xml:space="preserve"> </w:t>
      </w:r>
      <w:r w:rsidRPr="00B75D75">
        <w:rPr>
          <w:sz w:val="20"/>
          <w:szCs w:val="20"/>
        </w:rPr>
        <w:t>los requisitos de méritos necesarios para acceder a los cargos</w:t>
      </w:r>
      <w:r>
        <w:rPr>
          <w:sz w:val="20"/>
          <w:szCs w:val="20"/>
        </w:rPr>
        <w:t>.</w:t>
      </w:r>
    </w:p>
    <w:p w14:paraId="576EA240" w14:textId="77777777" w:rsidR="00B847D1" w:rsidRPr="00B75D75" w:rsidRDefault="00B847D1" w:rsidP="00B847D1">
      <w:pPr>
        <w:pStyle w:val="Default"/>
        <w:ind w:left="363"/>
        <w:jc w:val="both"/>
        <w:rPr>
          <w:sz w:val="20"/>
          <w:szCs w:val="20"/>
        </w:rPr>
      </w:pPr>
    </w:p>
    <w:p w14:paraId="4A534D1D" w14:textId="77777777" w:rsidR="00B847D1" w:rsidRDefault="00B847D1" w:rsidP="00B847D1">
      <w:pPr>
        <w:pStyle w:val="Default"/>
        <w:ind w:left="363"/>
        <w:jc w:val="both"/>
        <w:rPr>
          <w:sz w:val="20"/>
          <w:szCs w:val="20"/>
        </w:rPr>
      </w:pPr>
      <w:r w:rsidRPr="00370A4C">
        <w:rPr>
          <w:sz w:val="20"/>
          <w:szCs w:val="20"/>
        </w:rPr>
        <w:t xml:space="preserve">En los Considerandos </w:t>
      </w:r>
      <w:r>
        <w:rPr>
          <w:sz w:val="20"/>
          <w:szCs w:val="20"/>
        </w:rPr>
        <w:t>15 y 23</w:t>
      </w:r>
      <w:r w:rsidRPr="00370A4C">
        <w:rPr>
          <w:sz w:val="20"/>
          <w:szCs w:val="20"/>
        </w:rPr>
        <w:t xml:space="preserve"> de la resolución de la Corte de </w:t>
      </w:r>
      <w:r>
        <w:rPr>
          <w:sz w:val="20"/>
          <w:szCs w:val="20"/>
        </w:rPr>
        <w:t>23 de mayo de 2022</w:t>
      </w:r>
      <w:r w:rsidRPr="00370A4C">
        <w:rPr>
          <w:sz w:val="20"/>
          <w:szCs w:val="20"/>
        </w:rPr>
        <w:t xml:space="preserve"> se explica lo que continúa pendiente de cumplimiento respecto a la presente medida de reparación:</w:t>
      </w:r>
    </w:p>
    <w:p w14:paraId="78C21F88" w14:textId="77777777" w:rsidR="00B847D1" w:rsidRDefault="00B847D1" w:rsidP="00B847D1">
      <w:pPr>
        <w:pStyle w:val="Default"/>
        <w:ind w:left="363"/>
        <w:jc w:val="both"/>
        <w:rPr>
          <w:sz w:val="20"/>
          <w:szCs w:val="20"/>
        </w:rPr>
      </w:pPr>
    </w:p>
    <w:p w14:paraId="4A40A7FB" w14:textId="77777777" w:rsidR="00B847D1" w:rsidRDefault="00B847D1" w:rsidP="00B847D1">
      <w:pPr>
        <w:pStyle w:val="Prrafodelista"/>
        <w:ind w:left="1134"/>
        <w:jc w:val="both"/>
        <w:rPr>
          <w:rFonts w:ascii="Verdana" w:hAnsi="Verdana"/>
          <w:sz w:val="16"/>
        </w:rPr>
      </w:pPr>
      <w:r w:rsidRPr="00C37A0B">
        <w:rPr>
          <w:rFonts w:ascii="Verdana" w:hAnsi="Verdana"/>
          <w:sz w:val="16"/>
        </w:rPr>
        <w:t>15. Respecto a si, a la fecha de la Resolución de 2015, se encontraba pendiente de</w:t>
      </w:r>
      <w:r>
        <w:rPr>
          <w:rFonts w:ascii="Verdana" w:hAnsi="Verdana"/>
          <w:sz w:val="16"/>
        </w:rPr>
        <w:t xml:space="preserve"> </w:t>
      </w:r>
      <w:r w:rsidRPr="00C37A0B">
        <w:rPr>
          <w:rFonts w:ascii="Verdana" w:hAnsi="Verdana"/>
          <w:sz w:val="16"/>
        </w:rPr>
        <w:t>resolver alguna solicitud de oportunidad laboral de víctimas o familiares y si existían</w:t>
      </w:r>
      <w:r>
        <w:rPr>
          <w:rFonts w:ascii="Verdana" w:hAnsi="Verdana"/>
          <w:sz w:val="16"/>
        </w:rPr>
        <w:t xml:space="preserve"> </w:t>
      </w:r>
      <w:r w:rsidRPr="00C37A0B">
        <w:rPr>
          <w:rFonts w:ascii="Verdana" w:hAnsi="Verdana"/>
          <w:sz w:val="16"/>
        </w:rPr>
        <w:t>reclamos por solicitudes resueltas en sentido negativo, el Estado diferenció entre las</w:t>
      </w:r>
      <w:r>
        <w:rPr>
          <w:rFonts w:ascii="Verdana" w:hAnsi="Verdana"/>
          <w:sz w:val="16"/>
        </w:rPr>
        <w:t xml:space="preserve"> </w:t>
      </w:r>
      <w:r w:rsidRPr="00C37A0B">
        <w:rPr>
          <w:rFonts w:ascii="Verdana" w:hAnsi="Verdana"/>
          <w:sz w:val="16"/>
        </w:rPr>
        <w:t>solicitudes de personas que no se encontraban vinculadas a la Fiscalía al momento de</w:t>
      </w:r>
      <w:r>
        <w:rPr>
          <w:rFonts w:ascii="Verdana" w:hAnsi="Verdana"/>
          <w:sz w:val="16"/>
        </w:rPr>
        <w:t xml:space="preserve"> </w:t>
      </w:r>
      <w:r w:rsidRPr="00C37A0B">
        <w:rPr>
          <w:rFonts w:ascii="Verdana" w:hAnsi="Verdana"/>
          <w:sz w:val="16"/>
        </w:rPr>
        <w:t>realizarlas, de aquellas otras que sí lo estaban. En relación con las primeras, en sus</w:t>
      </w:r>
      <w:r>
        <w:rPr>
          <w:rFonts w:ascii="Verdana" w:hAnsi="Verdana"/>
          <w:sz w:val="16"/>
        </w:rPr>
        <w:t xml:space="preserve"> </w:t>
      </w:r>
      <w:r w:rsidRPr="00C37A0B">
        <w:rPr>
          <w:rFonts w:ascii="Verdana" w:hAnsi="Verdana"/>
          <w:sz w:val="16"/>
        </w:rPr>
        <w:t xml:space="preserve">informes de 2016 y 2017, Colombia indicó que, en el 2015, la </w:t>
      </w:r>
      <w:proofErr w:type="gramStart"/>
      <w:r w:rsidRPr="00C37A0B">
        <w:rPr>
          <w:rFonts w:ascii="Verdana" w:hAnsi="Verdana"/>
          <w:sz w:val="16"/>
        </w:rPr>
        <w:t>Fiscalía General</w:t>
      </w:r>
      <w:proofErr w:type="gramEnd"/>
      <w:r w:rsidRPr="00C37A0B">
        <w:rPr>
          <w:rFonts w:ascii="Verdana" w:hAnsi="Verdana"/>
          <w:sz w:val="16"/>
        </w:rPr>
        <w:t xml:space="preserve"> tenía</w:t>
      </w:r>
      <w:r>
        <w:rPr>
          <w:rFonts w:ascii="Verdana" w:hAnsi="Verdana"/>
          <w:sz w:val="16"/>
        </w:rPr>
        <w:t xml:space="preserve"> </w:t>
      </w:r>
      <w:r w:rsidRPr="00C37A0B">
        <w:rPr>
          <w:rFonts w:ascii="Verdana" w:hAnsi="Verdana"/>
          <w:sz w:val="16"/>
        </w:rPr>
        <w:t>pendientes de resolución trece solicitudes de vinculación y dio cuenta del tratamiento de</w:t>
      </w:r>
      <w:r>
        <w:rPr>
          <w:rFonts w:ascii="Verdana" w:hAnsi="Verdana"/>
          <w:sz w:val="16"/>
        </w:rPr>
        <w:t xml:space="preserve"> </w:t>
      </w:r>
      <w:r w:rsidRPr="00C37A0B">
        <w:rPr>
          <w:rFonts w:ascii="Verdana" w:hAnsi="Verdana"/>
          <w:sz w:val="16"/>
        </w:rPr>
        <w:t>siete de ellas. Al respecto, informó que “inició el proceso de reincorporación a siete (7)</w:t>
      </w:r>
      <w:r>
        <w:rPr>
          <w:rFonts w:ascii="Verdana" w:hAnsi="Verdana"/>
          <w:sz w:val="16"/>
        </w:rPr>
        <w:t xml:space="preserve"> </w:t>
      </w:r>
      <w:r w:rsidRPr="00C37A0B">
        <w:rPr>
          <w:rFonts w:ascii="Verdana" w:hAnsi="Verdana"/>
          <w:sz w:val="16"/>
        </w:rPr>
        <w:t>solicitantes, cuyo resultado fue la vinculación de cinco (5) personas”. En relación con</w:t>
      </w:r>
      <w:r>
        <w:rPr>
          <w:rFonts w:ascii="Verdana" w:hAnsi="Verdana"/>
          <w:sz w:val="16"/>
        </w:rPr>
        <w:t xml:space="preserve"> </w:t>
      </w:r>
      <w:r w:rsidRPr="00C37A0B">
        <w:rPr>
          <w:rFonts w:ascii="Verdana" w:hAnsi="Verdana"/>
          <w:sz w:val="16"/>
        </w:rPr>
        <w:t xml:space="preserve">el estado de las restantes seis solicitudes no presentó información. </w:t>
      </w:r>
      <w:proofErr w:type="gramStart"/>
      <w:r w:rsidRPr="00C37A0B">
        <w:rPr>
          <w:rFonts w:ascii="Verdana" w:hAnsi="Verdana"/>
          <w:sz w:val="16"/>
        </w:rPr>
        <w:t>En razón de</w:t>
      </w:r>
      <w:proofErr w:type="gramEnd"/>
      <w:r w:rsidRPr="00C37A0B">
        <w:rPr>
          <w:rFonts w:ascii="Verdana" w:hAnsi="Verdana"/>
          <w:sz w:val="16"/>
        </w:rPr>
        <w:t xml:space="preserve"> ello, la</w:t>
      </w:r>
      <w:r>
        <w:rPr>
          <w:rFonts w:ascii="Verdana" w:hAnsi="Verdana"/>
          <w:sz w:val="16"/>
        </w:rPr>
        <w:t xml:space="preserve"> </w:t>
      </w:r>
      <w:r w:rsidRPr="00C37A0B">
        <w:rPr>
          <w:rFonts w:ascii="Verdana" w:hAnsi="Verdana"/>
          <w:sz w:val="16"/>
        </w:rPr>
        <w:t>Corte estima necesario que Colombia dé cuenta, en su próximo informe, del estado de</w:t>
      </w:r>
      <w:r>
        <w:rPr>
          <w:rFonts w:ascii="Verdana" w:hAnsi="Verdana"/>
          <w:sz w:val="16"/>
        </w:rPr>
        <w:t xml:space="preserve"> </w:t>
      </w:r>
      <w:r w:rsidRPr="00C37A0B">
        <w:rPr>
          <w:rFonts w:ascii="Verdana" w:hAnsi="Verdana"/>
          <w:sz w:val="16"/>
        </w:rPr>
        <w:t>dichas seis solicitudes pendientes de resolución, presentadas con anterioridad al 31 de</w:t>
      </w:r>
      <w:r>
        <w:rPr>
          <w:rFonts w:ascii="Verdana" w:hAnsi="Verdana"/>
          <w:sz w:val="16"/>
        </w:rPr>
        <w:t xml:space="preserve"> </w:t>
      </w:r>
      <w:r w:rsidRPr="00C37A0B">
        <w:rPr>
          <w:rFonts w:ascii="Verdana" w:hAnsi="Verdana"/>
          <w:sz w:val="16"/>
        </w:rPr>
        <w:t>agosto de 2015.</w:t>
      </w:r>
      <w:r>
        <w:rPr>
          <w:rFonts w:ascii="Verdana" w:hAnsi="Verdana"/>
          <w:sz w:val="16"/>
        </w:rPr>
        <w:t xml:space="preserve"> </w:t>
      </w:r>
    </w:p>
    <w:p w14:paraId="2D792087" w14:textId="77777777" w:rsidR="00B847D1" w:rsidRDefault="00B847D1" w:rsidP="00B847D1">
      <w:pPr>
        <w:pStyle w:val="Prrafodelista"/>
        <w:ind w:left="1134"/>
        <w:jc w:val="both"/>
        <w:rPr>
          <w:rFonts w:ascii="Verdana" w:hAnsi="Verdana"/>
          <w:sz w:val="16"/>
        </w:rPr>
      </w:pPr>
    </w:p>
    <w:p w14:paraId="1AE19471" w14:textId="77777777" w:rsidR="00B847D1" w:rsidRDefault="00B847D1" w:rsidP="00B847D1">
      <w:pPr>
        <w:pStyle w:val="Prrafodelista"/>
        <w:ind w:left="1134"/>
        <w:jc w:val="both"/>
        <w:rPr>
          <w:rFonts w:ascii="Verdana" w:hAnsi="Verdana"/>
          <w:sz w:val="16"/>
        </w:rPr>
      </w:pPr>
      <w:r>
        <w:rPr>
          <w:rFonts w:ascii="Verdana" w:hAnsi="Verdana"/>
          <w:sz w:val="16"/>
        </w:rPr>
        <w:t>(…)</w:t>
      </w:r>
    </w:p>
    <w:p w14:paraId="5B086BC5" w14:textId="77777777" w:rsidR="00B847D1" w:rsidRPr="00C37A0B" w:rsidRDefault="00B847D1" w:rsidP="00B847D1">
      <w:pPr>
        <w:pStyle w:val="Prrafodelista"/>
        <w:ind w:left="1134"/>
        <w:jc w:val="both"/>
        <w:rPr>
          <w:rFonts w:ascii="Verdana" w:hAnsi="Verdana"/>
          <w:sz w:val="16"/>
        </w:rPr>
      </w:pPr>
    </w:p>
    <w:p w14:paraId="6D1B51A9" w14:textId="77777777" w:rsidR="00B847D1" w:rsidRPr="00BE57B0" w:rsidRDefault="00B847D1" w:rsidP="00B847D1">
      <w:pPr>
        <w:pStyle w:val="Prrafodelista"/>
        <w:ind w:left="1134"/>
        <w:jc w:val="both"/>
        <w:rPr>
          <w:rFonts w:ascii="Verdana" w:hAnsi="Verdana"/>
          <w:sz w:val="16"/>
        </w:rPr>
      </w:pPr>
      <w:r w:rsidRPr="00BE57B0">
        <w:rPr>
          <w:rFonts w:ascii="Verdana" w:hAnsi="Verdana"/>
          <w:sz w:val="16"/>
        </w:rPr>
        <w:t>23. En virtud de las consideraciones realizadas, la Corte estima que el Estado ha</w:t>
      </w:r>
      <w:r>
        <w:rPr>
          <w:rFonts w:ascii="Verdana" w:hAnsi="Verdana"/>
          <w:sz w:val="16"/>
        </w:rPr>
        <w:t xml:space="preserve"> </w:t>
      </w:r>
      <w:r w:rsidRPr="00BE57B0">
        <w:rPr>
          <w:rFonts w:ascii="Verdana" w:hAnsi="Verdana"/>
          <w:sz w:val="16"/>
        </w:rPr>
        <w:t>cumplido parcialmente con la medida de reparación dispuesta en el punto resolutivo</w:t>
      </w:r>
      <w:r>
        <w:rPr>
          <w:rFonts w:ascii="Verdana" w:hAnsi="Verdana"/>
          <w:sz w:val="16"/>
        </w:rPr>
        <w:t xml:space="preserve"> </w:t>
      </w:r>
      <w:r w:rsidRPr="00BE57B0">
        <w:rPr>
          <w:rFonts w:ascii="Verdana" w:hAnsi="Verdana"/>
          <w:sz w:val="16"/>
        </w:rPr>
        <w:t>octavo y en el párrafo 277.III.2 de la Sentencia. Lo único que se mantiene pendiente de</w:t>
      </w:r>
      <w:r>
        <w:rPr>
          <w:rFonts w:ascii="Verdana" w:hAnsi="Verdana"/>
          <w:sz w:val="16"/>
        </w:rPr>
        <w:t xml:space="preserve"> </w:t>
      </w:r>
      <w:r w:rsidRPr="00BE57B0">
        <w:rPr>
          <w:rFonts w:ascii="Verdana" w:hAnsi="Verdana"/>
          <w:sz w:val="16"/>
        </w:rPr>
        <w:t>cumplimiento respecto de esta reparación es que Colombia informe sobre el estado de</w:t>
      </w:r>
      <w:r>
        <w:rPr>
          <w:rFonts w:ascii="Verdana" w:hAnsi="Verdana"/>
          <w:sz w:val="16"/>
        </w:rPr>
        <w:t xml:space="preserve"> </w:t>
      </w:r>
      <w:r w:rsidRPr="00BE57B0">
        <w:rPr>
          <w:rFonts w:ascii="Verdana" w:hAnsi="Verdana"/>
          <w:sz w:val="16"/>
        </w:rPr>
        <w:t>las seis solicitudes de vinculación presentadas con anterioridad al 31 de agosto de 2015</w:t>
      </w:r>
      <w:r>
        <w:rPr>
          <w:rFonts w:ascii="Verdana" w:hAnsi="Verdana"/>
          <w:sz w:val="16"/>
        </w:rPr>
        <w:t xml:space="preserve"> </w:t>
      </w:r>
      <w:r w:rsidRPr="00BE57B0">
        <w:rPr>
          <w:rFonts w:ascii="Verdana" w:hAnsi="Verdana"/>
          <w:sz w:val="16"/>
        </w:rPr>
        <w:t>pendientes de resolución, conforme a lo indicado en el Considerando 15, para lo cual se</w:t>
      </w:r>
      <w:r>
        <w:rPr>
          <w:rFonts w:ascii="Verdana" w:hAnsi="Verdana"/>
          <w:sz w:val="16"/>
        </w:rPr>
        <w:t xml:space="preserve"> </w:t>
      </w:r>
      <w:r w:rsidRPr="00BE57B0">
        <w:rPr>
          <w:rFonts w:ascii="Verdana" w:hAnsi="Verdana"/>
          <w:sz w:val="16"/>
        </w:rPr>
        <w:t>le otorga un plazo de dos meses, contado a partir de la notificación de la presente</w:t>
      </w:r>
      <w:r>
        <w:rPr>
          <w:rFonts w:ascii="Verdana" w:hAnsi="Verdana"/>
          <w:sz w:val="16"/>
        </w:rPr>
        <w:t xml:space="preserve"> </w:t>
      </w:r>
      <w:r w:rsidRPr="00BE57B0">
        <w:rPr>
          <w:rFonts w:ascii="Verdana" w:hAnsi="Verdana"/>
          <w:sz w:val="16"/>
        </w:rPr>
        <w:t xml:space="preserve">resolución. </w:t>
      </w:r>
      <w:r w:rsidRPr="00BE57B0">
        <w:rPr>
          <w:rFonts w:ascii="Verdana" w:hAnsi="Verdana"/>
          <w:sz w:val="16"/>
        </w:rPr>
        <w:cr/>
      </w:r>
    </w:p>
    <w:p w14:paraId="483BF29B" w14:textId="77777777" w:rsidR="000F1EF8" w:rsidRDefault="00000000"/>
    <w:sectPr w:rsidR="000F1E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4769" w14:textId="77777777" w:rsidR="001B6F6E" w:rsidRDefault="001B6F6E">
      <w:r>
        <w:separator/>
      </w:r>
    </w:p>
  </w:endnote>
  <w:endnote w:type="continuationSeparator" w:id="0">
    <w:p w14:paraId="2B934A93" w14:textId="77777777" w:rsidR="001B6F6E" w:rsidRDefault="001B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6AD4" w14:textId="77777777" w:rsidR="00972124" w:rsidRPr="009B6E42" w:rsidRDefault="00E65B3D"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35121AD" w14:textId="77777777" w:rsidR="00972124"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7EC6" w14:textId="77777777" w:rsidR="001B6F6E" w:rsidRDefault="001B6F6E">
      <w:r>
        <w:separator/>
      </w:r>
    </w:p>
  </w:footnote>
  <w:footnote w:type="continuationSeparator" w:id="0">
    <w:p w14:paraId="0B594D98" w14:textId="77777777" w:rsidR="001B6F6E" w:rsidRDefault="001B6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0EBCC970" w14:textId="77777777" w:rsidR="0015679C" w:rsidRPr="00675FE7" w:rsidRDefault="00E65B3D"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Pr>
            <w:rFonts w:ascii="Verdana" w:hAnsi="Verdana"/>
            <w:noProof/>
          </w:rPr>
          <w:t>2</w:t>
        </w:r>
        <w:r w:rsidRPr="00675FE7">
          <w:rPr>
            <w:rFonts w:ascii="Verdana" w:hAnsi="Verdana"/>
            <w:noProof/>
          </w:rPr>
          <w:fldChar w:fldCharType="end"/>
        </w:r>
      </w:p>
    </w:sdtContent>
  </w:sdt>
  <w:p w14:paraId="7B8892FE" w14:textId="77777777" w:rsidR="0015679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1026827574">
    <w:abstractNumId w:val="0"/>
  </w:num>
  <w:num w:numId="2" w16cid:durableId="86516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AE"/>
    <w:rsid w:val="001B6F6E"/>
    <w:rsid w:val="002C7A90"/>
    <w:rsid w:val="00304E64"/>
    <w:rsid w:val="003A7470"/>
    <w:rsid w:val="003C0D06"/>
    <w:rsid w:val="00B847D1"/>
    <w:rsid w:val="00D65AAE"/>
    <w:rsid w:val="00D93E9B"/>
    <w:rsid w:val="00E65B3D"/>
    <w:rsid w:val="00E75B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8822"/>
  <w15:chartTrackingRefBased/>
  <w15:docId w15:val="{98B85245-5DD3-4001-8526-62354DF8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B3D"/>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5B3D"/>
    <w:pPr>
      <w:tabs>
        <w:tab w:val="center" w:pos="4680"/>
        <w:tab w:val="right" w:pos="9360"/>
      </w:tabs>
    </w:pPr>
  </w:style>
  <w:style w:type="character" w:customStyle="1" w:styleId="EncabezadoCar">
    <w:name w:val="Encabezado Car"/>
    <w:basedOn w:val="Fuentedeprrafopredeter"/>
    <w:link w:val="Encabezado"/>
    <w:uiPriority w:val="99"/>
    <w:rsid w:val="00E65B3D"/>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E65B3D"/>
    <w:pPr>
      <w:tabs>
        <w:tab w:val="center" w:pos="4680"/>
        <w:tab w:val="right" w:pos="9360"/>
      </w:tabs>
    </w:pPr>
  </w:style>
  <w:style w:type="character" w:customStyle="1" w:styleId="PiedepginaCar">
    <w:name w:val="Pie de página Car"/>
    <w:basedOn w:val="Fuentedeprrafopredeter"/>
    <w:link w:val="Piedepgina"/>
    <w:uiPriority w:val="99"/>
    <w:rsid w:val="00E65B3D"/>
    <w:rPr>
      <w:rFonts w:ascii="Arial" w:eastAsia="Times New Roman" w:hAnsi="Arial" w:cs="Times New Roman"/>
      <w:sz w:val="20"/>
      <w:szCs w:val="20"/>
      <w:lang w:val="es-ES_tradnl" w:eastAsia="es-ES"/>
    </w:rPr>
  </w:style>
  <w:style w:type="paragraph" w:customStyle="1" w:styleId="Default">
    <w:name w:val="Default"/>
    <w:rsid w:val="00E65B3D"/>
    <w:pPr>
      <w:autoSpaceDE w:val="0"/>
      <w:autoSpaceDN w:val="0"/>
      <w:adjustRightInd w:val="0"/>
      <w:spacing w:after="0" w:line="240" w:lineRule="auto"/>
    </w:pPr>
    <w:rPr>
      <w:rFonts w:ascii="Verdana" w:hAnsi="Verdana" w:cs="Verdana"/>
      <w:color w:val="000000"/>
      <w:sz w:val="24"/>
      <w:szCs w:val="24"/>
    </w:rPr>
  </w:style>
  <w:style w:type="paragraph" w:styleId="Prrafodelista">
    <w:name w:val="List Paragraph"/>
    <w:basedOn w:val="Normal"/>
    <w:uiPriority w:val="34"/>
    <w:qFormat/>
    <w:rsid w:val="00E65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2279</Characters>
  <Application>Microsoft Office Word</Application>
  <DocSecurity>0</DocSecurity>
  <Lines>50</Lines>
  <Paragraphs>16</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Oviedo</dc:creator>
  <cp:keywords/>
  <dc:description/>
  <cp:lastModifiedBy>Natalia Oviedo</cp:lastModifiedBy>
  <cp:revision>5</cp:revision>
  <dcterms:created xsi:type="dcterms:W3CDTF">2022-07-19T18:14:00Z</dcterms:created>
  <dcterms:modified xsi:type="dcterms:W3CDTF">2022-07-19T21:29:00Z</dcterms:modified>
</cp:coreProperties>
</file>