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48" w:rsidRPr="00C821B1" w:rsidRDefault="0045380A" w:rsidP="008727FE">
      <w:pPr>
        <w:ind w:left="20" w:right="4"/>
        <w:jc w:val="center"/>
      </w:pPr>
      <w:r w:rsidRPr="004E3668">
        <w:rPr>
          <w:rFonts w:ascii="Verdana" w:hAnsi="Verdana"/>
          <w:b/>
          <w:sz w:val="20"/>
          <w:u w:val="single"/>
        </w:rPr>
        <w:t xml:space="preserve">Caso </w:t>
      </w:r>
      <w:r w:rsidR="004F6870" w:rsidRPr="004F6870">
        <w:rPr>
          <w:rFonts w:ascii="Verdana" w:hAnsi="Verdana"/>
          <w:b/>
          <w:sz w:val="20"/>
          <w:u w:val="single"/>
        </w:rPr>
        <w:t>Villamizar Durán y otros</w:t>
      </w:r>
      <w:r w:rsidR="00227E56">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Colombia: </w:t>
      </w:r>
      <w:r w:rsidR="00284850">
        <w:rPr>
          <w:rFonts w:ascii="Verdana" w:hAnsi="Verdana"/>
          <w:b/>
          <w:sz w:val="20"/>
          <w:u w:val="single"/>
        </w:rPr>
        <w:t xml:space="preserve">reparaciones </w:t>
      </w:r>
      <w:r w:rsidR="003321E6">
        <w:rPr>
          <w:rFonts w:ascii="Verdana" w:hAnsi="Verdana"/>
          <w:b/>
          <w:sz w:val="20"/>
          <w:u w:val="single"/>
        </w:rPr>
        <w:t>declaradas cumplidas</w:t>
      </w:r>
    </w:p>
    <w:p w:rsidR="0045380A" w:rsidRPr="00C821B1" w:rsidRDefault="0045380A"/>
    <w:p w:rsidR="00C821B1" w:rsidRPr="003D66D6" w:rsidRDefault="00C821B1" w:rsidP="00C821B1">
      <w:pPr>
        <w:tabs>
          <w:tab w:val="left" w:pos="0"/>
          <w:tab w:val="left" w:pos="567"/>
        </w:tabs>
        <w:spacing w:line="276" w:lineRule="auto"/>
        <w:ind w:right="-144"/>
        <w:jc w:val="both"/>
        <w:rPr>
          <w:rFonts w:ascii="Verdana" w:hAnsi="Verdana" w:cstheme="minorBidi"/>
          <w:sz w:val="16"/>
          <w:szCs w:val="20"/>
        </w:rPr>
      </w:pPr>
    </w:p>
    <w:p w:rsidR="003D66D6" w:rsidRPr="003D66D6" w:rsidRDefault="003D66D6" w:rsidP="006752CA">
      <w:pPr>
        <w:pStyle w:val="Prrafodelista"/>
        <w:numPr>
          <w:ilvl w:val="0"/>
          <w:numId w:val="4"/>
        </w:numPr>
        <w:tabs>
          <w:tab w:val="left" w:pos="0"/>
          <w:tab w:val="left" w:pos="567"/>
        </w:tabs>
        <w:spacing w:line="276" w:lineRule="auto"/>
        <w:ind w:left="0" w:right="-144" w:firstLine="0"/>
        <w:jc w:val="both"/>
        <w:rPr>
          <w:rFonts w:ascii="Verdana" w:hAnsi="Verdana"/>
          <w:sz w:val="16"/>
          <w:szCs w:val="20"/>
        </w:rPr>
      </w:pPr>
      <w:r>
        <w:rPr>
          <w:rFonts w:ascii="Verdana" w:hAnsi="Verdana"/>
          <w:sz w:val="20"/>
        </w:rPr>
        <w:t>R</w:t>
      </w:r>
      <w:r w:rsidRPr="003D66D6">
        <w:rPr>
          <w:rFonts w:ascii="Verdana" w:hAnsi="Verdana"/>
          <w:sz w:val="20"/>
        </w:rPr>
        <w:t xml:space="preserve">ealizar las publicaciones de la Sentencia y su resumen oficial indicadas en el párrafo 208 de la </w:t>
      </w:r>
      <w:r>
        <w:rPr>
          <w:rFonts w:ascii="Verdana" w:hAnsi="Verdana"/>
          <w:sz w:val="20"/>
        </w:rPr>
        <w:t>Sentencia.</w:t>
      </w:r>
    </w:p>
    <w:p w:rsidR="003D66D6" w:rsidRPr="003D66D6" w:rsidRDefault="003D66D6" w:rsidP="003D66D6">
      <w:pPr>
        <w:pStyle w:val="Prrafodelista"/>
        <w:tabs>
          <w:tab w:val="left" w:pos="0"/>
          <w:tab w:val="left" w:pos="567"/>
        </w:tabs>
        <w:spacing w:line="276" w:lineRule="auto"/>
        <w:ind w:left="0" w:right="-144"/>
        <w:jc w:val="both"/>
        <w:rPr>
          <w:rFonts w:ascii="Verdana" w:hAnsi="Verdana"/>
          <w:sz w:val="16"/>
          <w:szCs w:val="20"/>
        </w:rPr>
      </w:pPr>
    </w:p>
    <w:p w:rsidR="003D66D6" w:rsidRPr="003D66D6" w:rsidRDefault="003D66D6" w:rsidP="003D66D6">
      <w:pPr>
        <w:pStyle w:val="Prrafodelista"/>
        <w:numPr>
          <w:ilvl w:val="0"/>
          <w:numId w:val="4"/>
        </w:numPr>
        <w:tabs>
          <w:tab w:val="left" w:pos="0"/>
          <w:tab w:val="left" w:pos="567"/>
        </w:tabs>
        <w:spacing w:line="276" w:lineRule="auto"/>
        <w:ind w:left="0" w:right="-144" w:firstLine="0"/>
        <w:jc w:val="both"/>
        <w:rPr>
          <w:rFonts w:ascii="Verdana" w:hAnsi="Verdana"/>
          <w:sz w:val="20"/>
          <w:szCs w:val="20"/>
        </w:rPr>
      </w:pPr>
      <w:r>
        <w:rPr>
          <w:rFonts w:ascii="Verdana" w:hAnsi="Verdana"/>
          <w:sz w:val="20"/>
          <w:szCs w:val="20"/>
        </w:rPr>
        <w:t>P</w:t>
      </w:r>
      <w:r w:rsidRPr="003D66D6">
        <w:rPr>
          <w:rFonts w:ascii="Verdana" w:hAnsi="Verdana"/>
          <w:sz w:val="20"/>
        </w:rPr>
        <w:t>agar a las víctimas las cantidades fijadas en la Sentencia por concepto de indemnizaciones por daños materiales e inmateriales</w:t>
      </w:r>
      <w:r w:rsidRPr="003D66D6">
        <w:rPr>
          <w:rFonts w:ascii="Verdana" w:hAnsi="Verdana"/>
          <w:sz w:val="20"/>
          <w:szCs w:val="20"/>
        </w:rPr>
        <w:t>,</w:t>
      </w:r>
      <w:r>
        <w:rPr>
          <w:rFonts w:ascii="Verdana" w:hAnsi="Verdana"/>
          <w:sz w:val="20"/>
          <w:szCs w:val="20"/>
        </w:rPr>
        <w:t xml:space="preserve"> </w:t>
      </w:r>
      <w:r w:rsidRPr="003D66D6">
        <w:rPr>
          <w:rFonts w:ascii="Verdana" w:hAnsi="Verdana"/>
          <w:sz w:val="20"/>
          <w:szCs w:val="20"/>
        </w:rPr>
        <w:t>en los térm</w:t>
      </w:r>
      <w:r>
        <w:rPr>
          <w:rFonts w:ascii="Verdana" w:hAnsi="Verdana"/>
          <w:sz w:val="20"/>
          <w:szCs w:val="20"/>
        </w:rPr>
        <w:t xml:space="preserve">inos de los párrafos 223 a 233 </w:t>
      </w:r>
      <w:r w:rsidRPr="003D66D6">
        <w:rPr>
          <w:rFonts w:ascii="Verdana" w:hAnsi="Verdana"/>
          <w:sz w:val="20"/>
          <w:szCs w:val="20"/>
        </w:rPr>
        <w:t xml:space="preserve">de </w:t>
      </w:r>
      <w:r>
        <w:rPr>
          <w:rFonts w:ascii="Verdana" w:hAnsi="Verdana"/>
          <w:sz w:val="20"/>
          <w:szCs w:val="20"/>
        </w:rPr>
        <w:t xml:space="preserve">la </w:t>
      </w:r>
      <w:r w:rsidRPr="003D66D6">
        <w:rPr>
          <w:rFonts w:ascii="Verdana" w:hAnsi="Verdana"/>
          <w:sz w:val="20"/>
          <w:szCs w:val="20"/>
        </w:rPr>
        <w:t>Sentencia</w:t>
      </w:r>
      <w:r>
        <w:rPr>
          <w:rFonts w:ascii="Verdana" w:hAnsi="Verdana"/>
          <w:sz w:val="20"/>
          <w:szCs w:val="20"/>
        </w:rPr>
        <w:t>.</w:t>
      </w:r>
    </w:p>
    <w:p w:rsidR="003D66D6" w:rsidRPr="003D66D6" w:rsidRDefault="003D66D6" w:rsidP="003D66D6">
      <w:pPr>
        <w:pStyle w:val="Prrafodelista"/>
        <w:rPr>
          <w:rFonts w:ascii="Verdana" w:hAnsi="Verdana"/>
          <w:sz w:val="20"/>
        </w:rPr>
      </w:pPr>
    </w:p>
    <w:p w:rsidR="003D66D6" w:rsidRPr="003D66D6" w:rsidRDefault="003D66D6" w:rsidP="003D66D6">
      <w:pPr>
        <w:pStyle w:val="Prrafodelista"/>
        <w:numPr>
          <w:ilvl w:val="0"/>
          <w:numId w:val="4"/>
        </w:numPr>
        <w:tabs>
          <w:tab w:val="left" w:pos="0"/>
          <w:tab w:val="left" w:pos="567"/>
        </w:tabs>
        <w:spacing w:line="276" w:lineRule="auto"/>
        <w:ind w:left="0" w:right="-144" w:firstLine="0"/>
        <w:jc w:val="both"/>
        <w:rPr>
          <w:rFonts w:ascii="Verdana" w:hAnsi="Verdana"/>
          <w:sz w:val="20"/>
          <w:szCs w:val="20"/>
        </w:rPr>
      </w:pPr>
      <w:r>
        <w:rPr>
          <w:rFonts w:ascii="Verdana" w:hAnsi="Verdana"/>
          <w:sz w:val="20"/>
        </w:rPr>
        <w:t>R</w:t>
      </w:r>
      <w:r w:rsidRPr="003D66D6">
        <w:rPr>
          <w:rFonts w:ascii="Verdana" w:hAnsi="Verdana"/>
          <w:sz w:val="20"/>
        </w:rPr>
        <w:t>ealizar el reintegro de costas y gastos a los</w:t>
      </w:r>
      <w:r>
        <w:rPr>
          <w:rFonts w:ascii="Verdana" w:hAnsi="Verdana"/>
          <w:sz w:val="20"/>
        </w:rPr>
        <w:t xml:space="preserve"> representantes de las víctimas, en los términos de los párrafos </w:t>
      </w:r>
      <w:r w:rsidRPr="003D66D6">
        <w:rPr>
          <w:rFonts w:ascii="Verdana" w:hAnsi="Verdana"/>
          <w:sz w:val="20"/>
          <w:szCs w:val="20"/>
        </w:rPr>
        <w:t>236 a 237</w:t>
      </w:r>
      <w:r>
        <w:rPr>
          <w:rFonts w:ascii="Verdana" w:hAnsi="Verdana"/>
          <w:sz w:val="20"/>
          <w:szCs w:val="20"/>
        </w:rPr>
        <w:t xml:space="preserve"> de la Sentencia.</w:t>
      </w:r>
    </w:p>
    <w:p w:rsidR="003D66D6" w:rsidRPr="003D66D6" w:rsidRDefault="003D66D6" w:rsidP="003D66D6">
      <w:pPr>
        <w:pStyle w:val="Prrafodelista"/>
        <w:tabs>
          <w:tab w:val="left" w:pos="0"/>
          <w:tab w:val="left" w:pos="567"/>
        </w:tabs>
        <w:spacing w:line="276" w:lineRule="auto"/>
        <w:ind w:left="0" w:right="-144"/>
        <w:jc w:val="both"/>
        <w:rPr>
          <w:rFonts w:ascii="Verdana" w:hAnsi="Verdana"/>
          <w:sz w:val="20"/>
          <w:szCs w:val="20"/>
        </w:rPr>
      </w:pPr>
    </w:p>
    <w:p w:rsidR="00891F74" w:rsidRDefault="006752CA" w:rsidP="006752CA">
      <w:pPr>
        <w:pStyle w:val="Prrafodelista"/>
        <w:numPr>
          <w:ilvl w:val="0"/>
          <w:numId w:val="4"/>
        </w:numPr>
        <w:tabs>
          <w:tab w:val="left" w:pos="0"/>
          <w:tab w:val="left" w:pos="567"/>
        </w:tabs>
        <w:spacing w:line="276" w:lineRule="auto"/>
        <w:ind w:left="0" w:right="-144" w:firstLine="0"/>
        <w:jc w:val="both"/>
        <w:rPr>
          <w:rFonts w:ascii="Verdana" w:hAnsi="Verdana"/>
          <w:sz w:val="20"/>
          <w:szCs w:val="20"/>
        </w:rPr>
      </w:pPr>
      <w:r w:rsidRPr="006752CA">
        <w:rPr>
          <w:rFonts w:ascii="Verdana" w:hAnsi="Verdana"/>
          <w:sz w:val="20"/>
          <w:szCs w:val="20"/>
        </w:rPr>
        <w:t xml:space="preserve">Reintegrar al Fondo de Asistencia Legal de Víctimas de la Corte Interamericana de Derechos Humanos la cantidad erogada durante la tramitación del presente caso, en los términos de los párrafos 238 a 240 de </w:t>
      </w:r>
      <w:r w:rsidR="003D66D6">
        <w:rPr>
          <w:rFonts w:ascii="Verdana" w:hAnsi="Verdana"/>
          <w:sz w:val="20"/>
          <w:szCs w:val="20"/>
        </w:rPr>
        <w:t>l</w:t>
      </w:r>
      <w:r w:rsidRPr="006752CA">
        <w:rPr>
          <w:rFonts w:ascii="Verdana" w:hAnsi="Verdana"/>
          <w:sz w:val="20"/>
          <w:szCs w:val="20"/>
        </w:rPr>
        <w:t>a Sentencia</w:t>
      </w:r>
      <w:r w:rsidR="003D66D6">
        <w:rPr>
          <w:rFonts w:ascii="Verdana" w:hAnsi="Verdana"/>
          <w:sz w:val="20"/>
          <w:szCs w:val="20"/>
        </w:rPr>
        <w:t>.</w:t>
      </w:r>
    </w:p>
    <w:p w:rsidR="003D66D6" w:rsidRPr="006752CA" w:rsidRDefault="003D66D6" w:rsidP="003D66D6">
      <w:pPr>
        <w:pStyle w:val="Prrafodelista"/>
        <w:tabs>
          <w:tab w:val="left" w:pos="0"/>
          <w:tab w:val="left" w:pos="567"/>
        </w:tabs>
        <w:spacing w:line="276" w:lineRule="auto"/>
        <w:ind w:left="0" w:right="-144"/>
        <w:jc w:val="both"/>
        <w:rPr>
          <w:rFonts w:ascii="Verdana" w:hAnsi="Verdana"/>
          <w:sz w:val="20"/>
          <w:szCs w:val="20"/>
        </w:rPr>
      </w:pPr>
    </w:p>
    <w:p w:rsidR="006752CA" w:rsidRDefault="006752CA" w:rsidP="00891F74">
      <w:pPr>
        <w:pStyle w:val="Prrafodelista"/>
        <w:tabs>
          <w:tab w:val="left" w:pos="0"/>
          <w:tab w:val="left" w:pos="567"/>
        </w:tabs>
        <w:spacing w:line="276" w:lineRule="auto"/>
        <w:ind w:left="567" w:right="-144"/>
        <w:jc w:val="both"/>
        <w:rPr>
          <w:rFonts w:ascii="Verdana" w:hAnsi="Verdana"/>
          <w:b/>
          <w:sz w:val="20"/>
          <w:szCs w:val="20"/>
          <w:u w:val="single"/>
        </w:rPr>
      </w:pPr>
    </w:p>
    <w:p w:rsidR="006752CA" w:rsidRPr="006752CA" w:rsidRDefault="006752CA" w:rsidP="006752CA">
      <w:pPr>
        <w:tabs>
          <w:tab w:val="left" w:pos="0"/>
          <w:tab w:val="left" w:pos="567"/>
        </w:tabs>
        <w:spacing w:line="276" w:lineRule="auto"/>
        <w:ind w:left="426" w:right="-144"/>
        <w:jc w:val="both"/>
        <w:rPr>
          <w:rFonts w:ascii="Verdana" w:hAnsi="Verdana"/>
          <w:sz w:val="18"/>
          <w:szCs w:val="18"/>
        </w:rPr>
      </w:pPr>
      <w:bookmarkStart w:id="0" w:name="_GoBack"/>
      <w:bookmarkEnd w:id="0"/>
    </w:p>
    <w:sectPr w:rsidR="006752CA" w:rsidRPr="006752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62" w:rsidRDefault="00682C62" w:rsidP="0045380A">
      <w:r>
        <w:separator/>
      </w:r>
    </w:p>
  </w:endnote>
  <w:endnote w:type="continuationSeparator" w:id="0">
    <w:p w:rsidR="00682C62" w:rsidRDefault="00682C62"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62" w:rsidRDefault="00682C62" w:rsidP="0045380A">
      <w:r>
        <w:separator/>
      </w:r>
    </w:p>
  </w:footnote>
  <w:footnote w:type="continuationSeparator" w:id="0">
    <w:p w:rsidR="00682C62" w:rsidRDefault="00682C62"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sz w:val="20"/>
        <w:szCs w:val="20"/>
      </w:rPr>
    </w:sdtEndPr>
    <w:sdtContent>
      <w:p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3D66D6">
          <w:rPr>
            <w:rFonts w:ascii="Verdana" w:hAnsi="Verdana"/>
            <w:noProof/>
            <w:sz w:val="20"/>
            <w:szCs w:val="20"/>
          </w:rPr>
          <w:t>1</w:t>
        </w:r>
        <w:r w:rsidRPr="00675FE7">
          <w:rPr>
            <w:rFonts w:ascii="Verdana" w:hAnsi="Verdana"/>
            <w:noProof/>
            <w:sz w:val="20"/>
            <w:szCs w:val="20"/>
          </w:rPr>
          <w:fldChar w:fldCharType="end"/>
        </w:r>
      </w:p>
    </w:sdtContent>
  </w:sdt>
  <w:p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CEF2CA5"/>
    <w:multiLevelType w:val="hybridMultilevel"/>
    <w:tmpl w:val="FDEC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F298F"/>
    <w:multiLevelType w:val="hybridMultilevel"/>
    <w:tmpl w:val="2492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0A"/>
    <w:rsid w:val="00193D0F"/>
    <w:rsid w:val="00227E56"/>
    <w:rsid w:val="00284850"/>
    <w:rsid w:val="003321E6"/>
    <w:rsid w:val="003A7E5E"/>
    <w:rsid w:val="003D66D6"/>
    <w:rsid w:val="0045380A"/>
    <w:rsid w:val="004F6870"/>
    <w:rsid w:val="005E5811"/>
    <w:rsid w:val="005F6577"/>
    <w:rsid w:val="006752CA"/>
    <w:rsid w:val="00682C62"/>
    <w:rsid w:val="006E535D"/>
    <w:rsid w:val="006F3728"/>
    <w:rsid w:val="008727FE"/>
    <w:rsid w:val="00891F74"/>
    <w:rsid w:val="00900457"/>
    <w:rsid w:val="009832C0"/>
    <w:rsid w:val="00A92534"/>
    <w:rsid w:val="00C8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44CF"/>
  <w15:docId w15:val="{F5121404-621A-45F7-B832-47085AD7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627</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Tsaitami Ordonez</cp:lastModifiedBy>
  <cp:revision>4</cp:revision>
  <dcterms:created xsi:type="dcterms:W3CDTF">2020-01-03T22:47:00Z</dcterms:created>
  <dcterms:modified xsi:type="dcterms:W3CDTF">2021-02-19T16:22:00Z</dcterms:modified>
</cp:coreProperties>
</file>