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5732" w14:textId="665EFEAA" w:rsidR="00636383" w:rsidRPr="00EA0D60" w:rsidRDefault="003F4607" w:rsidP="00EA0D60">
      <w:pPr>
        <w:jc w:val="center"/>
      </w:pPr>
      <w:r w:rsidRPr="003F4607">
        <w:rPr>
          <w:b/>
          <w:iCs/>
          <w:sz w:val="20"/>
          <w:szCs w:val="20"/>
          <w:u w:val="single"/>
        </w:rPr>
        <w:t xml:space="preserve">Caso Gonzales Lluy y otros </w:t>
      </w:r>
      <w:r w:rsidR="00555F00" w:rsidRPr="00555F00">
        <w:rPr>
          <w:b/>
          <w:i/>
          <w:sz w:val="20"/>
          <w:szCs w:val="20"/>
          <w:u w:val="single"/>
          <w:lang w:val="es-CR"/>
        </w:rPr>
        <w:t>Vs</w:t>
      </w:r>
      <w:r w:rsidR="00555F00" w:rsidRPr="00555F00">
        <w:rPr>
          <w:b/>
          <w:iCs/>
          <w:sz w:val="20"/>
          <w:szCs w:val="20"/>
          <w:u w:val="single"/>
          <w:lang w:val="es-CR"/>
        </w:rPr>
        <w:t xml:space="preserve">. </w:t>
      </w:r>
      <w:r w:rsidR="00DB4CC8">
        <w:rPr>
          <w:b/>
          <w:iCs/>
          <w:sz w:val="20"/>
          <w:szCs w:val="20"/>
          <w:u w:val="single"/>
          <w:lang w:val="es-CR"/>
        </w:rPr>
        <w:t>Ecuador</w:t>
      </w:r>
      <w:r w:rsidR="00555F00" w:rsidRPr="00555F00">
        <w:rPr>
          <w:b/>
          <w:iCs/>
          <w:sz w:val="20"/>
          <w:szCs w:val="20"/>
          <w:u w:val="single"/>
          <w:lang w:val="es-CR"/>
        </w:rPr>
        <w:t>:</w:t>
      </w:r>
      <w:r w:rsidR="00555F00">
        <w:rPr>
          <w:b/>
          <w:i/>
          <w:sz w:val="20"/>
          <w:szCs w:val="20"/>
          <w:u w:val="single"/>
          <w:lang w:val="es-CR"/>
        </w:rPr>
        <w:t xml:space="preserve"> </w:t>
      </w:r>
      <w:r w:rsidR="00EA0D60" w:rsidRPr="00EA0D60">
        <w:rPr>
          <w:b/>
          <w:sz w:val="20"/>
          <w:szCs w:val="20"/>
          <w:u w:val="single"/>
          <w:lang w:val="es-CR"/>
        </w:rPr>
        <w:t>reparaciones declaradas cumplidas</w:t>
      </w:r>
    </w:p>
    <w:p w14:paraId="0560D915" w14:textId="73CD770C" w:rsidR="00FD6ECA" w:rsidRDefault="00FD6ECA" w:rsidP="00C77C0C">
      <w:pPr>
        <w:rPr>
          <w:sz w:val="20"/>
          <w:szCs w:val="20"/>
        </w:rPr>
      </w:pPr>
    </w:p>
    <w:p w14:paraId="664B7320" w14:textId="1ABDEC7E" w:rsidR="003F4607" w:rsidRDefault="003F4607" w:rsidP="00555F00">
      <w:pPr>
        <w:jc w:val="both"/>
        <w:rPr>
          <w:sz w:val="20"/>
          <w:szCs w:val="20"/>
        </w:rPr>
      </w:pPr>
      <w:r w:rsidRPr="003F4607">
        <w:rPr>
          <w:sz w:val="20"/>
          <w:szCs w:val="20"/>
        </w:rPr>
        <w:t xml:space="preserve">1. </w:t>
      </w:r>
      <w:r>
        <w:rPr>
          <w:sz w:val="20"/>
          <w:szCs w:val="20"/>
        </w:rPr>
        <w:tab/>
      </w:r>
      <w:r w:rsidRPr="003F4607">
        <w:rPr>
          <w:sz w:val="20"/>
          <w:szCs w:val="20"/>
        </w:rPr>
        <w:t xml:space="preserve">Realizar en el plazo de seis meses, a partir de la notificación de la Sentencia, las publicaciones indicadas en el párrafo 364 de la Sentencia, en los términos dispuestos en la misma. </w:t>
      </w:r>
    </w:p>
    <w:p w14:paraId="6146A19B" w14:textId="77777777" w:rsidR="003F4607" w:rsidRDefault="003F4607" w:rsidP="00555F00">
      <w:pPr>
        <w:jc w:val="both"/>
        <w:rPr>
          <w:sz w:val="20"/>
          <w:szCs w:val="20"/>
        </w:rPr>
      </w:pPr>
    </w:p>
    <w:p w14:paraId="7BB873F3" w14:textId="41ACC700" w:rsidR="003F4607" w:rsidRDefault="003F4607" w:rsidP="00555F00">
      <w:pPr>
        <w:jc w:val="both"/>
        <w:rPr>
          <w:sz w:val="20"/>
          <w:szCs w:val="20"/>
        </w:rPr>
      </w:pPr>
      <w:r w:rsidRPr="003F4607">
        <w:rPr>
          <w:sz w:val="20"/>
          <w:szCs w:val="20"/>
        </w:rPr>
        <w:t xml:space="preserve">2. </w:t>
      </w:r>
      <w:r>
        <w:rPr>
          <w:sz w:val="20"/>
          <w:szCs w:val="20"/>
        </w:rPr>
        <w:tab/>
      </w:r>
      <w:r w:rsidRPr="003F4607">
        <w:rPr>
          <w:sz w:val="20"/>
          <w:szCs w:val="20"/>
        </w:rPr>
        <w:t xml:space="preserve">Realizar en el plazo de un año, a partir de la notificación de la Sentencia, el acto público de reconocimiento de responsabilidad internacional indicado en el párrafo 368 de la Sentencia, en los términos dispuestos en la misma. </w:t>
      </w:r>
    </w:p>
    <w:p w14:paraId="0E098F81" w14:textId="77777777" w:rsidR="00800693" w:rsidRDefault="00800693" w:rsidP="00800693">
      <w:pPr>
        <w:tabs>
          <w:tab w:val="left" w:pos="720"/>
        </w:tabs>
        <w:ind w:right="-90"/>
        <w:jc w:val="both"/>
        <w:rPr>
          <w:sz w:val="20"/>
          <w:szCs w:val="20"/>
        </w:rPr>
      </w:pPr>
    </w:p>
    <w:p w14:paraId="26B30C1A" w14:textId="013B3D47" w:rsidR="00800693" w:rsidRDefault="007119D5" w:rsidP="00800693">
      <w:pPr>
        <w:tabs>
          <w:tab w:val="left" w:pos="720"/>
        </w:tabs>
        <w:ind w:right="-90"/>
        <w:jc w:val="both"/>
        <w:rPr>
          <w:sz w:val="20"/>
          <w:szCs w:val="20"/>
        </w:rPr>
      </w:pPr>
      <w:r>
        <w:rPr>
          <w:sz w:val="20"/>
          <w:szCs w:val="20"/>
        </w:rPr>
        <w:t>3</w:t>
      </w:r>
      <w:r w:rsidR="00800693" w:rsidRPr="00613AEE">
        <w:rPr>
          <w:sz w:val="20"/>
          <w:szCs w:val="20"/>
        </w:rPr>
        <w:t xml:space="preserve">. </w:t>
      </w:r>
      <w:r w:rsidR="00800693">
        <w:rPr>
          <w:sz w:val="20"/>
          <w:szCs w:val="20"/>
        </w:rPr>
        <w:tab/>
        <w:t>Otorgar a Talía Gabriela Gonzales Lluy una beca para continuar sus estudios universitarios.</w:t>
      </w:r>
    </w:p>
    <w:p w14:paraId="2687287A" w14:textId="77777777" w:rsidR="007119D5" w:rsidRDefault="007119D5" w:rsidP="00800693">
      <w:pPr>
        <w:tabs>
          <w:tab w:val="left" w:pos="720"/>
        </w:tabs>
        <w:ind w:right="-90"/>
        <w:jc w:val="both"/>
        <w:rPr>
          <w:sz w:val="20"/>
          <w:szCs w:val="20"/>
        </w:rPr>
      </w:pPr>
    </w:p>
    <w:p w14:paraId="6F7D38F8" w14:textId="20DC5F2C" w:rsidR="007119D5" w:rsidRDefault="007119D5" w:rsidP="00800693">
      <w:pPr>
        <w:tabs>
          <w:tab w:val="left" w:pos="720"/>
        </w:tabs>
        <w:ind w:right="-90"/>
        <w:jc w:val="both"/>
        <w:rPr>
          <w:sz w:val="20"/>
          <w:szCs w:val="20"/>
        </w:rPr>
      </w:pPr>
      <w:r>
        <w:rPr>
          <w:sz w:val="20"/>
          <w:szCs w:val="20"/>
        </w:rPr>
        <w:t>4</w:t>
      </w:r>
      <w:r w:rsidRPr="00DA64FD">
        <w:rPr>
          <w:sz w:val="20"/>
          <w:szCs w:val="20"/>
        </w:rPr>
        <w:t xml:space="preserve">. </w:t>
      </w:r>
      <w:r w:rsidRPr="00DA64FD">
        <w:rPr>
          <w:sz w:val="20"/>
          <w:szCs w:val="20"/>
        </w:rPr>
        <w:tab/>
        <w:t>Entregar a Talía Gabriela Gonzales Lluy una vivienda digna en el plazo de un año, a título gratuito, en los términos del párrafo 377 de la Sentencia.</w:t>
      </w:r>
    </w:p>
    <w:p w14:paraId="707FDAC2" w14:textId="77777777" w:rsidR="007119D5" w:rsidRDefault="007119D5" w:rsidP="00800693">
      <w:pPr>
        <w:tabs>
          <w:tab w:val="left" w:pos="720"/>
        </w:tabs>
        <w:ind w:right="-90"/>
        <w:jc w:val="both"/>
        <w:rPr>
          <w:sz w:val="20"/>
          <w:szCs w:val="20"/>
        </w:rPr>
      </w:pPr>
    </w:p>
    <w:p w14:paraId="14E8AA8D" w14:textId="305DA02B" w:rsidR="007119D5" w:rsidRDefault="007119D5" w:rsidP="007119D5">
      <w:pPr>
        <w:jc w:val="both"/>
        <w:rPr>
          <w:sz w:val="20"/>
          <w:szCs w:val="20"/>
        </w:rPr>
      </w:pPr>
      <w:r>
        <w:rPr>
          <w:sz w:val="20"/>
          <w:szCs w:val="20"/>
        </w:rPr>
        <w:t>5</w:t>
      </w:r>
      <w:r w:rsidRPr="003F4607">
        <w:rPr>
          <w:sz w:val="20"/>
          <w:szCs w:val="20"/>
        </w:rPr>
        <w:t>.</w:t>
      </w:r>
      <w:r>
        <w:rPr>
          <w:sz w:val="20"/>
          <w:szCs w:val="20"/>
        </w:rPr>
        <w:tab/>
      </w:r>
      <w:r w:rsidRPr="003F4607">
        <w:rPr>
          <w:sz w:val="20"/>
          <w:szCs w:val="20"/>
        </w:rPr>
        <w:t xml:space="preserve">Pagar, dentro del plazo de un año a partir de la notificación de </w:t>
      </w:r>
      <w:r>
        <w:rPr>
          <w:sz w:val="20"/>
          <w:szCs w:val="20"/>
        </w:rPr>
        <w:t>la</w:t>
      </w:r>
      <w:r w:rsidRPr="003F4607">
        <w:rPr>
          <w:sz w:val="20"/>
          <w:szCs w:val="20"/>
        </w:rPr>
        <w:t xml:space="preserve"> Sentencia, las cantidades fijadas en los párrafos 409 y 416 por concepto de indemnizaciones por daños materiales e inmateriales</w:t>
      </w:r>
      <w:r>
        <w:rPr>
          <w:sz w:val="20"/>
          <w:szCs w:val="20"/>
        </w:rPr>
        <w:t>.</w:t>
      </w:r>
      <w:r w:rsidRPr="003F4607">
        <w:rPr>
          <w:sz w:val="20"/>
          <w:szCs w:val="20"/>
        </w:rPr>
        <w:t xml:space="preserve"> </w:t>
      </w:r>
    </w:p>
    <w:p w14:paraId="6DC1CD32" w14:textId="77777777" w:rsidR="00800693" w:rsidRDefault="00800693" w:rsidP="00800693">
      <w:pPr>
        <w:tabs>
          <w:tab w:val="left" w:pos="720"/>
        </w:tabs>
        <w:ind w:right="-90"/>
        <w:jc w:val="both"/>
        <w:rPr>
          <w:sz w:val="20"/>
          <w:szCs w:val="20"/>
        </w:rPr>
      </w:pPr>
    </w:p>
    <w:p w14:paraId="205DE587" w14:textId="4378A6FC" w:rsidR="00DB4CC8" w:rsidRDefault="007119D5" w:rsidP="00800693">
      <w:pPr>
        <w:tabs>
          <w:tab w:val="left" w:pos="720"/>
        </w:tabs>
        <w:ind w:right="-90"/>
        <w:jc w:val="both"/>
        <w:rPr>
          <w:sz w:val="20"/>
          <w:szCs w:val="20"/>
        </w:rPr>
      </w:pPr>
      <w:r>
        <w:rPr>
          <w:sz w:val="20"/>
          <w:szCs w:val="20"/>
        </w:rPr>
        <w:t>6</w:t>
      </w:r>
      <w:r w:rsidR="003F4607">
        <w:rPr>
          <w:sz w:val="20"/>
          <w:szCs w:val="20"/>
        </w:rPr>
        <w:t>.</w:t>
      </w:r>
      <w:r w:rsidR="003F4607">
        <w:rPr>
          <w:sz w:val="20"/>
          <w:szCs w:val="20"/>
        </w:rPr>
        <w:tab/>
      </w:r>
      <w:r w:rsidR="003F4607" w:rsidRPr="003F4607">
        <w:rPr>
          <w:sz w:val="20"/>
          <w:szCs w:val="20"/>
        </w:rPr>
        <w:t xml:space="preserve">Pagar, dentro del plazo de un año a partir de la notificación de </w:t>
      </w:r>
      <w:r w:rsidR="003F4607">
        <w:rPr>
          <w:sz w:val="20"/>
          <w:szCs w:val="20"/>
        </w:rPr>
        <w:t>la</w:t>
      </w:r>
      <w:r w:rsidR="003F4607" w:rsidRPr="003F4607">
        <w:rPr>
          <w:sz w:val="20"/>
          <w:szCs w:val="20"/>
        </w:rPr>
        <w:t xml:space="preserve"> Sentencia, el reintegro de costas y gastos, en los términos del párrafo 421 de </w:t>
      </w:r>
      <w:r w:rsidR="003F4607">
        <w:rPr>
          <w:sz w:val="20"/>
          <w:szCs w:val="20"/>
        </w:rPr>
        <w:t>la</w:t>
      </w:r>
      <w:r w:rsidR="003F4607" w:rsidRPr="003F4607">
        <w:rPr>
          <w:sz w:val="20"/>
          <w:szCs w:val="20"/>
        </w:rPr>
        <w:t xml:space="preserve"> Sentencia.</w:t>
      </w:r>
    </w:p>
    <w:p w14:paraId="734809E5" w14:textId="77777777" w:rsidR="00800693" w:rsidRPr="00800693" w:rsidRDefault="00800693" w:rsidP="00555F00">
      <w:pPr>
        <w:jc w:val="both"/>
        <w:rPr>
          <w:b/>
          <w:sz w:val="20"/>
          <w:szCs w:val="20"/>
        </w:rPr>
      </w:pPr>
    </w:p>
    <w:p w14:paraId="47FB8A20" w14:textId="64A7F70F" w:rsidR="00161C2C" w:rsidRPr="00C52766" w:rsidRDefault="007119D5" w:rsidP="00161C2C">
      <w:pPr>
        <w:jc w:val="both"/>
        <w:rPr>
          <w:sz w:val="20"/>
          <w:szCs w:val="20"/>
        </w:rPr>
      </w:pPr>
      <w:r>
        <w:rPr>
          <w:sz w:val="20"/>
          <w:szCs w:val="20"/>
        </w:rPr>
        <w:t>7</w:t>
      </w:r>
      <w:r w:rsidR="00161C2C" w:rsidRPr="00C52766">
        <w:rPr>
          <w:sz w:val="20"/>
          <w:szCs w:val="20"/>
        </w:rPr>
        <w:t xml:space="preserve">. </w:t>
      </w:r>
      <w:r w:rsidR="00161C2C" w:rsidRPr="00C52766">
        <w:rPr>
          <w:sz w:val="20"/>
          <w:szCs w:val="20"/>
        </w:rPr>
        <w:tab/>
        <w:t xml:space="preserve">Reintegrar al Fondo de Asistencia Legal de Víctimas de la Corte Interamericana de Derechos Humanos la cantidad erogada durante la tramitación del presente caso, en los términos del párrafo 423 de </w:t>
      </w:r>
      <w:r w:rsidR="00161C2C">
        <w:rPr>
          <w:sz w:val="20"/>
          <w:szCs w:val="20"/>
        </w:rPr>
        <w:t>la</w:t>
      </w:r>
      <w:r w:rsidR="00161C2C" w:rsidRPr="00C52766">
        <w:rPr>
          <w:sz w:val="20"/>
          <w:szCs w:val="20"/>
        </w:rPr>
        <w:t xml:space="preserve"> Sentencia.</w:t>
      </w:r>
    </w:p>
    <w:p w14:paraId="0B488719" w14:textId="77777777" w:rsidR="00161C2C" w:rsidRDefault="00161C2C" w:rsidP="00555F00">
      <w:pPr>
        <w:jc w:val="both"/>
        <w:rPr>
          <w:b/>
          <w:sz w:val="20"/>
          <w:szCs w:val="20"/>
          <w:lang w:val="es-ES"/>
        </w:rPr>
      </w:pPr>
    </w:p>
    <w:p w14:paraId="6F74ABC8" w14:textId="42492621" w:rsidR="006663F3" w:rsidRPr="00555F00" w:rsidRDefault="006663F3" w:rsidP="00555F00">
      <w:pPr>
        <w:jc w:val="both"/>
        <w:rPr>
          <w:b/>
          <w:sz w:val="20"/>
          <w:szCs w:val="20"/>
          <w:lang w:val="es-ES"/>
        </w:rPr>
      </w:pPr>
      <w:r w:rsidRPr="00555F00">
        <w:rPr>
          <w:b/>
          <w:sz w:val="20"/>
          <w:szCs w:val="20"/>
          <w:lang w:val="es-ES"/>
        </w:rPr>
        <w:t>Cumplimiento parcial:</w:t>
      </w:r>
    </w:p>
    <w:p w14:paraId="69EEF77D" w14:textId="79B365B4" w:rsidR="000115F8" w:rsidRPr="00555F00" w:rsidRDefault="000115F8" w:rsidP="00555F00">
      <w:pPr>
        <w:tabs>
          <w:tab w:val="left" w:pos="720"/>
        </w:tabs>
        <w:ind w:right="-90"/>
        <w:jc w:val="both"/>
        <w:rPr>
          <w:sz w:val="20"/>
          <w:szCs w:val="20"/>
        </w:rPr>
      </w:pPr>
    </w:p>
    <w:p w14:paraId="2DF90134" w14:textId="2E6BC052" w:rsidR="006909E5" w:rsidRDefault="006909E5" w:rsidP="006909E5">
      <w:pPr>
        <w:pStyle w:val="NormalWeb"/>
        <w:spacing w:before="0" w:beforeAutospacing="0" w:after="0" w:afterAutospacing="0"/>
        <w:jc w:val="both"/>
      </w:pPr>
      <w:r>
        <w:rPr>
          <w:rFonts w:ascii="Verdana" w:hAnsi="Verdana"/>
          <w:sz w:val="20"/>
          <w:szCs w:val="20"/>
        </w:rPr>
        <w:t>8</w:t>
      </w:r>
      <w:r w:rsidRPr="00613AEE">
        <w:rPr>
          <w:rFonts w:ascii="Verdana" w:hAnsi="Verdana"/>
          <w:sz w:val="20"/>
          <w:szCs w:val="20"/>
        </w:rPr>
        <w:t xml:space="preserve">. </w:t>
      </w:r>
      <w:r>
        <w:rPr>
          <w:rFonts w:ascii="Verdana" w:hAnsi="Verdana"/>
          <w:sz w:val="20"/>
          <w:szCs w:val="20"/>
        </w:rPr>
        <w:tab/>
        <w:t xml:space="preserve">Brindar gratuitamente y en forma oportuna, el tratamiento médico y psicológico o psiquiátrico a Talía Gabriela Gonzales Lluy, incluyendo el suministro gratuito de los medicamentos que requiera, en los términos de los párrafos 355 a 360 de la Sentencia. </w:t>
      </w:r>
    </w:p>
    <w:p w14:paraId="44AFFD75" w14:textId="77777777" w:rsidR="006909E5" w:rsidRDefault="006909E5" w:rsidP="006909E5">
      <w:pPr>
        <w:pStyle w:val="NormalWeb"/>
        <w:jc w:val="both"/>
        <w:rPr>
          <w:rFonts w:ascii="Verdana" w:hAnsi="Verdana"/>
          <w:sz w:val="20"/>
          <w:szCs w:val="20"/>
        </w:rPr>
      </w:pPr>
      <w:r>
        <w:rPr>
          <w:rFonts w:ascii="Verdana" w:hAnsi="Verdana"/>
          <w:sz w:val="20"/>
          <w:szCs w:val="20"/>
        </w:rPr>
        <w:t xml:space="preserve">En el Considerando 17 de la Resolución de la Corte de 5 de febrero de 2018 el Tribunal declaró que el Estado </w:t>
      </w:r>
      <w:r w:rsidRPr="0014449D">
        <w:rPr>
          <w:rFonts w:ascii="Verdana" w:hAnsi="Verdana"/>
          <w:b/>
          <w:bCs/>
          <w:sz w:val="20"/>
          <w:szCs w:val="20"/>
        </w:rPr>
        <w:t>ha venido dando cumplimiento</w:t>
      </w:r>
      <w:r>
        <w:rPr>
          <w:rFonts w:ascii="Verdana" w:hAnsi="Verdana"/>
          <w:sz w:val="20"/>
          <w:szCs w:val="20"/>
        </w:rPr>
        <w:t xml:space="preserve"> </w:t>
      </w:r>
      <w:r>
        <w:rPr>
          <w:rFonts w:ascii="Verdana" w:hAnsi="Verdana"/>
          <w:b/>
          <w:bCs/>
          <w:sz w:val="20"/>
          <w:szCs w:val="20"/>
        </w:rPr>
        <w:t>y debe continuar implementando</w:t>
      </w:r>
      <w:r>
        <w:rPr>
          <w:rFonts w:ascii="Verdana" w:hAnsi="Verdana"/>
          <w:sz w:val="20"/>
          <w:szCs w:val="20"/>
        </w:rPr>
        <w:t xml:space="preserve"> la presente medida de reparación: </w:t>
      </w:r>
    </w:p>
    <w:p w14:paraId="2E9B5BFA" w14:textId="77777777" w:rsidR="006909E5" w:rsidRPr="000D5E36" w:rsidRDefault="006909E5" w:rsidP="006909E5">
      <w:pPr>
        <w:pStyle w:val="NormalWeb"/>
        <w:ind w:left="720"/>
        <w:jc w:val="both"/>
        <w:rPr>
          <w:sz w:val="18"/>
          <w:szCs w:val="18"/>
        </w:rPr>
      </w:pPr>
      <w:r w:rsidRPr="00613AEE">
        <w:rPr>
          <w:rFonts w:ascii="Verdana" w:hAnsi="Verdana"/>
          <w:sz w:val="18"/>
          <w:szCs w:val="18"/>
        </w:rPr>
        <w:t>17. Con base en las consideraciones expuestas, la Corte considera que el Ecuador ha venido dando cumplimiento y debe continuar implementando, en los términos dispuestos en la Sentencia, la medida ordenada en el punto resolutivo décimo de la misma, relativa a brindar tratamiento médico, psicológico o psiquiátrico a Talía Gabriela Gonzales Lluy. Sin perjuicio de ello, para que la Corte pueda continuar valorando el estado de cumplimiento de esta medida se requiere que tanto Ecuador como el representante presenten la información que se les ha solicitado en la presente resolución (</w:t>
      </w:r>
      <w:r w:rsidRPr="00B92A40">
        <w:rPr>
          <w:rFonts w:ascii="Verdana,Italic" w:hAnsi="Verdana,Italic"/>
          <w:i/>
          <w:iCs/>
          <w:sz w:val="18"/>
          <w:szCs w:val="18"/>
        </w:rPr>
        <w:t>supra</w:t>
      </w:r>
      <w:r w:rsidRPr="00613AEE">
        <w:rPr>
          <w:rFonts w:ascii="Verdana,Italic" w:hAnsi="Verdana,Italic"/>
          <w:sz w:val="18"/>
          <w:szCs w:val="18"/>
        </w:rPr>
        <w:t xml:space="preserve"> </w:t>
      </w:r>
      <w:r w:rsidRPr="00613AEE">
        <w:rPr>
          <w:rFonts w:ascii="Verdana" w:hAnsi="Verdana"/>
          <w:sz w:val="18"/>
          <w:szCs w:val="18"/>
        </w:rPr>
        <w:t xml:space="preserve">Considerandos 13 a 15). </w:t>
      </w:r>
    </w:p>
    <w:p w14:paraId="192463EF" w14:textId="6AF56A23" w:rsidR="006909E5" w:rsidRDefault="006909E5" w:rsidP="006909E5">
      <w:pPr>
        <w:pStyle w:val="NormalWeb"/>
        <w:jc w:val="both"/>
        <w:rPr>
          <w:rFonts w:ascii="Verdana" w:hAnsi="Verdana"/>
          <w:sz w:val="20"/>
          <w:szCs w:val="20"/>
        </w:rPr>
      </w:pPr>
      <w:r>
        <w:rPr>
          <w:rFonts w:ascii="Verdana" w:hAnsi="Verdana"/>
          <w:sz w:val="20"/>
          <w:szCs w:val="20"/>
        </w:rPr>
        <w:t>9</w:t>
      </w:r>
      <w:r w:rsidRPr="00613AEE">
        <w:rPr>
          <w:rFonts w:ascii="Verdana" w:hAnsi="Verdana"/>
          <w:sz w:val="20"/>
          <w:szCs w:val="20"/>
        </w:rPr>
        <w:t xml:space="preserve">. </w:t>
      </w:r>
      <w:r>
        <w:rPr>
          <w:rFonts w:ascii="Verdana" w:hAnsi="Verdana"/>
          <w:sz w:val="20"/>
          <w:szCs w:val="20"/>
        </w:rPr>
        <w:tab/>
        <w:t>Realizar un programa para la capacitación de funcionarios en salud sobre mejores prácticas y derechos de los pacientes con VIH.</w:t>
      </w:r>
    </w:p>
    <w:p w14:paraId="241A80B2" w14:textId="77777777" w:rsidR="006909E5" w:rsidRPr="006109E2" w:rsidRDefault="006909E5" w:rsidP="006909E5">
      <w:pPr>
        <w:pStyle w:val="NormalWeb"/>
        <w:jc w:val="both"/>
        <w:rPr>
          <w:rFonts w:ascii="Verdana" w:hAnsi="Verdana"/>
          <w:sz w:val="20"/>
          <w:szCs w:val="20"/>
        </w:rPr>
      </w:pPr>
      <w:r>
        <w:rPr>
          <w:rFonts w:ascii="Verdana" w:hAnsi="Verdana"/>
          <w:sz w:val="20"/>
          <w:szCs w:val="20"/>
        </w:rPr>
        <w:t xml:space="preserve">En el considerando 50 de la Resolución de la Corte de 5 de febrero de 2018 el Tribunal declaró que el Estado </w:t>
      </w:r>
      <w:r w:rsidRPr="0014449D">
        <w:rPr>
          <w:rFonts w:ascii="Verdana" w:hAnsi="Verdana"/>
          <w:b/>
          <w:bCs/>
          <w:sz w:val="20"/>
          <w:szCs w:val="20"/>
        </w:rPr>
        <w:t>ha venido dando cumplimiento</w:t>
      </w:r>
      <w:r>
        <w:rPr>
          <w:rFonts w:ascii="Verdana" w:hAnsi="Verdana"/>
          <w:sz w:val="20"/>
          <w:szCs w:val="20"/>
        </w:rPr>
        <w:t xml:space="preserve"> </w:t>
      </w:r>
      <w:r>
        <w:rPr>
          <w:rFonts w:ascii="Verdana" w:hAnsi="Verdana"/>
          <w:b/>
          <w:bCs/>
          <w:sz w:val="20"/>
          <w:szCs w:val="20"/>
        </w:rPr>
        <w:t>y debe continuar implementando</w:t>
      </w:r>
      <w:r>
        <w:rPr>
          <w:rFonts w:ascii="Verdana" w:hAnsi="Verdana"/>
          <w:sz w:val="20"/>
          <w:szCs w:val="20"/>
        </w:rPr>
        <w:t xml:space="preserve"> la presente medida de reparación:</w:t>
      </w:r>
    </w:p>
    <w:p w14:paraId="27C80156" w14:textId="77777777" w:rsidR="006909E5" w:rsidRPr="00311575" w:rsidRDefault="006909E5" w:rsidP="006909E5">
      <w:pPr>
        <w:pStyle w:val="NormalWeb"/>
        <w:ind w:left="720"/>
        <w:jc w:val="both"/>
        <w:rPr>
          <w:sz w:val="18"/>
          <w:szCs w:val="18"/>
        </w:rPr>
      </w:pPr>
      <w:r w:rsidRPr="00311575">
        <w:rPr>
          <w:rFonts w:ascii="Verdana" w:hAnsi="Verdana"/>
          <w:sz w:val="18"/>
          <w:szCs w:val="18"/>
        </w:rPr>
        <w:lastRenderedPageBreak/>
        <w:t xml:space="preserve">50. Si bien este Tribunal considera que Ecuador ha venido dando cumplimiento a la presente medida de reparación con las capacitaciones presenciales y virtuales realizadas a funcionarios en salud en temas relativos a mejores prácticas y derechos de los pacientes con VIH/SIDA </w:t>
      </w:r>
      <w:r>
        <w:rPr>
          <w:rFonts w:ascii="Verdana" w:hAnsi="Verdana"/>
          <w:sz w:val="18"/>
          <w:szCs w:val="18"/>
        </w:rPr>
        <w:t>[…]</w:t>
      </w:r>
      <w:r w:rsidRPr="00311575">
        <w:rPr>
          <w:rFonts w:ascii="Verdana" w:hAnsi="Verdana"/>
          <w:sz w:val="18"/>
          <w:szCs w:val="18"/>
        </w:rPr>
        <w:t xml:space="preserve">, es necesario que el Estado presente mayor información sobre cuál o cuáles de estas acciones continuarán con un carácter permanente, de manera tal que permita a la Corte valorar el cumplimiento total de esta reparación. Asimismo, tomando en cuenta lo indicado por el representante </w:t>
      </w:r>
      <w:r>
        <w:rPr>
          <w:rFonts w:ascii="Verdana" w:hAnsi="Verdana"/>
          <w:sz w:val="18"/>
          <w:szCs w:val="18"/>
        </w:rPr>
        <w:t>[…]</w:t>
      </w:r>
      <w:r w:rsidRPr="00311575">
        <w:rPr>
          <w:rFonts w:ascii="Verdana" w:hAnsi="Verdana"/>
          <w:sz w:val="18"/>
          <w:szCs w:val="18"/>
        </w:rPr>
        <w:t>, resulta necesario que el Estado explique si en el contenido de las capacitaciones impartidas se ha incluido el estudio de los estándares establecidos en la Sentencia del presente caso con respecto a la prohibición de discriminación</w:t>
      </w:r>
      <w:r>
        <w:rPr>
          <w:rFonts w:ascii="Verdana" w:hAnsi="Verdana"/>
          <w:sz w:val="18"/>
          <w:szCs w:val="18"/>
        </w:rPr>
        <w:t>.</w:t>
      </w:r>
    </w:p>
    <w:p w14:paraId="5B4974E8" w14:textId="77777777" w:rsidR="00613AEE" w:rsidRPr="00993E97" w:rsidRDefault="00613AEE" w:rsidP="00613AEE">
      <w:pPr>
        <w:tabs>
          <w:tab w:val="left" w:pos="720"/>
        </w:tabs>
        <w:ind w:right="720"/>
        <w:jc w:val="both"/>
        <w:rPr>
          <w:sz w:val="22"/>
          <w:szCs w:val="22"/>
          <w:lang w:val="es-EC"/>
        </w:rPr>
      </w:pPr>
    </w:p>
    <w:sectPr w:rsidR="00613AEE" w:rsidRPr="00993E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D75F" w14:textId="77777777" w:rsidR="005F5BE5" w:rsidRDefault="005F5BE5" w:rsidP="009F7EF4">
      <w:r>
        <w:separator/>
      </w:r>
    </w:p>
  </w:endnote>
  <w:endnote w:type="continuationSeparator" w:id="0">
    <w:p w14:paraId="2B867678" w14:textId="77777777" w:rsidR="005F5BE5" w:rsidRDefault="005F5BE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CA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5053CC"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5D1CA" w14:textId="77777777" w:rsidR="005F5BE5" w:rsidRDefault="005F5BE5" w:rsidP="009F7EF4">
      <w:r>
        <w:separator/>
      </w:r>
    </w:p>
  </w:footnote>
  <w:footnote w:type="continuationSeparator" w:id="0">
    <w:p w14:paraId="08F0688C" w14:textId="77777777" w:rsidR="005F5BE5" w:rsidRDefault="005F5BE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377C474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35C8224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725620">
    <w:abstractNumId w:val="9"/>
  </w:num>
  <w:num w:numId="2" w16cid:durableId="879173682">
    <w:abstractNumId w:val="2"/>
  </w:num>
  <w:num w:numId="3" w16cid:durableId="1129401461">
    <w:abstractNumId w:val="8"/>
  </w:num>
  <w:num w:numId="4" w16cid:durableId="1551068736">
    <w:abstractNumId w:val="0"/>
  </w:num>
  <w:num w:numId="5" w16cid:durableId="384529598">
    <w:abstractNumId w:val="1"/>
  </w:num>
  <w:num w:numId="6" w16cid:durableId="775177923">
    <w:abstractNumId w:val="4"/>
  </w:num>
  <w:num w:numId="7" w16cid:durableId="2140756637">
    <w:abstractNumId w:val="7"/>
  </w:num>
  <w:num w:numId="8" w16cid:durableId="1991016368">
    <w:abstractNumId w:val="3"/>
  </w:num>
  <w:num w:numId="9" w16cid:durableId="1477379202">
    <w:abstractNumId w:val="5"/>
  </w:num>
  <w:num w:numId="10" w16cid:durableId="1858733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26C1A"/>
    <w:rsid w:val="00070F43"/>
    <w:rsid w:val="000930F6"/>
    <w:rsid w:val="000A3421"/>
    <w:rsid w:val="000D5E36"/>
    <w:rsid w:val="00101CC6"/>
    <w:rsid w:val="00111252"/>
    <w:rsid w:val="0012683C"/>
    <w:rsid w:val="001426AA"/>
    <w:rsid w:val="00161C2C"/>
    <w:rsid w:val="00183494"/>
    <w:rsid w:val="001B0CF9"/>
    <w:rsid w:val="002554E1"/>
    <w:rsid w:val="00296F77"/>
    <w:rsid w:val="002B3295"/>
    <w:rsid w:val="002B7E8D"/>
    <w:rsid w:val="00311575"/>
    <w:rsid w:val="0034045F"/>
    <w:rsid w:val="003A7E5E"/>
    <w:rsid w:val="003C561A"/>
    <w:rsid w:val="003D05F7"/>
    <w:rsid w:val="003F4607"/>
    <w:rsid w:val="00474D04"/>
    <w:rsid w:val="00476F6E"/>
    <w:rsid w:val="00555F00"/>
    <w:rsid w:val="00561328"/>
    <w:rsid w:val="00587082"/>
    <w:rsid w:val="005A461C"/>
    <w:rsid w:val="005C68A4"/>
    <w:rsid w:val="005D1A85"/>
    <w:rsid w:val="005F5BE5"/>
    <w:rsid w:val="0060160E"/>
    <w:rsid w:val="006065EC"/>
    <w:rsid w:val="006109E2"/>
    <w:rsid w:val="00613AEE"/>
    <w:rsid w:val="00617B3E"/>
    <w:rsid w:val="00636383"/>
    <w:rsid w:val="006663F3"/>
    <w:rsid w:val="006909E5"/>
    <w:rsid w:val="006C38A6"/>
    <w:rsid w:val="006D4B2D"/>
    <w:rsid w:val="006F2690"/>
    <w:rsid w:val="007119D5"/>
    <w:rsid w:val="00745890"/>
    <w:rsid w:val="00757A0D"/>
    <w:rsid w:val="00774B82"/>
    <w:rsid w:val="00792726"/>
    <w:rsid w:val="00793D20"/>
    <w:rsid w:val="00800693"/>
    <w:rsid w:val="0090680B"/>
    <w:rsid w:val="00926FFB"/>
    <w:rsid w:val="00953993"/>
    <w:rsid w:val="009832C0"/>
    <w:rsid w:val="00993E97"/>
    <w:rsid w:val="00994D91"/>
    <w:rsid w:val="009B01F7"/>
    <w:rsid w:val="009D22BE"/>
    <w:rsid w:val="009F7EF4"/>
    <w:rsid w:val="00A07758"/>
    <w:rsid w:val="00AC3CC9"/>
    <w:rsid w:val="00AC4EB2"/>
    <w:rsid w:val="00AD49C7"/>
    <w:rsid w:val="00AE0035"/>
    <w:rsid w:val="00B11B9B"/>
    <w:rsid w:val="00B319FA"/>
    <w:rsid w:val="00B32A37"/>
    <w:rsid w:val="00B353D1"/>
    <w:rsid w:val="00B375FF"/>
    <w:rsid w:val="00B87206"/>
    <w:rsid w:val="00BA6BA9"/>
    <w:rsid w:val="00BC5824"/>
    <w:rsid w:val="00C04BBE"/>
    <w:rsid w:val="00C33AED"/>
    <w:rsid w:val="00C4747D"/>
    <w:rsid w:val="00C77C0C"/>
    <w:rsid w:val="00C80200"/>
    <w:rsid w:val="00C807CF"/>
    <w:rsid w:val="00D3440D"/>
    <w:rsid w:val="00DA64FD"/>
    <w:rsid w:val="00DB4CC8"/>
    <w:rsid w:val="00E42392"/>
    <w:rsid w:val="00E644E3"/>
    <w:rsid w:val="00E85D9E"/>
    <w:rsid w:val="00EA0D60"/>
    <w:rsid w:val="00EC7E77"/>
    <w:rsid w:val="00F50093"/>
    <w:rsid w:val="00F9143A"/>
    <w:rsid w:val="00F95487"/>
    <w:rsid w:val="00FD6ECA"/>
    <w:rsid w:val="00FF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D50"/>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character" w:styleId="Refdecomentario">
    <w:name w:val="annotation reference"/>
    <w:basedOn w:val="Fuentedeprrafopredeter"/>
    <w:uiPriority w:val="99"/>
    <w:semiHidden/>
    <w:unhideWhenUsed/>
    <w:rsid w:val="00FF4ED7"/>
    <w:rPr>
      <w:sz w:val="16"/>
      <w:szCs w:val="16"/>
    </w:rPr>
  </w:style>
  <w:style w:type="paragraph" w:styleId="Textocomentario">
    <w:name w:val="annotation text"/>
    <w:basedOn w:val="Normal"/>
    <w:link w:val="TextocomentarioCar"/>
    <w:uiPriority w:val="99"/>
    <w:semiHidden/>
    <w:unhideWhenUsed/>
    <w:rsid w:val="00FF4ED7"/>
    <w:rPr>
      <w:sz w:val="20"/>
      <w:szCs w:val="20"/>
    </w:rPr>
  </w:style>
  <w:style w:type="character" w:customStyle="1" w:styleId="TextocomentarioCar">
    <w:name w:val="Texto comentario Car"/>
    <w:basedOn w:val="Fuentedeprrafopredeter"/>
    <w:link w:val="Textocomentario"/>
    <w:uiPriority w:val="99"/>
    <w:semiHidden/>
    <w:rsid w:val="00FF4ED7"/>
    <w:rPr>
      <w:rFonts w:ascii="Verdana" w:eastAsia="Batang" w:hAnsi="Verdana" w:cs="Time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F4ED7"/>
    <w:rPr>
      <w:b/>
      <w:bCs/>
    </w:rPr>
  </w:style>
  <w:style w:type="character" w:customStyle="1" w:styleId="AsuntodelcomentarioCar">
    <w:name w:val="Asunto del comentario Car"/>
    <w:basedOn w:val="TextocomentarioCar"/>
    <w:link w:val="Asuntodelcomentario"/>
    <w:uiPriority w:val="99"/>
    <w:semiHidden/>
    <w:rsid w:val="00FF4ED7"/>
    <w:rPr>
      <w:rFonts w:ascii="Verdana" w:eastAsia="Batang" w:hAnsi="Verdana" w:cs="Times"/>
      <w:b/>
      <w:bCs/>
      <w:sz w:val="20"/>
      <w:szCs w:val="20"/>
      <w:lang w:val="es-ES_tradnl"/>
    </w:rPr>
  </w:style>
  <w:style w:type="paragraph" w:styleId="NormalWeb">
    <w:name w:val="Normal (Web)"/>
    <w:basedOn w:val="Normal"/>
    <w:uiPriority w:val="99"/>
    <w:semiHidden/>
    <w:unhideWhenUsed/>
    <w:rsid w:val="00613AEE"/>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150">
      <w:bodyDiv w:val="1"/>
      <w:marLeft w:val="0"/>
      <w:marRight w:val="0"/>
      <w:marTop w:val="0"/>
      <w:marBottom w:val="0"/>
      <w:divBdr>
        <w:top w:val="none" w:sz="0" w:space="0" w:color="auto"/>
        <w:left w:val="none" w:sz="0" w:space="0" w:color="auto"/>
        <w:bottom w:val="none" w:sz="0" w:space="0" w:color="auto"/>
        <w:right w:val="none" w:sz="0" w:space="0" w:color="auto"/>
      </w:divBdr>
      <w:divsChild>
        <w:div w:id="1837651417">
          <w:marLeft w:val="0"/>
          <w:marRight w:val="0"/>
          <w:marTop w:val="0"/>
          <w:marBottom w:val="0"/>
          <w:divBdr>
            <w:top w:val="none" w:sz="0" w:space="0" w:color="auto"/>
            <w:left w:val="none" w:sz="0" w:space="0" w:color="auto"/>
            <w:bottom w:val="none" w:sz="0" w:space="0" w:color="auto"/>
            <w:right w:val="none" w:sz="0" w:space="0" w:color="auto"/>
          </w:divBdr>
          <w:divsChild>
            <w:div w:id="863782966">
              <w:marLeft w:val="0"/>
              <w:marRight w:val="0"/>
              <w:marTop w:val="0"/>
              <w:marBottom w:val="0"/>
              <w:divBdr>
                <w:top w:val="none" w:sz="0" w:space="0" w:color="auto"/>
                <w:left w:val="none" w:sz="0" w:space="0" w:color="auto"/>
                <w:bottom w:val="none" w:sz="0" w:space="0" w:color="auto"/>
                <w:right w:val="none" w:sz="0" w:space="0" w:color="auto"/>
              </w:divBdr>
              <w:divsChild>
                <w:div w:id="1202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4589">
      <w:bodyDiv w:val="1"/>
      <w:marLeft w:val="0"/>
      <w:marRight w:val="0"/>
      <w:marTop w:val="0"/>
      <w:marBottom w:val="0"/>
      <w:divBdr>
        <w:top w:val="none" w:sz="0" w:space="0" w:color="auto"/>
        <w:left w:val="none" w:sz="0" w:space="0" w:color="auto"/>
        <w:bottom w:val="none" w:sz="0" w:space="0" w:color="auto"/>
        <w:right w:val="none" w:sz="0" w:space="0" w:color="auto"/>
      </w:divBdr>
      <w:divsChild>
        <w:div w:id="1873299408">
          <w:marLeft w:val="0"/>
          <w:marRight w:val="0"/>
          <w:marTop w:val="0"/>
          <w:marBottom w:val="0"/>
          <w:divBdr>
            <w:top w:val="none" w:sz="0" w:space="0" w:color="auto"/>
            <w:left w:val="none" w:sz="0" w:space="0" w:color="auto"/>
            <w:bottom w:val="none" w:sz="0" w:space="0" w:color="auto"/>
            <w:right w:val="none" w:sz="0" w:space="0" w:color="auto"/>
          </w:divBdr>
          <w:divsChild>
            <w:div w:id="1461806984">
              <w:marLeft w:val="0"/>
              <w:marRight w:val="0"/>
              <w:marTop w:val="0"/>
              <w:marBottom w:val="0"/>
              <w:divBdr>
                <w:top w:val="none" w:sz="0" w:space="0" w:color="auto"/>
                <w:left w:val="none" w:sz="0" w:space="0" w:color="auto"/>
                <w:bottom w:val="none" w:sz="0" w:space="0" w:color="auto"/>
                <w:right w:val="none" w:sz="0" w:space="0" w:color="auto"/>
              </w:divBdr>
              <w:divsChild>
                <w:div w:id="917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1719">
      <w:bodyDiv w:val="1"/>
      <w:marLeft w:val="0"/>
      <w:marRight w:val="0"/>
      <w:marTop w:val="0"/>
      <w:marBottom w:val="0"/>
      <w:divBdr>
        <w:top w:val="none" w:sz="0" w:space="0" w:color="auto"/>
        <w:left w:val="none" w:sz="0" w:space="0" w:color="auto"/>
        <w:bottom w:val="none" w:sz="0" w:space="0" w:color="auto"/>
        <w:right w:val="none" w:sz="0" w:space="0" w:color="auto"/>
      </w:divBdr>
      <w:divsChild>
        <w:div w:id="1064260637">
          <w:marLeft w:val="0"/>
          <w:marRight w:val="0"/>
          <w:marTop w:val="0"/>
          <w:marBottom w:val="0"/>
          <w:divBdr>
            <w:top w:val="none" w:sz="0" w:space="0" w:color="auto"/>
            <w:left w:val="none" w:sz="0" w:space="0" w:color="auto"/>
            <w:bottom w:val="none" w:sz="0" w:space="0" w:color="auto"/>
            <w:right w:val="none" w:sz="0" w:space="0" w:color="auto"/>
          </w:divBdr>
          <w:divsChild>
            <w:div w:id="868569138">
              <w:marLeft w:val="0"/>
              <w:marRight w:val="0"/>
              <w:marTop w:val="0"/>
              <w:marBottom w:val="0"/>
              <w:divBdr>
                <w:top w:val="none" w:sz="0" w:space="0" w:color="auto"/>
                <w:left w:val="none" w:sz="0" w:space="0" w:color="auto"/>
                <w:bottom w:val="none" w:sz="0" w:space="0" w:color="auto"/>
                <w:right w:val="none" w:sz="0" w:space="0" w:color="auto"/>
              </w:divBdr>
              <w:divsChild>
                <w:div w:id="12824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8699">
      <w:bodyDiv w:val="1"/>
      <w:marLeft w:val="0"/>
      <w:marRight w:val="0"/>
      <w:marTop w:val="0"/>
      <w:marBottom w:val="0"/>
      <w:divBdr>
        <w:top w:val="none" w:sz="0" w:space="0" w:color="auto"/>
        <w:left w:val="none" w:sz="0" w:space="0" w:color="auto"/>
        <w:bottom w:val="none" w:sz="0" w:space="0" w:color="auto"/>
        <w:right w:val="none" w:sz="0" w:space="0" w:color="auto"/>
      </w:divBdr>
      <w:divsChild>
        <w:div w:id="801964219">
          <w:marLeft w:val="0"/>
          <w:marRight w:val="0"/>
          <w:marTop w:val="0"/>
          <w:marBottom w:val="0"/>
          <w:divBdr>
            <w:top w:val="none" w:sz="0" w:space="0" w:color="auto"/>
            <w:left w:val="none" w:sz="0" w:space="0" w:color="auto"/>
            <w:bottom w:val="none" w:sz="0" w:space="0" w:color="auto"/>
            <w:right w:val="none" w:sz="0" w:space="0" w:color="auto"/>
          </w:divBdr>
          <w:divsChild>
            <w:div w:id="292517294">
              <w:marLeft w:val="0"/>
              <w:marRight w:val="0"/>
              <w:marTop w:val="0"/>
              <w:marBottom w:val="0"/>
              <w:divBdr>
                <w:top w:val="none" w:sz="0" w:space="0" w:color="auto"/>
                <w:left w:val="none" w:sz="0" w:space="0" w:color="auto"/>
                <w:bottom w:val="none" w:sz="0" w:space="0" w:color="auto"/>
                <w:right w:val="none" w:sz="0" w:space="0" w:color="auto"/>
              </w:divBdr>
              <w:divsChild>
                <w:div w:id="2744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055">
      <w:bodyDiv w:val="1"/>
      <w:marLeft w:val="0"/>
      <w:marRight w:val="0"/>
      <w:marTop w:val="0"/>
      <w:marBottom w:val="0"/>
      <w:divBdr>
        <w:top w:val="none" w:sz="0" w:space="0" w:color="auto"/>
        <w:left w:val="none" w:sz="0" w:space="0" w:color="auto"/>
        <w:bottom w:val="none" w:sz="0" w:space="0" w:color="auto"/>
        <w:right w:val="none" w:sz="0" w:space="0" w:color="auto"/>
      </w:divBdr>
      <w:divsChild>
        <w:div w:id="804156525">
          <w:marLeft w:val="0"/>
          <w:marRight w:val="0"/>
          <w:marTop w:val="0"/>
          <w:marBottom w:val="0"/>
          <w:divBdr>
            <w:top w:val="none" w:sz="0" w:space="0" w:color="auto"/>
            <w:left w:val="none" w:sz="0" w:space="0" w:color="auto"/>
            <w:bottom w:val="none" w:sz="0" w:space="0" w:color="auto"/>
            <w:right w:val="none" w:sz="0" w:space="0" w:color="auto"/>
          </w:divBdr>
          <w:divsChild>
            <w:div w:id="667682431">
              <w:marLeft w:val="0"/>
              <w:marRight w:val="0"/>
              <w:marTop w:val="0"/>
              <w:marBottom w:val="0"/>
              <w:divBdr>
                <w:top w:val="none" w:sz="0" w:space="0" w:color="auto"/>
                <w:left w:val="none" w:sz="0" w:space="0" w:color="auto"/>
                <w:bottom w:val="none" w:sz="0" w:space="0" w:color="auto"/>
                <w:right w:val="none" w:sz="0" w:space="0" w:color="auto"/>
              </w:divBdr>
              <w:divsChild>
                <w:div w:id="16635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003">
      <w:bodyDiv w:val="1"/>
      <w:marLeft w:val="0"/>
      <w:marRight w:val="0"/>
      <w:marTop w:val="0"/>
      <w:marBottom w:val="0"/>
      <w:divBdr>
        <w:top w:val="none" w:sz="0" w:space="0" w:color="auto"/>
        <w:left w:val="none" w:sz="0" w:space="0" w:color="auto"/>
        <w:bottom w:val="none" w:sz="0" w:space="0" w:color="auto"/>
        <w:right w:val="none" w:sz="0" w:space="0" w:color="auto"/>
      </w:divBdr>
      <w:divsChild>
        <w:div w:id="1265261529">
          <w:marLeft w:val="0"/>
          <w:marRight w:val="0"/>
          <w:marTop w:val="0"/>
          <w:marBottom w:val="0"/>
          <w:divBdr>
            <w:top w:val="none" w:sz="0" w:space="0" w:color="auto"/>
            <w:left w:val="none" w:sz="0" w:space="0" w:color="auto"/>
            <w:bottom w:val="none" w:sz="0" w:space="0" w:color="auto"/>
            <w:right w:val="none" w:sz="0" w:space="0" w:color="auto"/>
          </w:divBdr>
          <w:divsChild>
            <w:div w:id="1036352616">
              <w:marLeft w:val="0"/>
              <w:marRight w:val="0"/>
              <w:marTop w:val="0"/>
              <w:marBottom w:val="0"/>
              <w:divBdr>
                <w:top w:val="none" w:sz="0" w:space="0" w:color="auto"/>
                <w:left w:val="none" w:sz="0" w:space="0" w:color="auto"/>
                <w:bottom w:val="none" w:sz="0" w:space="0" w:color="auto"/>
                <w:right w:val="none" w:sz="0" w:space="0" w:color="auto"/>
              </w:divBdr>
              <w:divsChild>
                <w:div w:id="16431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2445">
      <w:bodyDiv w:val="1"/>
      <w:marLeft w:val="0"/>
      <w:marRight w:val="0"/>
      <w:marTop w:val="0"/>
      <w:marBottom w:val="0"/>
      <w:divBdr>
        <w:top w:val="none" w:sz="0" w:space="0" w:color="auto"/>
        <w:left w:val="none" w:sz="0" w:space="0" w:color="auto"/>
        <w:bottom w:val="none" w:sz="0" w:space="0" w:color="auto"/>
        <w:right w:val="none" w:sz="0" w:space="0" w:color="auto"/>
      </w:divBdr>
      <w:divsChild>
        <w:div w:id="1067417120">
          <w:marLeft w:val="0"/>
          <w:marRight w:val="0"/>
          <w:marTop w:val="0"/>
          <w:marBottom w:val="0"/>
          <w:divBdr>
            <w:top w:val="none" w:sz="0" w:space="0" w:color="auto"/>
            <w:left w:val="none" w:sz="0" w:space="0" w:color="auto"/>
            <w:bottom w:val="none" w:sz="0" w:space="0" w:color="auto"/>
            <w:right w:val="none" w:sz="0" w:space="0" w:color="auto"/>
          </w:divBdr>
          <w:divsChild>
            <w:div w:id="1919827407">
              <w:marLeft w:val="0"/>
              <w:marRight w:val="0"/>
              <w:marTop w:val="0"/>
              <w:marBottom w:val="0"/>
              <w:divBdr>
                <w:top w:val="none" w:sz="0" w:space="0" w:color="auto"/>
                <w:left w:val="none" w:sz="0" w:space="0" w:color="auto"/>
                <w:bottom w:val="none" w:sz="0" w:space="0" w:color="auto"/>
                <w:right w:val="none" w:sz="0" w:space="0" w:color="auto"/>
              </w:divBdr>
              <w:divsChild>
                <w:div w:id="9229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4285">
      <w:bodyDiv w:val="1"/>
      <w:marLeft w:val="0"/>
      <w:marRight w:val="0"/>
      <w:marTop w:val="0"/>
      <w:marBottom w:val="0"/>
      <w:divBdr>
        <w:top w:val="none" w:sz="0" w:space="0" w:color="auto"/>
        <w:left w:val="none" w:sz="0" w:space="0" w:color="auto"/>
        <w:bottom w:val="none" w:sz="0" w:space="0" w:color="auto"/>
        <w:right w:val="none" w:sz="0" w:space="0" w:color="auto"/>
      </w:divBdr>
      <w:divsChild>
        <w:div w:id="1535997532">
          <w:marLeft w:val="0"/>
          <w:marRight w:val="0"/>
          <w:marTop w:val="0"/>
          <w:marBottom w:val="0"/>
          <w:divBdr>
            <w:top w:val="none" w:sz="0" w:space="0" w:color="auto"/>
            <w:left w:val="none" w:sz="0" w:space="0" w:color="auto"/>
            <w:bottom w:val="none" w:sz="0" w:space="0" w:color="auto"/>
            <w:right w:val="none" w:sz="0" w:space="0" w:color="auto"/>
          </w:divBdr>
          <w:divsChild>
            <w:div w:id="957833552">
              <w:marLeft w:val="0"/>
              <w:marRight w:val="0"/>
              <w:marTop w:val="0"/>
              <w:marBottom w:val="0"/>
              <w:divBdr>
                <w:top w:val="none" w:sz="0" w:space="0" w:color="auto"/>
                <w:left w:val="none" w:sz="0" w:space="0" w:color="auto"/>
                <w:bottom w:val="none" w:sz="0" w:space="0" w:color="auto"/>
                <w:right w:val="none" w:sz="0" w:space="0" w:color="auto"/>
              </w:divBdr>
              <w:divsChild>
                <w:div w:id="960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601">
      <w:bodyDiv w:val="1"/>
      <w:marLeft w:val="0"/>
      <w:marRight w:val="0"/>
      <w:marTop w:val="0"/>
      <w:marBottom w:val="0"/>
      <w:divBdr>
        <w:top w:val="none" w:sz="0" w:space="0" w:color="auto"/>
        <w:left w:val="none" w:sz="0" w:space="0" w:color="auto"/>
        <w:bottom w:val="none" w:sz="0" w:space="0" w:color="auto"/>
        <w:right w:val="none" w:sz="0" w:space="0" w:color="auto"/>
      </w:divBdr>
      <w:divsChild>
        <w:div w:id="395275685">
          <w:marLeft w:val="0"/>
          <w:marRight w:val="0"/>
          <w:marTop w:val="0"/>
          <w:marBottom w:val="0"/>
          <w:divBdr>
            <w:top w:val="none" w:sz="0" w:space="0" w:color="auto"/>
            <w:left w:val="none" w:sz="0" w:space="0" w:color="auto"/>
            <w:bottom w:val="none" w:sz="0" w:space="0" w:color="auto"/>
            <w:right w:val="none" w:sz="0" w:space="0" w:color="auto"/>
          </w:divBdr>
          <w:divsChild>
            <w:div w:id="1917587074">
              <w:marLeft w:val="0"/>
              <w:marRight w:val="0"/>
              <w:marTop w:val="0"/>
              <w:marBottom w:val="0"/>
              <w:divBdr>
                <w:top w:val="none" w:sz="0" w:space="0" w:color="auto"/>
                <w:left w:val="none" w:sz="0" w:space="0" w:color="auto"/>
                <w:bottom w:val="none" w:sz="0" w:space="0" w:color="auto"/>
                <w:right w:val="none" w:sz="0" w:space="0" w:color="auto"/>
              </w:divBdr>
              <w:divsChild>
                <w:div w:id="1840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2622">
      <w:bodyDiv w:val="1"/>
      <w:marLeft w:val="0"/>
      <w:marRight w:val="0"/>
      <w:marTop w:val="0"/>
      <w:marBottom w:val="0"/>
      <w:divBdr>
        <w:top w:val="none" w:sz="0" w:space="0" w:color="auto"/>
        <w:left w:val="none" w:sz="0" w:space="0" w:color="auto"/>
        <w:bottom w:val="none" w:sz="0" w:space="0" w:color="auto"/>
        <w:right w:val="none" w:sz="0" w:space="0" w:color="auto"/>
      </w:divBdr>
      <w:divsChild>
        <w:div w:id="1810710596">
          <w:marLeft w:val="0"/>
          <w:marRight w:val="0"/>
          <w:marTop w:val="0"/>
          <w:marBottom w:val="0"/>
          <w:divBdr>
            <w:top w:val="none" w:sz="0" w:space="0" w:color="auto"/>
            <w:left w:val="none" w:sz="0" w:space="0" w:color="auto"/>
            <w:bottom w:val="none" w:sz="0" w:space="0" w:color="auto"/>
            <w:right w:val="none" w:sz="0" w:space="0" w:color="auto"/>
          </w:divBdr>
          <w:divsChild>
            <w:div w:id="2140879715">
              <w:marLeft w:val="0"/>
              <w:marRight w:val="0"/>
              <w:marTop w:val="0"/>
              <w:marBottom w:val="0"/>
              <w:divBdr>
                <w:top w:val="none" w:sz="0" w:space="0" w:color="auto"/>
                <w:left w:val="none" w:sz="0" w:space="0" w:color="auto"/>
                <w:bottom w:val="none" w:sz="0" w:space="0" w:color="auto"/>
                <w:right w:val="none" w:sz="0" w:space="0" w:color="auto"/>
              </w:divBdr>
              <w:divsChild>
                <w:div w:id="10965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552</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13</cp:revision>
  <cp:lastPrinted>2021-06-30T18:39:00Z</cp:lastPrinted>
  <dcterms:created xsi:type="dcterms:W3CDTF">2023-05-14T16:59:00Z</dcterms:created>
  <dcterms:modified xsi:type="dcterms:W3CDTF">2024-07-26T22:10:00Z</dcterms:modified>
</cp:coreProperties>
</file>