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A2CF" w14:textId="77777777" w:rsidR="006E7F48" w:rsidRPr="00EA0D60" w:rsidRDefault="00EA0D60" w:rsidP="00EA0D60">
      <w:pPr>
        <w:jc w:val="center"/>
      </w:pPr>
      <w:r w:rsidRPr="00EA0D60">
        <w:rPr>
          <w:b/>
          <w:i/>
          <w:sz w:val="20"/>
          <w:szCs w:val="20"/>
          <w:u w:val="single"/>
          <w:lang w:val="es-CR"/>
        </w:rPr>
        <w:t xml:space="preserve">Caso </w:t>
      </w:r>
      <w:r w:rsidR="00E644E3">
        <w:rPr>
          <w:b/>
          <w:i/>
          <w:sz w:val="20"/>
          <w:szCs w:val="20"/>
          <w:u w:val="single"/>
          <w:lang w:val="es-CR"/>
        </w:rPr>
        <w:t>Grijalva Bueno</w:t>
      </w:r>
      <w:r w:rsidR="000115F8">
        <w:rPr>
          <w:b/>
          <w:i/>
          <w:sz w:val="20"/>
          <w:szCs w:val="20"/>
          <w:u w:val="single"/>
          <w:lang w:val="es-CR"/>
        </w:rPr>
        <w:t xml:space="preserve"> </w:t>
      </w:r>
      <w:r w:rsidRPr="00EA0D60">
        <w:rPr>
          <w:b/>
          <w:i/>
          <w:sz w:val="20"/>
          <w:szCs w:val="20"/>
          <w:u w:val="single"/>
          <w:lang w:val="es-CR"/>
        </w:rPr>
        <w:t xml:space="preserve">Vs. Ecuador: </w:t>
      </w:r>
      <w:r w:rsidRPr="00EA0D60">
        <w:rPr>
          <w:b/>
          <w:sz w:val="20"/>
          <w:szCs w:val="20"/>
          <w:u w:val="single"/>
          <w:lang w:val="es-CR"/>
        </w:rPr>
        <w:t>reparaciones declaradas cumplidas</w:t>
      </w:r>
    </w:p>
    <w:p w14:paraId="7CB5E3F8" w14:textId="77777777" w:rsidR="00FD6ECA" w:rsidRPr="00C77C0C" w:rsidRDefault="00FD6ECA" w:rsidP="00C77C0C">
      <w:pPr>
        <w:rPr>
          <w:sz w:val="20"/>
          <w:szCs w:val="20"/>
        </w:rPr>
      </w:pPr>
    </w:p>
    <w:p w14:paraId="6C3F55ED" w14:textId="77777777" w:rsidR="006136DB" w:rsidRDefault="006136DB" w:rsidP="006136DB">
      <w:pPr>
        <w:jc w:val="both"/>
        <w:rPr>
          <w:rFonts w:eastAsia="Cambria" w:cs="Times New Roman"/>
          <w:bCs/>
          <w:sz w:val="20"/>
          <w:szCs w:val="20"/>
          <w:lang w:val="es-ES"/>
        </w:rPr>
      </w:pPr>
    </w:p>
    <w:p w14:paraId="195E07A3" w14:textId="0943455F" w:rsidR="006136DB" w:rsidRPr="00C04CCC" w:rsidRDefault="006136DB" w:rsidP="006136DB">
      <w:pPr>
        <w:jc w:val="both"/>
        <w:rPr>
          <w:rFonts w:eastAsia="Cambria" w:cs="Times New Roman"/>
          <w:bCs/>
          <w:sz w:val="20"/>
          <w:szCs w:val="20"/>
          <w:lang w:val="es-ES"/>
        </w:rPr>
      </w:pPr>
      <w:r>
        <w:rPr>
          <w:rFonts w:eastAsia="Cambria" w:cs="Times New Roman"/>
          <w:bCs/>
          <w:sz w:val="20"/>
          <w:szCs w:val="20"/>
          <w:lang w:val="es-ES"/>
        </w:rPr>
        <w:t>1</w:t>
      </w:r>
      <w:r w:rsidRPr="00C04CCC">
        <w:rPr>
          <w:rFonts w:eastAsia="Cambria" w:cs="Times New Roman"/>
          <w:bCs/>
          <w:sz w:val="20"/>
          <w:szCs w:val="20"/>
          <w:lang w:val="es-ES"/>
        </w:rPr>
        <w:t xml:space="preserve">. </w:t>
      </w:r>
      <w:r>
        <w:rPr>
          <w:rFonts w:eastAsia="Cambria" w:cs="Times New Roman"/>
          <w:bCs/>
          <w:sz w:val="20"/>
          <w:szCs w:val="20"/>
          <w:lang w:val="es-ES"/>
        </w:rPr>
        <w:tab/>
      </w:r>
      <w:r w:rsidRPr="00C04CCC">
        <w:rPr>
          <w:rFonts w:eastAsia="Cambria" w:cs="Times New Roman"/>
          <w:bCs/>
          <w:sz w:val="20"/>
          <w:szCs w:val="20"/>
          <w:lang w:val="es-ES"/>
        </w:rPr>
        <w:t>El Estado pagará las cantidades fijadas en los pá</w:t>
      </w:r>
      <w:r>
        <w:rPr>
          <w:rFonts w:eastAsia="Cambria" w:cs="Times New Roman"/>
          <w:bCs/>
          <w:sz w:val="20"/>
          <w:szCs w:val="20"/>
          <w:lang w:val="es-ES"/>
        </w:rPr>
        <w:t xml:space="preserve">rrafos 186 y 192 de la </w:t>
      </w:r>
      <w:r w:rsidRPr="00C04CCC">
        <w:rPr>
          <w:rFonts w:eastAsia="Cambria" w:cs="Times New Roman"/>
          <w:bCs/>
          <w:sz w:val="20"/>
          <w:szCs w:val="20"/>
          <w:lang w:val="es-ES"/>
        </w:rPr>
        <w:t>Sentencia por concepto de indemnización de los daño</w:t>
      </w:r>
      <w:r>
        <w:rPr>
          <w:rFonts w:eastAsia="Cambria" w:cs="Times New Roman"/>
          <w:bCs/>
          <w:sz w:val="20"/>
          <w:szCs w:val="20"/>
          <w:lang w:val="es-ES"/>
        </w:rPr>
        <w:t xml:space="preserve">s material e inmaterial, en los </w:t>
      </w:r>
      <w:r w:rsidRPr="00C04CCC">
        <w:rPr>
          <w:rFonts w:eastAsia="Cambria" w:cs="Times New Roman"/>
          <w:bCs/>
          <w:sz w:val="20"/>
          <w:szCs w:val="20"/>
          <w:lang w:val="es-ES"/>
        </w:rPr>
        <w:t>términos de los párrafos 185, 186 y 190 a 192 del Fallo</w:t>
      </w:r>
      <w:r>
        <w:rPr>
          <w:rFonts w:eastAsia="Cambria" w:cs="Times New Roman"/>
          <w:bCs/>
          <w:sz w:val="20"/>
          <w:szCs w:val="20"/>
          <w:lang w:val="es-ES"/>
        </w:rPr>
        <w:t>.</w:t>
      </w:r>
    </w:p>
    <w:p w14:paraId="4513398B" w14:textId="77777777" w:rsidR="006136DB" w:rsidRDefault="006136DB" w:rsidP="006663F3">
      <w:pPr>
        <w:jc w:val="both"/>
        <w:rPr>
          <w:b/>
          <w:sz w:val="20"/>
          <w:szCs w:val="20"/>
          <w:lang w:val="es-ES"/>
        </w:rPr>
      </w:pPr>
    </w:p>
    <w:p w14:paraId="68F79C33" w14:textId="04A18FB8" w:rsidR="006663F3" w:rsidRDefault="006663F3" w:rsidP="006663F3">
      <w:pPr>
        <w:jc w:val="both"/>
        <w:rPr>
          <w:b/>
          <w:sz w:val="20"/>
          <w:szCs w:val="20"/>
          <w:lang w:val="es-ES"/>
        </w:rPr>
      </w:pPr>
      <w:bookmarkStart w:id="0" w:name="_Hlk129102798"/>
      <w:r>
        <w:rPr>
          <w:b/>
          <w:sz w:val="20"/>
          <w:szCs w:val="20"/>
          <w:lang w:val="es-ES"/>
        </w:rPr>
        <w:t>Cumplimiento parcial:</w:t>
      </w:r>
    </w:p>
    <w:p w14:paraId="7E303B26" w14:textId="084D6EA5" w:rsidR="000115F8" w:rsidRDefault="000115F8" w:rsidP="000115F8">
      <w:pPr>
        <w:tabs>
          <w:tab w:val="left" w:pos="720"/>
        </w:tabs>
        <w:ind w:right="-90"/>
        <w:jc w:val="both"/>
        <w:rPr>
          <w:sz w:val="20"/>
          <w:szCs w:val="20"/>
        </w:rPr>
      </w:pPr>
    </w:p>
    <w:p w14:paraId="493D9683" w14:textId="273257BA" w:rsidR="006136DB" w:rsidRDefault="006136DB" w:rsidP="006136DB">
      <w:pPr>
        <w:jc w:val="both"/>
        <w:rPr>
          <w:rFonts w:eastAsia="Cambria" w:cs="Times New Roman"/>
          <w:bCs/>
          <w:sz w:val="20"/>
          <w:szCs w:val="20"/>
          <w:lang w:val="es-ES"/>
        </w:rPr>
      </w:pPr>
      <w:r>
        <w:rPr>
          <w:rFonts w:eastAsia="Cambria" w:cs="Times New Roman"/>
          <w:bCs/>
          <w:sz w:val="20"/>
          <w:szCs w:val="20"/>
          <w:lang w:val="es-ES"/>
        </w:rPr>
        <w:t>2</w:t>
      </w:r>
      <w:r w:rsidRPr="00C04CCC">
        <w:rPr>
          <w:rFonts w:eastAsia="Cambria" w:cs="Times New Roman"/>
          <w:bCs/>
          <w:sz w:val="20"/>
          <w:szCs w:val="20"/>
          <w:lang w:val="es-ES"/>
        </w:rPr>
        <w:t xml:space="preserve">. </w:t>
      </w:r>
      <w:r>
        <w:rPr>
          <w:rFonts w:eastAsia="Cambria" w:cs="Times New Roman"/>
          <w:bCs/>
          <w:sz w:val="20"/>
          <w:szCs w:val="20"/>
          <w:lang w:val="es-ES"/>
        </w:rPr>
        <w:tab/>
      </w:r>
      <w:r w:rsidRPr="00C04CCC">
        <w:rPr>
          <w:rFonts w:eastAsia="Cambria" w:cs="Times New Roman"/>
          <w:bCs/>
          <w:sz w:val="20"/>
          <w:szCs w:val="20"/>
          <w:lang w:val="es-ES"/>
        </w:rPr>
        <w:t>El Estado realizará las publicaciones indicadas e</w:t>
      </w:r>
      <w:r>
        <w:rPr>
          <w:rFonts w:eastAsia="Cambria" w:cs="Times New Roman"/>
          <w:bCs/>
          <w:sz w:val="20"/>
          <w:szCs w:val="20"/>
          <w:lang w:val="es-ES"/>
        </w:rPr>
        <w:t xml:space="preserve">n el párrafo 177 de la </w:t>
      </w:r>
      <w:r w:rsidRPr="00C04CCC">
        <w:rPr>
          <w:rFonts w:eastAsia="Cambria" w:cs="Times New Roman"/>
          <w:bCs/>
          <w:sz w:val="20"/>
          <w:szCs w:val="20"/>
          <w:lang w:val="es-ES"/>
        </w:rPr>
        <w:t>Sentencia.</w:t>
      </w:r>
    </w:p>
    <w:p w14:paraId="1D9A7314" w14:textId="5228A78C" w:rsidR="006136DB" w:rsidRDefault="006136DB" w:rsidP="000115F8">
      <w:pPr>
        <w:tabs>
          <w:tab w:val="left" w:pos="720"/>
        </w:tabs>
        <w:ind w:right="-90"/>
        <w:jc w:val="both"/>
        <w:rPr>
          <w:sz w:val="20"/>
          <w:szCs w:val="20"/>
          <w:lang w:val="es-ES"/>
        </w:rPr>
      </w:pPr>
    </w:p>
    <w:p w14:paraId="7CB0920D" w14:textId="2591F0A4" w:rsidR="006136DB" w:rsidRPr="006136DB" w:rsidRDefault="006136DB" w:rsidP="000115F8">
      <w:pPr>
        <w:tabs>
          <w:tab w:val="left" w:pos="720"/>
        </w:tabs>
        <w:ind w:right="-90"/>
        <w:jc w:val="both"/>
        <w:rPr>
          <w:sz w:val="20"/>
          <w:szCs w:val="28"/>
        </w:rPr>
      </w:pPr>
      <w:r w:rsidRPr="006136DB">
        <w:rPr>
          <w:sz w:val="20"/>
          <w:szCs w:val="28"/>
        </w:rPr>
        <w:t xml:space="preserve">En el Considerando </w:t>
      </w:r>
      <w:r w:rsidRPr="006136DB">
        <w:rPr>
          <w:sz w:val="20"/>
          <w:szCs w:val="28"/>
        </w:rPr>
        <w:t>2</w:t>
      </w:r>
      <w:r w:rsidRPr="006136DB">
        <w:rPr>
          <w:sz w:val="20"/>
          <w:szCs w:val="28"/>
        </w:rPr>
        <w:t xml:space="preserve"> de la Resolución de la Corte de </w:t>
      </w:r>
      <w:r w:rsidRPr="006136DB">
        <w:rPr>
          <w:sz w:val="20"/>
          <w:szCs w:val="28"/>
        </w:rPr>
        <w:t>7 de febrero</w:t>
      </w:r>
      <w:r w:rsidRPr="006136DB">
        <w:rPr>
          <w:sz w:val="20"/>
          <w:szCs w:val="28"/>
        </w:rPr>
        <w:t xml:space="preserve"> de 202</w:t>
      </w:r>
      <w:r w:rsidRPr="006136DB">
        <w:rPr>
          <w:sz w:val="20"/>
          <w:szCs w:val="28"/>
        </w:rPr>
        <w:t>3</w:t>
      </w:r>
      <w:r w:rsidRPr="006136DB">
        <w:rPr>
          <w:sz w:val="20"/>
          <w:szCs w:val="28"/>
        </w:rPr>
        <w:t xml:space="preserve"> se explica lo que continúa pendiente de cumplimiento respecto a la presente medida de reparación:</w:t>
      </w:r>
    </w:p>
    <w:p w14:paraId="54EE4EBB" w14:textId="28EE1E6A" w:rsidR="006136DB" w:rsidRDefault="006136DB" w:rsidP="000115F8">
      <w:pPr>
        <w:tabs>
          <w:tab w:val="left" w:pos="720"/>
        </w:tabs>
        <w:ind w:right="-90"/>
        <w:jc w:val="both"/>
      </w:pPr>
    </w:p>
    <w:p w14:paraId="5211A066" w14:textId="77777777" w:rsidR="006136DB" w:rsidRDefault="006136DB" w:rsidP="000115F8">
      <w:pPr>
        <w:tabs>
          <w:tab w:val="left" w:pos="720"/>
        </w:tabs>
        <w:ind w:right="-90"/>
        <w:jc w:val="both"/>
      </w:pPr>
    </w:p>
    <w:p w14:paraId="5AAC5728" w14:textId="5CF5CA11" w:rsidR="006136DB" w:rsidRPr="006136DB" w:rsidRDefault="006136DB" w:rsidP="006136DB">
      <w:pPr>
        <w:tabs>
          <w:tab w:val="left" w:pos="720"/>
        </w:tabs>
        <w:ind w:left="720" w:right="855"/>
        <w:jc w:val="both"/>
        <w:rPr>
          <w:sz w:val="20"/>
          <w:szCs w:val="20"/>
          <w:lang w:val="es-ES"/>
        </w:rPr>
      </w:pPr>
      <w:r>
        <w:t>2. La Corte considera que Ecuador ha dado cumplimiento parcial a las medidas relativas a la publicación y difusión de la Sentencia ordenadas en el punto resolutivo octavo y en el párrafo 177 de la misma, ya que ha constatado que publicó el resumen oficial del Fallo en el Diario Oficial, y el texto integral de la Sentencia en el sitio web</w:t>
      </w:r>
      <w:r>
        <w:t xml:space="preserve"> </w:t>
      </w:r>
      <w:r>
        <w:t>oficial del Ministerio de Defensa Nacional, por el periodo de un año. Sin embargo, respecto a la publicación del resumen oficial de la Sentencia en un diario de amplia circulación nacional realizada por el Estado, este Tribunal nota que el resumen fue publicado de forma incompleta. Aun cuando en sus observaciones la víctima expresó que “se cumplió” con “las publicaciones”, debido a que únicamente se publicaron 5 de los 25 párrafos que conforman el resumen oficial, la Corte estima necesario que Ecuador realice una publicación íntegra del mismo, según lo ordenado por esta Corte en la Sentencia.</w:t>
      </w:r>
      <w:bookmarkEnd w:id="0"/>
    </w:p>
    <w:sectPr w:rsidR="006136DB" w:rsidRPr="006136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14F0" w14:textId="77777777" w:rsidR="00486B75" w:rsidRDefault="00486B75" w:rsidP="009F7EF4">
      <w:r>
        <w:separator/>
      </w:r>
    </w:p>
  </w:endnote>
  <w:endnote w:type="continuationSeparator" w:id="0">
    <w:p w14:paraId="4ACCACED" w14:textId="77777777" w:rsidR="00486B75" w:rsidRDefault="00486B7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9E4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F053B"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DD08" w14:textId="77777777" w:rsidR="00486B75" w:rsidRDefault="00486B75" w:rsidP="009F7EF4">
      <w:r>
        <w:separator/>
      </w:r>
    </w:p>
  </w:footnote>
  <w:footnote w:type="continuationSeparator" w:id="0">
    <w:p w14:paraId="3CE22DBC" w14:textId="77777777" w:rsidR="00486B75" w:rsidRDefault="00486B7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1C718E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2E13925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118611">
    <w:abstractNumId w:val="9"/>
  </w:num>
  <w:num w:numId="2" w16cid:durableId="1937056016">
    <w:abstractNumId w:val="2"/>
  </w:num>
  <w:num w:numId="3" w16cid:durableId="381248939">
    <w:abstractNumId w:val="8"/>
  </w:num>
  <w:num w:numId="4" w16cid:durableId="401216430">
    <w:abstractNumId w:val="0"/>
  </w:num>
  <w:num w:numId="5" w16cid:durableId="1142191349">
    <w:abstractNumId w:val="1"/>
  </w:num>
  <w:num w:numId="6" w16cid:durableId="1698114364">
    <w:abstractNumId w:val="4"/>
  </w:num>
  <w:num w:numId="7" w16cid:durableId="1665084513">
    <w:abstractNumId w:val="7"/>
  </w:num>
  <w:num w:numId="8" w16cid:durableId="1684742617">
    <w:abstractNumId w:val="3"/>
  </w:num>
  <w:num w:numId="9" w16cid:durableId="1849977613">
    <w:abstractNumId w:val="5"/>
  </w:num>
  <w:num w:numId="10" w16cid:durableId="136726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296F77"/>
    <w:rsid w:val="002B3295"/>
    <w:rsid w:val="002B7E8D"/>
    <w:rsid w:val="003A7E5E"/>
    <w:rsid w:val="003C561A"/>
    <w:rsid w:val="00474D04"/>
    <w:rsid w:val="00476F6E"/>
    <w:rsid w:val="00486B75"/>
    <w:rsid w:val="005C68A4"/>
    <w:rsid w:val="005D1A85"/>
    <w:rsid w:val="006065EC"/>
    <w:rsid w:val="006136DB"/>
    <w:rsid w:val="00617B3E"/>
    <w:rsid w:val="006663F3"/>
    <w:rsid w:val="006C38A6"/>
    <w:rsid w:val="006F2690"/>
    <w:rsid w:val="00774B82"/>
    <w:rsid w:val="00792726"/>
    <w:rsid w:val="0090680B"/>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C4747D"/>
    <w:rsid w:val="00C77C0C"/>
    <w:rsid w:val="00C807CF"/>
    <w:rsid w:val="00D3440D"/>
    <w:rsid w:val="00E42392"/>
    <w:rsid w:val="00E644E3"/>
    <w:rsid w:val="00E85D9E"/>
    <w:rsid w:val="00EA0D60"/>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E520"/>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232</Words>
  <Characters>1279</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13</cp:revision>
  <cp:lastPrinted>2021-06-30T18:39:00Z</cp:lastPrinted>
  <dcterms:created xsi:type="dcterms:W3CDTF">2021-06-25T16:30:00Z</dcterms:created>
  <dcterms:modified xsi:type="dcterms:W3CDTF">2023-03-07T23:33:00Z</dcterms:modified>
</cp:coreProperties>
</file>