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4B8B" w14:textId="05020F16" w:rsidR="004F3283" w:rsidRPr="00EA0D60" w:rsidRDefault="00EA0D60" w:rsidP="00EA0D60">
      <w:pPr>
        <w:jc w:val="center"/>
      </w:pPr>
      <w:r w:rsidRPr="00F873D4">
        <w:rPr>
          <w:b/>
          <w:iCs/>
          <w:sz w:val="20"/>
          <w:szCs w:val="20"/>
          <w:u w:val="single"/>
          <w:lang w:val="es-CR"/>
        </w:rPr>
        <w:t xml:space="preserve">Caso </w:t>
      </w:r>
      <w:r w:rsidR="00F873D4" w:rsidRPr="00F873D4">
        <w:rPr>
          <w:b/>
          <w:iCs/>
          <w:sz w:val="20"/>
          <w:szCs w:val="20"/>
          <w:u w:val="single"/>
          <w:lang w:val="es-CR"/>
        </w:rPr>
        <w:t xml:space="preserve">Palacio Urrutia y otros </w:t>
      </w:r>
      <w:r w:rsidR="00F873D4" w:rsidRPr="00575F25">
        <w:rPr>
          <w:b/>
          <w:i/>
          <w:sz w:val="20"/>
          <w:szCs w:val="20"/>
          <w:u w:val="single"/>
          <w:lang w:val="es-CR"/>
        </w:rPr>
        <w:t>Vs</w:t>
      </w:r>
      <w:r w:rsidR="00F873D4" w:rsidRPr="00F873D4">
        <w:rPr>
          <w:b/>
          <w:iCs/>
          <w:sz w:val="20"/>
          <w:szCs w:val="20"/>
          <w:u w:val="single"/>
          <w:lang w:val="es-CR"/>
        </w:rPr>
        <w:t>. Ecuador</w:t>
      </w:r>
      <w:r w:rsidRPr="00F873D4">
        <w:rPr>
          <w:b/>
          <w:iCs/>
          <w:sz w:val="20"/>
          <w:szCs w:val="20"/>
          <w:u w:val="single"/>
          <w:lang w:val="es-CR"/>
        </w:rPr>
        <w:t>:</w:t>
      </w:r>
      <w:r w:rsidRPr="00EA0D60">
        <w:rPr>
          <w:b/>
          <w:i/>
          <w:sz w:val="20"/>
          <w:szCs w:val="20"/>
          <w:u w:val="single"/>
          <w:lang w:val="es-CR"/>
        </w:rPr>
        <w:t xml:space="preserve"> </w:t>
      </w:r>
      <w:r w:rsidRPr="00EA0D60">
        <w:rPr>
          <w:b/>
          <w:sz w:val="20"/>
          <w:szCs w:val="20"/>
          <w:u w:val="single"/>
          <w:lang w:val="es-CR"/>
        </w:rPr>
        <w:t>reparaciones declaradas cumplidas</w:t>
      </w:r>
    </w:p>
    <w:p w14:paraId="6AC7CACA" w14:textId="77777777" w:rsidR="00FD6ECA" w:rsidRPr="00C77C0C" w:rsidRDefault="00FD6ECA" w:rsidP="00C77C0C">
      <w:pPr>
        <w:rPr>
          <w:sz w:val="20"/>
          <w:szCs w:val="20"/>
        </w:rPr>
      </w:pPr>
    </w:p>
    <w:p w14:paraId="3CCA5197" w14:textId="77777777" w:rsidR="00E431FC" w:rsidRPr="00CA1142" w:rsidRDefault="00E431FC" w:rsidP="00E431FC">
      <w:pPr>
        <w:jc w:val="both"/>
        <w:rPr>
          <w:sz w:val="20"/>
          <w:szCs w:val="20"/>
        </w:rPr>
      </w:pPr>
      <w:r w:rsidRPr="00CA1142">
        <w:rPr>
          <w:rFonts w:eastAsia="Cambria" w:cs="Times New Roman"/>
          <w:bCs/>
          <w:sz w:val="20"/>
          <w:szCs w:val="20"/>
          <w:lang w:val="es-ES"/>
        </w:rPr>
        <w:t xml:space="preserve">1. </w:t>
      </w:r>
      <w:r w:rsidRPr="00CA1142">
        <w:rPr>
          <w:rFonts w:eastAsia="Cambria" w:cs="Times New Roman"/>
          <w:bCs/>
          <w:sz w:val="20"/>
          <w:szCs w:val="20"/>
          <w:lang w:val="es-ES"/>
        </w:rPr>
        <w:tab/>
      </w:r>
      <w:r w:rsidRPr="00CA1142">
        <w:rPr>
          <w:sz w:val="20"/>
          <w:szCs w:val="20"/>
        </w:rPr>
        <w:t xml:space="preserve">El Estado adoptará todas las medidas necesarias para dejar sin efecto la sentencia dictada contra de Emilio Palacio Urrutia, Carlos Nicolás Pérez Lapentti, Carlos Eduardo Pérez Barriga y César Enrique Pérez Barriga y las consecuencias que de ella se derivan, en los términos del párrafo 171 de la Sentencia. </w:t>
      </w:r>
    </w:p>
    <w:p w14:paraId="3886A809" w14:textId="77777777" w:rsidR="00E431FC" w:rsidRDefault="00E431FC" w:rsidP="002C34E7">
      <w:pPr>
        <w:jc w:val="both"/>
        <w:rPr>
          <w:sz w:val="20"/>
          <w:szCs w:val="20"/>
        </w:rPr>
      </w:pPr>
    </w:p>
    <w:p w14:paraId="6BDDFA9C" w14:textId="2688FCDB" w:rsidR="002C34E7" w:rsidRPr="00CA1142" w:rsidRDefault="004F3283" w:rsidP="002C34E7">
      <w:pPr>
        <w:jc w:val="both"/>
        <w:rPr>
          <w:sz w:val="20"/>
          <w:szCs w:val="20"/>
        </w:rPr>
      </w:pPr>
      <w:r>
        <w:rPr>
          <w:sz w:val="20"/>
          <w:szCs w:val="20"/>
        </w:rPr>
        <w:t>2</w:t>
      </w:r>
      <w:r w:rsidR="002C34E7" w:rsidRPr="00CA1142">
        <w:rPr>
          <w:sz w:val="20"/>
          <w:szCs w:val="20"/>
        </w:rPr>
        <w:t>.</w:t>
      </w:r>
      <w:r w:rsidR="002C34E7" w:rsidRPr="00CA1142">
        <w:rPr>
          <w:sz w:val="20"/>
          <w:szCs w:val="20"/>
        </w:rPr>
        <w:tab/>
        <w:t xml:space="preserve">El Estado creará e implementará, en el plazo de un año, un plan de capacitación a funcionarios públicos, para garantizar que cuenten con los conocimientos necesarios en materia de derechos humanos, en particular respecto de la jurisprudencia del Sistema Interamericano de Protección de los Derechos Humanos en relación con la libertad de expresión, las </w:t>
      </w:r>
      <w:proofErr w:type="gramStart"/>
      <w:r w:rsidR="002C34E7" w:rsidRPr="00CA1142">
        <w:rPr>
          <w:sz w:val="20"/>
          <w:szCs w:val="20"/>
        </w:rPr>
        <w:t>garantías judiciales y la protección judicial</w:t>
      </w:r>
      <w:proofErr w:type="gramEnd"/>
      <w:r w:rsidR="002C34E7" w:rsidRPr="00CA1142">
        <w:rPr>
          <w:sz w:val="20"/>
          <w:szCs w:val="20"/>
        </w:rPr>
        <w:t xml:space="preserve">, en los términos del párrafo 183 de la Sentencia. </w:t>
      </w:r>
    </w:p>
    <w:p w14:paraId="3DE42889" w14:textId="77777777" w:rsidR="002C34E7" w:rsidRPr="00CA1142" w:rsidRDefault="002C34E7" w:rsidP="002C34E7">
      <w:pPr>
        <w:jc w:val="both"/>
        <w:rPr>
          <w:sz w:val="20"/>
          <w:szCs w:val="20"/>
        </w:rPr>
      </w:pPr>
    </w:p>
    <w:p w14:paraId="74F3DEF7" w14:textId="2470B220" w:rsidR="002C34E7" w:rsidRDefault="004F3283" w:rsidP="002C34E7">
      <w:pPr>
        <w:jc w:val="both"/>
        <w:rPr>
          <w:sz w:val="20"/>
          <w:szCs w:val="20"/>
        </w:rPr>
      </w:pPr>
      <w:r>
        <w:rPr>
          <w:sz w:val="20"/>
          <w:szCs w:val="20"/>
        </w:rPr>
        <w:t>3</w:t>
      </w:r>
      <w:r w:rsidR="002C34E7" w:rsidRPr="00CA1142">
        <w:rPr>
          <w:sz w:val="20"/>
          <w:szCs w:val="20"/>
        </w:rPr>
        <w:t>.</w:t>
      </w:r>
      <w:r w:rsidR="002C34E7" w:rsidRPr="00CA1142">
        <w:rPr>
          <w:sz w:val="20"/>
          <w:szCs w:val="20"/>
        </w:rPr>
        <w:tab/>
        <w:t>El Estado pagará las cantidades f</w:t>
      </w:r>
      <w:r w:rsidR="002C34E7">
        <w:rPr>
          <w:sz w:val="20"/>
          <w:szCs w:val="20"/>
        </w:rPr>
        <w:t>ijadas en los párrafos 192, 193 y</w:t>
      </w:r>
      <w:r w:rsidR="002C34E7" w:rsidRPr="00CA1142">
        <w:rPr>
          <w:sz w:val="20"/>
          <w:szCs w:val="20"/>
        </w:rPr>
        <w:t xml:space="preserve"> 199</w:t>
      </w:r>
      <w:r w:rsidR="002C34E7">
        <w:rPr>
          <w:sz w:val="20"/>
          <w:szCs w:val="20"/>
        </w:rPr>
        <w:t xml:space="preserve"> </w:t>
      </w:r>
      <w:r w:rsidR="002C34E7" w:rsidRPr="00CA1142">
        <w:rPr>
          <w:sz w:val="20"/>
          <w:szCs w:val="20"/>
        </w:rPr>
        <w:t>de la Sentencia, por concepto de daños materiales e inmateriales, en los términos de los párrafos 204 a 209 de la Sentencia.</w:t>
      </w:r>
    </w:p>
    <w:p w14:paraId="4ABDA9B5" w14:textId="77777777" w:rsidR="002C34E7" w:rsidRDefault="002C34E7" w:rsidP="002C34E7">
      <w:pPr>
        <w:jc w:val="both"/>
        <w:rPr>
          <w:sz w:val="20"/>
          <w:szCs w:val="20"/>
        </w:rPr>
      </w:pPr>
    </w:p>
    <w:p w14:paraId="692467E2" w14:textId="281191C6" w:rsidR="002C34E7" w:rsidRPr="00CA1142" w:rsidRDefault="004F3283" w:rsidP="002C34E7">
      <w:pPr>
        <w:jc w:val="both"/>
        <w:rPr>
          <w:rFonts w:eastAsia="Cambria" w:cs="Times New Roman"/>
          <w:bCs/>
          <w:sz w:val="20"/>
          <w:szCs w:val="20"/>
          <w:lang w:val="es-ES"/>
        </w:rPr>
      </w:pPr>
      <w:r>
        <w:rPr>
          <w:sz w:val="20"/>
          <w:szCs w:val="20"/>
        </w:rPr>
        <w:t>4</w:t>
      </w:r>
      <w:r w:rsidR="002C34E7" w:rsidRPr="00CA1142">
        <w:rPr>
          <w:sz w:val="20"/>
          <w:szCs w:val="20"/>
        </w:rPr>
        <w:t>.</w:t>
      </w:r>
      <w:r w:rsidR="002C34E7" w:rsidRPr="00CA1142">
        <w:rPr>
          <w:sz w:val="20"/>
          <w:szCs w:val="20"/>
        </w:rPr>
        <w:tab/>
        <w:t xml:space="preserve">El Estado pagará las cantidades fijadas en </w:t>
      </w:r>
      <w:r w:rsidR="002C34E7">
        <w:rPr>
          <w:sz w:val="20"/>
          <w:szCs w:val="20"/>
        </w:rPr>
        <w:t>el párrafo</w:t>
      </w:r>
      <w:r w:rsidR="002C34E7" w:rsidRPr="00CA1142">
        <w:rPr>
          <w:sz w:val="20"/>
          <w:szCs w:val="20"/>
        </w:rPr>
        <w:t xml:space="preserve"> 203 de la Sentencia, por el reintegro de costas y gastos, en los términos de los párrafos 204 a 209 de la Sentencia.</w:t>
      </w:r>
    </w:p>
    <w:p w14:paraId="5C3E27D8" w14:textId="77777777" w:rsidR="002C34E7" w:rsidRDefault="002C34E7" w:rsidP="006663F3">
      <w:pPr>
        <w:jc w:val="both"/>
        <w:rPr>
          <w:b/>
          <w:sz w:val="20"/>
          <w:szCs w:val="20"/>
          <w:lang w:val="es-ES"/>
        </w:rPr>
      </w:pPr>
    </w:p>
    <w:p w14:paraId="0DBBA989" w14:textId="0FFC470B" w:rsidR="006663F3" w:rsidRDefault="006663F3" w:rsidP="006663F3">
      <w:pPr>
        <w:jc w:val="both"/>
        <w:rPr>
          <w:b/>
          <w:sz w:val="20"/>
          <w:szCs w:val="20"/>
          <w:lang w:val="es-ES"/>
        </w:rPr>
      </w:pPr>
      <w:r>
        <w:rPr>
          <w:b/>
          <w:sz w:val="20"/>
          <w:szCs w:val="20"/>
          <w:lang w:val="es-ES"/>
        </w:rPr>
        <w:t>Cumplimiento parcial:</w:t>
      </w:r>
    </w:p>
    <w:p w14:paraId="7363B3E0" w14:textId="77777777" w:rsidR="000115F8" w:rsidRDefault="000115F8" w:rsidP="000115F8">
      <w:pPr>
        <w:tabs>
          <w:tab w:val="left" w:pos="720"/>
        </w:tabs>
        <w:ind w:right="-90"/>
        <w:jc w:val="both"/>
        <w:rPr>
          <w:sz w:val="20"/>
          <w:szCs w:val="20"/>
        </w:rPr>
      </w:pPr>
    </w:p>
    <w:p w14:paraId="14B2E03D" w14:textId="62B76954" w:rsidR="004F3283" w:rsidRPr="005E7378" w:rsidRDefault="004F3283" w:rsidP="004F3283">
      <w:pPr>
        <w:jc w:val="both"/>
        <w:rPr>
          <w:sz w:val="20"/>
          <w:szCs w:val="20"/>
        </w:rPr>
      </w:pPr>
      <w:r>
        <w:rPr>
          <w:sz w:val="20"/>
          <w:szCs w:val="20"/>
        </w:rPr>
        <w:t>5</w:t>
      </w:r>
      <w:r w:rsidRPr="005E7378">
        <w:rPr>
          <w:sz w:val="20"/>
          <w:szCs w:val="20"/>
        </w:rPr>
        <w:t>.</w:t>
      </w:r>
      <w:r w:rsidRPr="005E7378">
        <w:rPr>
          <w:sz w:val="20"/>
          <w:szCs w:val="20"/>
        </w:rPr>
        <w:tab/>
        <w:t xml:space="preserve">El Estado realizará, en el plazo de seis meses, las publicaciones indicadas en el párrafo 173 de la Sentencia. </w:t>
      </w:r>
    </w:p>
    <w:p w14:paraId="2D514D37" w14:textId="77777777" w:rsidR="004F3283" w:rsidRPr="005E7378" w:rsidRDefault="004F3283" w:rsidP="004F3283">
      <w:pPr>
        <w:jc w:val="both"/>
        <w:rPr>
          <w:sz w:val="20"/>
          <w:szCs w:val="20"/>
        </w:rPr>
      </w:pPr>
    </w:p>
    <w:p w14:paraId="230C14A5" w14:textId="77777777" w:rsidR="004F3283" w:rsidRPr="005E7378" w:rsidRDefault="004F3283" w:rsidP="004F3283">
      <w:pPr>
        <w:jc w:val="both"/>
        <w:rPr>
          <w:sz w:val="20"/>
          <w:szCs w:val="20"/>
        </w:rPr>
      </w:pPr>
      <w:r w:rsidRPr="005E7378">
        <w:rPr>
          <w:sz w:val="20"/>
          <w:szCs w:val="20"/>
        </w:rPr>
        <w:t>En el Considerando 7 de la Resolución de la Corte de 21 de noviembre 2023, se explica lo que continúa pendiente de cumplimiento de la presente medida de reparación.</w:t>
      </w:r>
    </w:p>
    <w:p w14:paraId="2180B35E" w14:textId="77777777" w:rsidR="004F3283" w:rsidRPr="005E7378" w:rsidRDefault="004F3283" w:rsidP="004F3283">
      <w:pPr>
        <w:jc w:val="both"/>
        <w:rPr>
          <w:rFonts w:eastAsia="Cambria" w:cs="Times New Roman"/>
          <w:bCs/>
          <w:sz w:val="20"/>
          <w:szCs w:val="20"/>
          <w:lang w:val="es-ES"/>
        </w:rPr>
      </w:pPr>
    </w:p>
    <w:p w14:paraId="616DE42E" w14:textId="77777777" w:rsidR="004F3283" w:rsidRPr="00D05340" w:rsidRDefault="004F3283" w:rsidP="004F3283">
      <w:pPr>
        <w:ind w:left="720"/>
        <w:jc w:val="both"/>
        <w:rPr>
          <w:rFonts w:eastAsia="Cambria" w:cs="Times New Roman"/>
          <w:bCs/>
          <w:sz w:val="18"/>
          <w:szCs w:val="18"/>
          <w:lang w:val="es-ES"/>
        </w:rPr>
      </w:pPr>
      <w:r w:rsidRPr="00D05340">
        <w:rPr>
          <w:sz w:val="18"/>
          <w:szCs w:val="18"/>
        </w:rPr>
        <w:t xml:space="preserve">7. Con base en la información y los comprobantes aportados por el Estado, así como lo observado por los representantes10, la Corte considera que Ecuador ha dado cumplimiento parcial a las medidas relativas a la publicación y difusión de la Sentencia y su resumen oficial ordenadas en el punto resolutivo noveno y en el párrafo 173 de la Sentencia, ya que ha constatado que publicó: i) el resumen oficial de la Sentencia en el Registro Oficial11, y </w:t>
      </w:r>
      <w:proofErr w:type="spellStart"/>
      <w:r w:rsidRPr="00D05340">
        <w:rPr>
          <w:sz w:val="18"/>
          <w:szCs w:val="18"/>
        </w:rPr>
        <w:t>ii</w:t>
      </w:r>
      <w:proofErr w:type="spellEnd"/>
      <w:r w:rsidRPr="00D05340">
        <w:rPr>
          <w:sz w:val="18"/>
          <w:szCs w:val="18"/>
        </w:rPr>
        <w:t>) el texto integral de la Sentencia en la página web del Consejo de la Judicatura, accesible al público desde la página de inicio, así como en la sección “Derechos Humanos”, por el plazo de un año12. El Tribunal valora que dichas publicaciones fueron realizadas dentro del plazo otorgado en el Fallo. Se encuentra pendiente la publicación del resumen oficial de la Sentencia en un diario de amplia circulación nacional, cuyo plazo de cumplimiento venció el 22 de junio de 2022, por lo que se requiere al Estado dar pronto cumplimiento a este extremo de la medida.</w:t>
      </w:r>
    </w:p>
    <w:p w14:paraId="2538F244" w14:textId="77777777" w:rsidR="004F3283" w:rsidRPr="004F3283" w:rsidRDefault="004F3283" w:rsidP="000115F8">
      <w:pPr>
        <w:tabs>
          <w:tab w:val="left" w:pos="720"/>
        </w:tabs>
        <w:ind w:right="-90"/>
        <w:jc w:val="both"/>
        <w:rPr>
          <w:sz w:val="20"/>
          <w:szCs w:val="20"/>
          <w:lang w:val="es-ES"/>
        </w:rPr>
      </w:pPr>
    </w:p>
    <w:sectPr w:rsidR="004F3283" w:rsidRPr="004F328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3AE4C" w14:textId="77777777" w:rsidR="00BE4E6A" w:rsidRDefault="00BE4E6A" w:rsidP="009F7EF4">
      <w:r>
        <w:separator/>
      </w:r>
    </w:p>
  </w:endnote>
  <w:endnote w:type="continuationSeparator" w:id="0">
    <w:p w14:paraId="04EBE908" w14:textId="77777777" w:rsidR="00BE4E6A" w:rsidRDefault="00BE4E6A"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6881"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9B3CE7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2B6A" w14:textId="77777777" w:rsidR="00BE4E6A" w:rsidRDefault="00BE4E6A" w:rsidP="009F7EF4">
      <w:r>
        <w:separator/>
      </w:r>
    </w:p>
  </w:footnote>
  <w:footnote w:type="continuationSeparator" w:id="0">
    <w:p w14:paraId="52F19E94" w14:textId="77777777" w:rsidR="00BE4E6A" w:rsidRDefault="00BE4E6A"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261DFC56"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E644E3">
          <w:rPr>
            <w:noProof/>
            <w:sz w:val="20"/>
            <w:szCs w:val="20"/>
          </w:rPr>
          <w:t>1</w:t>
        </w:r>
        <w:r w:rsidRPr="00675FE7">
          <w:rPr>
            <w:noProof/>
            <w:sz w:val="20"/>
            <w:szCs w:val="20"/>
          </w:rPr>
          <w:fldChar w:fldCharType="end"/>
        </w:r>
      </w:p>
    </w:sdtContent>
  </w:sdt>
  <w:p w14:paraId="676624AA"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C703A"/>
    <w:multiLevelType w:val="hybridMultilevel"/>
    <w:tmpl w:val="876006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6D67852"/>
    <w:multiLevelType w:val="hybridMultilevel"/>
    <w:tmpl w:val="B36E29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E672BEB"/>
    <w:multiLevelType w:val="hybridMultilevel"/>
    <w:tmpl w:val="871006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8"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9"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2695591">
    <w:abstractNumId w:val="9"/>
  </w:num>
  <w:num w:numId="2" w16cid:durableId="1522551268">
    <w:abstractNumId w:val="2"/>
  </w:num>
  <w:num w:numId="3" w16cid:durableId="1545555184">
    <w:abstractNumId w:val="8"/>
  </w:num>
  <w:num w:numId="4" w16cid:durableId="518202194">
    <w:abstractNumId w:val="0"/>
  </w:num>
  <w:num w:numId="5" w16cid:durableId="417798808">
    <w:abstractNumId w:val="1"/>
  </w:num>
  <w:num w:numId="6" w16cid:durableId="642124740">
    <w:abstractNumId w:val="4"/>
  </w:num>
  <w:num w:numId="7" w16cid:durableId="62603471">
    <w:abstractNumId w:val="7"/>
  </w:num>
  <w:num w:numId="8" w16cid:durableId="115031529">
    <w:abstractNumId w:val="3"/>
  </w:num>
  <w:num w:numId="9" w16cid:durableId="674721135">
    <w:abstractNumId w:val="5"/>
  </w:num>
  <w:num w:numId="10" w16cid:durableId="1965498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15F8"/>
    <w:rsid w:val="000930F6"/>
    <w:rsid w:val="00101CC6"/>
    <w:rsid w:val="00111252"/>
    <w:rsid w:val="001426AA"/>
    <w:rsid w:val="00296F77"/>
    <w:rsid w:val="002B3295"/>
    <w:rsid w:val="002B7E8D"/>
    <w:rsid w:val="002C34E7"/>
    <w:rsid w:val="003A7E5E"/>
    <w:rsid w:val="003C561A"/>
    <w:rsid w:val="00474D04"/>
    <w:rsid w:val="00476F6E"/>
    <w:rsid w:val="004F3283"/>
    <w:rsid w:val="00575F25"/>
    <w:rsid w:val="005C68A4"/>
    <w:rsid w:val="005D1A85"/>
    <w:rsid w:val="006065EC"/>
    <w:rsid w:val="00617B3E"/>
    <w:rsid w:val="006663F3"/>
    <w:rsid w:val="006C38A6"/>
    <w:rsid w:val="006F2690"/>
    <w:rsid w:val="00774B82"/>
    <w:rsid w:val="00792726"/>
    <w:rsid w:val="0090680B"/>
    <w:rsid w:val="00926FFB"/>
    <w:rsid w:val="00953993"/>
    <w:rsid w:val="009832C0"/>
    <w:rsid w:val="009B01F7"/>
    <w:rsid w:val="009D22BE"/>
    <w:rsid w:val="009F7EF4"/>
    <w:rsid w:val="00A07758"/>
    <w:rsid w:val="00AC4EB2"/>
    <w:rsid w:val="00AE0035"/>
    <w:rsid w:val="00B11B9B"/>
    <w:rsid w:val="00B32A37"/>
    <w:rsid w:val="00B353D1"/>
    <w:rsid w:val="00B375FF"/>
    <w:rsid w:val="00BA6BA9"/>
    <w:rsid w:val="00BC5824"/>
    <w:rsid w:val="00BE4E6A"/>
    <w:rsid w:val="00C4747D"/>
    <w:rsid w:val="00C77C0C"/>
    <w:rsid w:val="00C807CF"/>
    <w:rsid w:val="00D3440D"/>
    <w:rsid w:val="00E42392"/>
    <w:rsid w:val="00E431FC"/>
    <w:rsid w:val="00E644E3"/>
    <w:rsid w:val="00E85D9E"/>
    <w:rsid w:val="00EA0D60"/>
    <w:rsid w:val="00F50093"/>
    <w:rsid w:val="00F873D4"/>
    <w:rsid w:val="00F95487"/>
    <w:rsid w:val="00FD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609B"/>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390</Words>
  <Characters>2150</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17</cp:revision>
  <cp:lastPrinted>2024-01-16T15:12:00Z</cp:lastPrinted>
  <dcterms:created xsi:type="dcterms:W3CDTF">2021-06-25T16:30:00Z</dcterms:created>
  <dcterms:modified xsi:type="dcterms:W3CDTF">2024-01-16T15:12:00Z</dcterms:modified>
</cp:coreProperties>
</file>