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5732" w14:textId="529F4049" w:rsidR="006E7F48" w:rsidRPr="00EA0D60" w:rsidRDefault="00DB4CC8" w:rsidP="00EA0D60">
      <w:pPr>
        <w:jc w:val="center"/>
      </w:pPr>
      <w:r w:rsidRPr="00DB4CC8">
        <w:rPr>
          <w:b/>
          <w:iCs/>
          <w:sz w:val="20"/>
          <w:szCs w:val="20"/>
          <w:u w:val="single"/>
          <w:lang w:val="es-CR"/>
        </w:rPr>
        <w:t>Pueblo Indígena Kichwa de Sarayaku</w:t>
      </w:r>
      <w:r>
        <w:rPr>
          <w:b/>
          <w:iCs/>
          <w:sz w:val="20"/>
          <w:szCs w:val="20"/>
          <w:u w:val="single"/>
          <w:lang w:val="es-CR"/>
        </w:rPr>
        <w:t xml:space="preserve"> </w:t>
      </w:r>
      <w:r w:rsidR="00555F00" w:rsidRPr="00555F00">
        <w:rPr>
          <w:b/>
          <w:i/>
          <w:sz w:val="20"/>
          <w:szCs w:val="20"/>
          <w:u w:val="single"/>
          <w:lang w:val="es-CR"/>
        </w:rPr>
        <w:t>Vs</w:t>
      </w:r>
      <w:r w:rsidR="00555F00" w:rsidRPr="00555F00">
        <w:rPr>
          <w:b/>
          <w:iCs/>
          <w:sz w:val="20"/>
          <w:szCs w:val="20"/>
          <w:u w:val="single"/>
          <w:lang w:val="es-CR"/>
        </w:rPr>
        <w:t xml:space="preserve">. </w:t>
      </w:r>
      <w:r>
        <w:rPr>
          <w:b/>
          <w:iCs/>
          <w:sz w:val="20"/>
          <w:szCs w:val="20"/>
          <w:u w:val="single"/>
          <w:lang w:val="es-CR"/>
        </w:rPr>
        <w:t>Ecuador</w:t>
      </w:r>
      <w:r w:rsidR="00555F00" w:rsidRPr="00555F00">
        <w:rPr>
          <w:b/>
          <w:iCs/>
          <w:sz w:val="20"/>
          <w:szCs w:val="20"/>
          <w:u w:val="single"/>
          <w:lang w:val="es-CR"/>
        </w:rPr>
        <w:t>:</w:t>
      </w:r>
      <w:r w:rsidR="00555F00">
        <w:rPr>
          <w:b/>
          <w:i/>
          <w:sz w:val="20"/>
          <w:szCs w:val="20"/>
          <w:u w:val="single"/>
          <w:lang w:val="es-CR"/>
        </w:rPr>
        <w:t xml:space="preserve"> </w:t>
      </w:r>
      <w:r w:rsidR="00EA0D60" w:rsidRPr="00EA0D60">
        <w:rPr>
          <w:b/>
          <w:sz w:val="20"/>
          <w:szCs w:val="20"/>
          <w:u w:val="single"/>
          <w:lang w:val="es-CR"/>
        </w:rPr>
        <w:t>reparaciones declaradas cumplidas</w:t>
      </w:r>
    </w:p>
    <w:p w14:paraId="0560D915" w14:textId="73CD770C" w:rsidR="00FD6ECA" w:rsidRDefault="00FD6ECA" w:rsidP="00C77C0C">
      <w:pPr>
        <w:rPr>
          <w:sz w:val="20"/>
          <w:szCs w:val="20"/>
        </w:rPr>
      </w:pPr>
    </w:p>
    <w:p w14:paraId="2D04A304" w14:textId="2B046252" w:rsidR="00DB4CC8" w:rsidRDefault="00DB4CC8" w:rsidP="00555F00">
      <w:pPr>
        <w:jc w:val="both"/>
        <w:rPr>
          <w:sz w:val="20"/>
          <w:szCs w:val="20"/>
        </w:rPr>
      </w:pPr>
      <w:r w:rsidRPr="00DB4CC8">
        <w:rPr>
          <w:sz w:val="20"/>
          <w:szCs w:val="20"/>
        </w:rPr>
        <w:t xml:space="preserve">1. </w:t>
      </w:r>
      <w:r>
        <w:rPr>
          <w:sz w:val="20"/>
          <w:szCs w:val="20"/>
        </w:rPr>
        <w:tab/>
      </w:r>
      <w:r w:rsidRPr="00DB4CC8">
        <w:rPr>
          <w:sz w:val="20"/>
          <w:szCs w:val="20"/>
        </w:rPr>
        <w:t xml:space="preserve">Realizar un acto público de reconocimiento de responsabilidad internacional por los hechos del presente caso, de conformidad con lo establecido en el párrafo 305 de la Sentencia. </w:t>
      </w:r>
    </w:p>
    <w:p w14:paraId="4D4A7079" w14:textId="77777777" w:rsidR="00DB4CC8" w:rsidRDefault="00DB4CC8" w:rsidP="00555F00">
      <w:pPr>
        <w:jc w:val="both"/>
        <w:rPr>
          <w:sz w:val="20"/>
          <w:szCs w:val="20"/>
        </w:rPr>
      </w:pPr>
    </w:p>
    <w:p w14:paraId="08E0EB45" w14:textId="2D8D911A" w:rsidR="00DB4CC8" w:rsidRDefault="00DB4CC8" w:rsidP="00555F00">
      <w:pPr>
        <w:jc w:val="both"/>
        <w:rPr>
          <w:sz w:val="20"/>
          <w:szCs w:val="20"/>
        </w:rPr>
      </w:pPr>
      <w:r w:rsidRPr="00DB4CC8">
        <w:rPr>
          <w:sz w:val="20"/>
          <w:szCs w:val="20"/>
        </w:rPr>
        <w:t xml:space="preserve">2. </w:t>
      </w:r>
      <w:r>
        <w:rPr>
          <w:sz w:val="20"/>
          <w:szCs w:val="20"/>
        </w:rPr>
        <w:tab/>
      </w:r>
      <w:r w:rsidRPr="00DB4CC8">
        <w:rPr>
          <w:sz w:val="20"/>
          <w:szCs w:val="20"/>
        </w:rPr>
        <w:t xml:space="preserve">Realizar las publicaciones indicadas en los párrafos 307 y 308 de la Sentencia. </w:t>
      </w:r>
    </w:p>
    <w:p w14:paraId="3AA07952" w14:textId="77777777" w:rsidR="00DB4CC8" w:rsidRDefault="00DB4CC8" w:rsidP="00555F00">
      <w:pPr>
        <w:jc w:val="both"/>
        <w:rPr>
          <w:sz w:val="20"/>
          <w:szCs w:val="20"/>
        </w:rPr>
      </w:pPr>
    </w:p>
    <w:p w14:paraId="6C362244" w14:textId="0B8A8944" w:rsidR="00555F00" w:rsidRDefault="00DB4CC8" w:rsidP="00555F00">
      <w:pPr>
        <w:jc w:val="both"/>
        <w:rPr>
          <w:sz w:val="20"/>
          <w:szCs w:val="20"/>
        </w:rPr>
      </w:pPr>
      <w:r w:rsidRPr="00DB4CC8">
        <w:rPr>
          <w:sz w:val="20"/>
          <w:szCs w:val="20"/>
        </w:rPr>
        <w:t xml:space="preserve">3. </w:t>
      </w:r>
      <w:r>
        <w:rPr>
          <w:sz w:val="20"/>
          <w:szCs w:val="20"/>
        </w:rPr>
        <w:tab/>
      </w:r>
      <w:r w:rsidRPr="00DB4CC8">
        <w:rPr>
          <w:sz w:val="20"/>
          <w:szCs w:val="20"/>
        </w:rPr>
        <w:t>Pagar las cantidades fijadas en los párrafos 317</w:t>
      </w:r>
      <w:r>
        <w:rPr>
          <w:sz w:val="20"/>
          <w:szCs w:val="20"/>
        </w:rPr>
        <w:t xml:space="preserve"> y </w:t>
      </w:r>
      <w:r w:rsidRPr="00DB4CC8">
        <w:rPr>
          <w:sz w:val="20"/>
          <w:szCs w:val="20"/>
        </w:rPr>
        <w:t>323 de la Sentencia, por concepto de indemnizaciones por daños materiales e inmateriales, en los términos de los referidos párrafos y de los párrafos 335 a 339 de la Sentencia.</w:t>
      </w:r>
    </w:p>
    <w:p w14:paraId="18AC439D" w14:textId="23AAA1D9" w:rsidR="00DB4CC8" w:rsidRDefault="00DB4CC8" w:rsidP="00555F00">
      <w:pPr>
        <w:jc w:val="both"/>
        <w:rPr>
          <w:sz w:val="20"/>
          <w:szCs w:val="20"/>
        </w:rPr>
      </w:pPr>
    </w:p>
    <w:p w14:paraId="0C0E397D" w14:textId="27BE3444" w:rsidR="00DB4CC8" w:rsidRDefault="00DB4CC8" w:rsidP="00DB4CC8">
      <w:pPr>
        <w:jc w:val="both"/>
        <w:rPr>
          <w:sz w:val="20"/>
          <w:szCs w:val="20"/>
        </w:rPr>
      </w:pPr>
      <w:r>
        <w:rPr>
          <w:sz w:val="20"/>
          <w:szCs w:val="20"/>
        </w:rPr>
        <w:t>4</w:t>
      </w:r>
      <w:r w:rsidRPr="00DB4CC8">
        <w:rPr>
          <w:sz w:val="20"/>
          <w:szCs w:val="20"/>
        </w:rPr>
        <w:t xml:space="preserve">. </w:t>
      </w:r>
      <w:r>
        <w:rPr>
          <w:sz w:val="20"/>
          <w:szCs w:val="20"/>
        </w:rPr>
        <w:tab/>
      </w:r>
      <w:r w:rsidRPr="00DB4CC8">
        <w:rPr>
          <w:sz w:val="20"/>
          <w:szCs w:val="20"/>
        </w:rPr>
        <w:t xml:space="preserve">Pagar las cantidades fijadas en </w:t>
      </w:r>
      <w:r>
        <w:rPr>
          <w:sz w:val="20"/>
          <w:szCs w:val="20"/>
        </w:rPr>
        <w:t>el párrafo 331</w:t>
      </w:r>
      <w:r w:rsidRPr="00DB4CC8">
        <w:rPr>
          <w:sz w:val="20"/>
          <w:szCs w:val="20"/>
        </w:rPr>
        <w:t xml:space="preserve"> de la Sentencia, por el reintegro de costas y gastos, en los términos de los referidos párrafos y de los párrafos 335 a 339 de la Sentencia</w:t>
      </w:r>
      <w:r>
        <w:rPr>
          <w:sz w:val="20"/>
          <w:szCs w:val="20"/>
        </w:rPr>
        <w:t>.</w:t>
      </w:r>
    </w:p>
    <w:p w14:paraId="1F66DF0B" w14:textId="77777777" w:rsidR="00DB4CC8" w:rsidRDefault="00DB4CC8" w:rsidP="00DB4CC8">
      <w:pPr>
        <w:jc w:val="both"/>
        <w:rPr>
          <w:sz w:val="20"/>
          <w:szCs w:val="20"/>
        </w:rPr>
      </w:pPr>
    </w:p>
    <w:p w14:paraId="4BE1AFE5" w14:textId="2E3F04CC" w:rsidR="00DB4CC8" w:rsidRDefault="00DB4CC8" w:rsidP="00DB4CC8">
      <w:pPr>
        <w:jc w:val="both"/>
        <w:rPr>
          <w:sz w:val="20"/>
          <w:szCs w:val="20"/>
        </w:rPr>
      </w:pPr>
      <w:r>
        <w:rPr>
          <w:sz w:val="20"/>
          <w:szCs w:val="20"/>
        </w:rPr>
        <w:t xml:space="preserve">5. </w:t>
      </w:r>
      <w:r w:rsidR="00757A0D">
        <w:rPr>
          <w:sz w:val="20"/>
          <w:szCs w:val="20"/>
        </w:rPr>
        <w:tab/>
      </w:r>
      <w:r>
        <w:rPr>
          <w:sz w:val="20"/>
          <w:szCs w:val="20"/>
        </w:rPr>
        <w:t>Reintegr</w:t>
      </w:r>
      <w:r w:rsidR="00DF4DE1">
        <w:rPr>
          <w:sz w:val="20"/>
          <w:szCs w:val="20"/>
        </w:rPr>
        <w:t>ar</w:t>
      </w:r>
      <w:r w:rsidRPr="00DB4CC8">
        <w:rPr>
          <w:sz w:val="20"/>
          <w:szCs w:val="20"/>
        </w:rPr>
        <w:t xml:space="preserve"> al Fondo de Asistencia Legal de Víctimas la cantidad establecida en el párrafo 334 de la </w:t>
      </w:r>
      <w:r>
        <w:rPr>
          <w:sz w:val="20"/>
          <w:szCs w:val="20"/>
        </w:rPr>
        <w:t>Sentencia</w:t>
      </w:r>
      <w:r w:rsidRPr="00DB4CC8">
        <w:rPr>
          <w:sz w:val="20"/>
          <w:szCs w:val="20"/>
        </w:rPr>
        <w:t>.</w:t>
      </w:r>
    </w:p>
    <w:p w14:paraId="6801260D" w14:textId="77777777" w:rsidR="001030AE" w:rsidRDefault="001030AE" w:rsidP="00DB4CC8">
      <w:pPr>
        <w:jc w:val="both"/>
        <w:rPr>
          <w:b/>
          <w:bCs/>
          <w:sz w:val="20"/>
          <w:szCs w:val="20"/>
        </w:rPr>
      </w:pPr>
    </w:p>
    <w:p w14:paraId="60F64669" w14:textId="26F8F720" w:rsidR="00253747" w:rsidRDefault="00DF4DE1" w:rsidP="00DB4CC8">
      <w:pPr>
        <w:jc w:val="both"/>
        <w:rPr>
          <w:b/>
          <w:bCs/>
          <w:sz w:val="20"/>
          <w:szCs w:val="20"/>
        </w:rPr>
      </w:pPr>
      <w:r>
        <w:rPr>
          <w:b/>
          <w:bCs/>
          <w:sz w:val="20"/>
          <w:szCs w:val="20"/>
        </w:rPr>
        <w:t>Cumplimiento parcial</w:t>
      </w:r>
      <w:r w:rsidR="00253747" w:rsidRPr="00253747">
        <w:rPr>
          <w:b/>
          <w:bCs/>
          <w:sz w:val="20"/>
          <w:szCs w:val="20"/>
        </w:rPr>
        <w:t xml:space="preserve">: </w:t>
      </w:r>
    </w:p>
    <w:p w14:paraId="22D5B6E3" w14:textId="77777777" w:rsidR="00253747" w:rsidRDefault="00253747" w:rsidP="00DB4CC8">
      <w:pPr>
        <w:jc w:val="both"/>
        <w:rPr>
          <w:b/>
          <w:bCs/>
          <w:sz w:val="20"/>
          <w:szCs w:val="20"/>
        </w:rPr>
      </w:pPr>
    </w:p>
    <w:p w14:paraId="19035F43" w14:textId="5A928478" w:rsidR="00253747" w:rsidRPr="00793D20" w:rsidRDefault="00253747" w:rsidP="00253747">
      <w:pPr>
        <w:tabs>
          <w:tab w:val="left" w:pos="720"/>
        </w:tabs>
        <w:ind w:right="-90"/>
        <w:jc w:val="both"/>
        <w:rPr>
          <w:sz w:val="20"/>
          <w:szCs w:val="20"/>
        </w:rPr>
      </w:pPr>
      <w:r>
        <w:rPr>
          <w:sz w:val="20"/>
          <w:szCs w:val="20"/>
        </w:rPr>
        <w:t xml:space="preserve">6. </w:t>
      </w:r>
      <w:r w:rsidR="004D4B2A">
        <w:rPr>
          <w:sz w:val="20"/>
          <w:szCs w:val="20"/>
        </w:rPr>
        <w:tab/>
      </w:r>
      <w:r>
        <w:rPr>
          <w:sz w:val="20"/>
          <w:szCs w:val="20"/>
        </w:rPr>
        <w:t>Implementar</w:t>
      </w:r>
      <w:r w:rsidRPr="00DB4CC8">
        <w:rPr>
          <w:sz w:val="20"/>
          <w:szCs w:val="20"/>
        </w:rPr>
        <w:t xml:space="preserve">, en un plazo razonable y con la respectiva disposición presupuestaria, programas o cursos obligatorios que contemplen módulos sobre los estándares nacionales e internacionales en derechos humanos de los pueblos y comunidades indígenas, dirigidos a funcionarios militares, policiales y judiciales, así como a otros cuyas funciones involucren relacionamiento con pueblos indígenas, en los términos del párrafo 302 de </w:t>
      </w:r>
      <w:r>
        <w:rPr>
          <w:sz w:val="20"/>
          <w:szCs w:val="20"/>
        </w:rPr>
        <w:t>la</w:t>
      </w:r>
      <w:r w:rsidRPr="00DB4CC8">
        <w:rPr>
          <w:sz w:val="20"/>
          <w:szCs w:val="20"/>
        </w:rPr>
        <w:t xml:space="preserve"> Sentencia</w:t>
      </w:r>
      <w:r w:rsidRPr="00793D20">
        <w:rPr>
          <w:sz w:val="20"/>
          <w:szCs w:val="20"/>
        </w:rPr>
        <w:t>.</w:t>
      </w:r>
    </w:p>
    <w:p w14:paraId="316A4EFA" w14:textId="77777777" w:rsidR="00253747" w:rsidRPr="00793D20" w:rsidRDefault="00253747" w:rsidP="00253747">
      <w:pPr>
        <w:tabs>
          <w:tab w:val="left" w:pos="720"/>
        </w:tabs>
        <w:ind w:right="-90"/>
        <w:jc w:val="both"/>
        <w:rPr>
          <w:sz w:val="20"/>
          <w:szCs w:val="20"/>
        </w:rPr>
      </w:pPr>
    </w:p>
    <w:p w14:paraId="7D3B2527" w14:textId="77777777" w:rsidR="00D10AFB" w:rsidRPr="00793D20" w:rsidRDefault="00D10AFB" w:rsidP="00D10AFB">
      <w:pPr>
        <w:tabs>
          <w:tab w:val="left" w:pos="720"/>
        </w:tabs>
        <w:ind w:right="-90"/>
        <w:jc w:val="both"/>
        <w:rPr>
          <w:sz w:val="20"/>
          <w:szCs w:val="20"/>
        </w:rPr>
      </w:pPr>
      <w:r w:rsidRPr="00793D20">
        <w:rPr>
          <w:sz w:val="20"/>
          <w:szCs w:val="20"/>
        </w:rPr>
        <w:t xml:space="preserve">En </w:t>
      </w:r>
      <w:r>
        <w:rPr>
          <w:sz w:val="20"/>
          <w:szCs w:val="20"/>
        </w:rPr>
        <w:t>el Considerando 15</w:t>
      </w:r>
      <w:r w:rsidRPr="00793D20">
        <w:rPr>
          <w:sz w:val="20"/>
          <w:szCs w:val="20"/>
        </w:rPr>
        <w:t xml:space="preserve"> de la </w:t>
      </w:r>
      <w:r>
        <w:rPr>
          <w:sz w:val="20"/>
          <w:szCs w:val="20"/>
        </w:rPr>
        <w:t>R</w:t>
      </w:r>
      <w:r w:rsidRPr="00793D20">
        <w:rPr>
          <w:sz w:val="20"/>
          <w:szCs w:val="20"/>
        </w:rPr>
        <w:t xml:space="preserve">esolución de la Corte de </w:t>
      </w:r>
      <w:r>
        <w:rPr>
          <w:sz w:val="20"/>
          <w:szCs w:val="20"/>
        </w:rPr>
        <w:t>22 de junio de 2016 se</w:t>
      </w:r>
      <w:r w:rsidRPr="00793D20">
        <w:rPr>
          <w:sz w:val="20"/>
          <w:szCs w:val="20"/>
        </w:rPr>
        <w:t xml:space="preserve"> </w:t>
      </w:r>
      <w:r>
        <w:rPr>
          <w:sz w:val="20"/>
          <w:szCs w:val="20"/>
        </w:rPr>
        <w:t>explica que el Estado ha venido dando cumplimiento a la presente medida de reparación</w:t>
      </w:r>
      <w:r w:rsidRPr="00793D20">
        <w:rPr>
          <w:sz w:val="20"/>
          <w:szCs w:val="20"/>
        </w:rPr>
        <w:t xml:space="preserve">: </w:t>
      </w:r>
    </w:p>
    <w:p w14:paraId="205DE587" w14:textId="3BCD264A" w:rsidR="00DB4CC8" w:rsidRPr="004D4B2A" w:rsidRDefault="00253747" w:rsidP="004D4B2A">
      <w:pPr>
        <w:pStyle w:val="NormalWeb"/>
        <w:ind w:left="720"/>
        <w:jc w:val="both"/>
        <w:rPr>
          <w:sz w:val="18"/>
          <w:szCs w:val="18"/>
        </w:rPr>
      </w:pPr>
      <w:r w:rsidRPr="00253747">
        <w:rPr>
          <w:rFonts w:ascii="Verdana" w:hAnsi="Verdana"/>
          <w:sz w:val="18"/>
          <w:szCs w:val="18"/>
        </w:rPr>
        <w:t xml:space="preserve">15. Si bien este Tribunal considera que Ecuador ha venido dando cumplimiento a la presente medida de reparación con las capacitaciones realizadas </w:t>
      </w:r>
      <w:r w:rsidR="004D4B2A">
        <w:rPr>
          <w:rFonts w:ascii="Verdana" w:hAnsi="Verdana"/>
          <w:sz w:val="18"/>
          <w:szCs w:val="18"/>
        </w:rPr>
        <w:t>[…]</w:t>
      </w:r>
      <w:r w:rsidRPr="00253747">
        <w:rPr>
          <w:rFonts w:ascii="Verdana" w:hAnsi="Verdana"/>
          <w:sz w:val="18"/>
          <w:szCs w:val="18"/>
        </w:rPr>
        <w:t>, advierte que hasta el momento no ha aportado información que permita acreditar que las mismas tengan un carácter obligatorio y permanente</w:t>
      </w:r>
      <w:r>
        <w:rPr>
          <w:rFonts w:ascii="Verdana" w:hAnsi="Verdana"/>
          <w:position w:val="10"/>
          <w:sz w:val="18"/>
          <w:szCs w:val="18"/>
        </w:rPr>
        <w:t xml:space="preserve"> </w:t>
      </w:r>
      <w:r w:rsidRPr="00253747">
        <w:rPr>
          <w:rFonts w:ascii="Verdana" w:hAnsi="Verdana"/>
          <w:sz w:val="18"/>
          <w:szCs w:val="18"/>
        </w:rPr>
        <w:t xml:space="preserve">como parte de la formación general y continua de los funcionarios en las respectivas instituciones en distintos niveles jerárquicos </w:t>
      </w:r>
      <w:r w:rsidR="004D4B2A">
        <w:rPr>
          <w:rFonts w:ascii="Verdana" w:hAnsi="Verdana"/>
          <w:sz w:val="18"/>
          <w:szCs w:val="18"/>
        </w:rPr>
        <w:t>[…]</w:t>
      </w:r>
      <w:r w:rsidRPr="00253747">
        <w:rPr>
          <w:rFonts w:ascii="Verdana" w:hAnsi="Verdana"/>
          <w:sz w:val="18"/>
          <w:szCs w:val="18"/>
        </w:rPr>
        <w:t xml:space="preserve">. En ese sentido, para evaluar el cumplimiento de esta medida la Corte requiere que el Estado presente información clara sobre el carácter permanente que tendrán, estas capacitaciones para los referidos funcionarios, de manera tal que permita a la Corte valorar el cumplimiento total de esta reparación. Asimismo, resulta necesario que el Estado remita información detallada sobre la concreción del referido convenio con el Consejo de la Judicatura y la implementación de las capacitaciones para funcionarios judiciales con carácter permanente. </w:t>
      </w:r>
    </w:p>
    <w:sectPr w:rsidR="00DB4CC8" w:rsidRPr="004D4B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2B95" w14:textId="77777777" w:rsidR="0031370E" w:rsidRDefault="0031370E" w:rsidP="009F7EF4">
      <w:r>
        <w:separator/>
      </w:r>
    </w:p>
  </w:endnote>
  <w:endnote w:type="continuationSeparator" w:id="0">
    <w:p w14:paraId="34FBE0D2" w14:textId="77777777" w:rsidR="0031370E" w:rsidRDefault="0031370E"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CA7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65053CC"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07FE" w14:textId="77777777" w:rsidR="0031370E" w:rsidRDefault="0031370E" w:rsidP="009F7EF4">
      <w:r>
        <w:separator/>
      </w:r>
    </w:p>
  </w:footnote>
  <w:footnote w:type="continuationSeparator" w:id="0">
    <w:p w14:paraId="6909D7CE" w14:textId="77777777" w:rsidR="0031370E" w:rsidRDefault="0031370E"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377C474D"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644E3">
          <w:rPr>
            <w:noProof/>
            <w:sz w:val="20"/>
            <w:szCs w:val="20"/>
          </w:rPr>
          <w:t>1</w:t>
        </w:r>
        <w:r w:rsidRPr="00675FE7">
          <w:rPr>
            <w:noProof/>
            <w:sz w:val="20"/>
            <w:szCs w:val="20"/>
          </w:rPr>
          <w:fldChar w:fldCharType="end"/>
        </w:r>
      </w:p>
    </w:sdtContent>
  </w:sdt>
  <w:p w14:paraId="35C8224D"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118508">
    <w:abstractNumId w:val="9"/>
  </w:num>
  <w:num w:numId="2" w16cid:durableId="970941014">
    <w:abstractNumId w:val="2"/>
  </w:num>
  <w:num w:numId="3" w16cid:durableId="550268589">
    <w:abstractNumId w:val="8"/>
  </w:num>
  <w:num w:numId="4" w16cid:durableId="317925943">
    <w:abstractNumId w:val="0"/>
  </w:num>
  <w:num w:numId="5" w16cid:durableId="2066635334">
    <w:abstractNumId w:val="1"/>
  </w:num>
  <w:num w:numId="6" w16cid:durableId="1358432638">
    <w:abstractNumId w:val="4"/>
  </w:num>
  <w:num w:numId="7" w16cid:durableId="1661736434">
    <w:abstractNumId w:val="7"/>
  </w:num>
  <w:num w:numId="8" w16cid:durableId="1267274871">
    <w:abstractNumId w:val="3"/>
  </w:num>
  <w:num w:numId="9" w16cid:durableId="1630013650">
    <w:abstractNumId w:val="5"/>
  </w:num>
  <w:num w:numId="10" w16cid:durableId="355541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350B5"/>
    <w:rsid w:val="000930F6"/>
    <w:rsid w:val="000A679B"/>
    <w:rsid w:val="00101CC6"/>
    <w:rsid w:val="001030AE"/>
    <w:rsid w:val="00111252"/>
    <w:rsid w:val="001426AA"/>
    <w:rsid w:val="001B0CF9"/>
    <w:rsid w:val="00234C77"/>
    <w:rsid w:val="00253747"/>
    <w:rsid w:val="002602DD"/>
    <w:rsid w:val="00296F77"/>
    <w:rsid w:val="002A6600"/>
    <w:rsid w:val="002B3295"/>
    <w:rsid w:val="002B7E8D"/>
    <w:rsid w:val="0031370E"/>
    <w:rsid w:val="0034045F"/>
    <w:rsid w:val="003A7E5E"/>
    <w:rsid w:val="003C561A"/>
    <w:rsid w:val="00474D04"/>
    <w:rsid w:val="00476F6E"/>
    <w:rsid w:val="004D4B2A"/>
    <w:rsid w:val="00555F00"/>
    <w:rsid w:val="005C68A4"/>
    <w:rsid w:val="005D1A85"/>
    <w:rsid w:val="006065EC"/>
    <w:rsid w:val="00617B3E"/>
    <w:rsid w:val="006663F3"/>
    <w:rsid w:val="006C38A6"/>
    <w:rsid w:val="006D4B2D"/>
    <w:rsid w:val="006F2690"/>
    <w:rsid w:val="00757A0D"/>
    <w:rsid w:val="00774B82"/>
    <w:rsid w:val="00792726"/>
    <w:rsid w:val="00793D20"/>
    <w:rsid w:val="00801F33"/>
    <w:rsid w:val="0090680B"/>
    <w:rsid w:val="00926FFB"/>
    <w:rsid w:val="00953993"/>
    <w:rsid w:val="009832C0"/>
    <w:rsid w:val="00994D91"/>
    <w:rsid w:val="009B01F7"/>
    <w:rsid w:val="009D22BE"/>
    <w:rsid w:val="009F7EF4"/>
    <w:rsid w:val="00A07758"/>
    <w:rsid w:val="00AC4EB2"/>
    <w:rsid w:val="00AE0035"/>
    <w:rsid w:val="00B11B9B"/>
    <w:rsid w:val="00B319FA"/>
    <w:rsid w:val="00B32A37"/>
    <w:rsid w:val="00B353D1"/>
    <w:rsid w:val="00B375FF"/>
    <w:rsid w:val="00BA6BA9"/>
    <w:rsid w:val="00BC5824"/>
    <w:rsid w:val="00C04BBE"/>
    <w:rsid w:val="00C4747D"/>
    <w:rsid w:val="00C77C0C"/>
    <w:rsid w:val="00C807CF"/>
    <w:rsid w:val="00D10AFB"/>
    <w:rsid w:val="00D3440D"/>
    <w:rsid w:val="00DB14C7"/>
    <w:rsid w:val="00DB4CC8"/>
    <w:rsid w:val="00DF4DE1"/>
    <w:rsid w:val="00E42392"/>
    <w:rsid w:val="00E644E3"/>
    <w:rsid w:val="00E85D9E"/>
    <w:rsid w:val="00EA0D60"/>
    <w:rsid w:val="00EC7E77"/>
    <w:rsid w:val="00F37C0F"/>
    <w:rsid w:val="00F50093"/>
    <w:rsid w:val="00F95487"/>
    <w:rsid w:val="00FD6ECA"/>
    <w:rsid w:val="00FF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D50"/>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unhideWhenUsed/>
    <w:rsid w:val="00253747"/>
    <w:pPr>
      <w:spacing w:before="100" w:beforeAutospacing="1" w:after="100" w:afterAutospacing="1"/>
    </w:pPr>
    <w:rPr>
      <w:rFonts w:ascii="Times New Roman" w:eastAsia="Times New Roman" w:hAnsi="Times New Roman" w:cs="Times New Roman"/>
      <w:sz w:val="24"/>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277361">
      <w:bodyDiv w:val="1"/>
      <w:marLeft w:val="0"/>
      <w:marRight w:val="0"/>
      <w:marTop w:val="0"/>
      <w:marBottom w:val="0"/>
      <w:divBdr>
        <w:top w:val="none" w:sz="0" w:space="0" w:color="auto"/>
        <w:left w:val="none" w:sz="0" w:space="0" w:color="auto"/>
        <w:bottom w:val="none" w:sz="0" w:space="0" w:color="auto"/>
        <w:right w:val="none" w:sz="0" w:space="0" w:color="auto"/>
      </w:divBdr>
      <w:divsChild>
        <w:div w:id="581254127">
          <w:marLeft w:val="0"/>
          <w:marRight w:val="0"/>
          <w:marTop w:val="0"/>
          <w:marBottom w:val="0"/>
          <w:divBdr>
            <w:top w:val="none" w:sz="0" w:space="0" w:color="auto"/>
            <w:left w:val="none" w:sz="0" w:space="0" w:color="auto"/>
            <w:bottom w:val="none" w:sz="0" w:space="0" w:color="auto"/>
            <w:right w:val="none" w:sz="0" w:space="0" w:color="auto"/>
          </w:divBdr>
          <w:divsChild>
            <w:div w:id="594826697">
              <w:marLeft w:val="0"/>
              <w:marRight w:val="0"/>
              <w:marTop w:val="0"/>
              <w:marBottom w:val="0"/>
              <w:divBdr>
                <w:top w:val="none" w:sz="0" w:space="0" w:color="auto"/>
                <w:left w:val="none" w:sz="0" w:space="0" w:color="auto"/>
                <w:bottom w:val="none" w:sz="0" w:space="0" w:color="auto"/>
                <w:right w:val="none" w:sz="0" w:space="0" w:color="auto"/>
              </w:divBdr>
              <w:divsChild>
                <w:div w:id="12347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386</Words>
  <Characters>2128</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8</cp:revision>
  <cp:lastPrinted>2021-06-30T18:39:00Z</cp:lastPrinted>
  <dcterms:created xsi:type="dcterms:W3CDTF">2023-05-15T21:41:00Z</dcterms:created>
  <dcterms:modified xsi:type="dcterms:W3CDTF">2023-06-13T16:39:00Z</dcterms:modified>
</cp:coreProperties>
</file>