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F5E76" w14:textId="77777777" w:rsidR="006E7F48" w:rsidRPr="00EA0D60" w:rsidRDefault="00EA0D60" w:rsidP="00EA0D60">
      <w:pPr>
        <w:jc w:val="center"/>
      </w:pPr>
      <w:r w:rsidRPr="00EA0D60">
        <w:rPr>
          <w:b/>
          <w:i/>
          <w:sz w:val="20"/>
          <w:szCs w:val="20"/>
          <w:u w:val="single"/>
          <w:lang w:val="es-CR"/>
        </w:rPr>
        <w:t xml:space="preserve">Caso Tibi Vs. Ecuador: </w:t>
      </w:r>
      <w:r w:rsidRPr="00EA0D60">
        <w:rPr>
          <w:b/>
          <w:sz w:val="20"/>
          <w:szCs w:val="20"/>
          <w:u w:val="single"/>
          <w:lang w:val="es-CR"/>
        </w:rPr>
        <w:t>reparaciones declaradas cumplidas</w:t>
      </w:r>
    </w:p>
    <w:p w14:paraId="59C7C33C" w14:textId="77777777" w:rsidR="00FD6ECA" w:rsidRPr="00C77C0C" w:rsidRDefault="00FD6ECA" w:rsidP="00C77C0C">
      <w:pPr>
        <w:rPr>
          <w:sz w:val="20"/>
          <w:szCs w:val="20"/>
        </w:rPr>
      </w:pPr>
    </w:p>
    <w:p w14:paraId="5F99C3FD" w14:textId="77777777" w:rsidR="009B01F7" w:rsidRPr="009B01F7" w:rsidRDefault="009B01F7" w:rsidP="009B01F7">
      <w:pPr>
        <w:jc w:val="both"/>
        <w:rPr>
          <w:rFonts w:eastAsia="Cambria" w:cs="Times New Roman"/>
          <w:bCs/>
          <w:sz w:val="20"/>
          <w:szCs w:val="20"/>
          <w:lang w:val="es-ES"/>
        </w:rPr>
      </w:pPr>
      <w:r w:rsidRPr="009B01F7">
        <w:rPr>
          <w:rFonts w:eastAsia="Cambria" w:cs="Times New Roman"/>
          <w:bCs/>
          <w:sz w:val="20"/>
          <w:szCs w:val="20"/>
          <w:lang w:val="es-ES"/>
        </w:rPr>
        <w:t>1.</w:t>
      </w:r>
      <w:r>
        <w:rPr>
          <w:rFonts w:eastAsia="Cambria" w:cs="Times New Roman"/>
          <w:bCs/>
          <w:sz w:val="20"/>
          <w:szCs w:val="20"/>
          <w:lang w:val="es-ES"/>
        </w:rPr>
        <w:tab/>
      </w:r>
      <w:r w:rsidRPr="009B01F7">
        <w:rPr>
          <w:rFonts w:eastAsia="Cambria" w:cs="Times New Roman"/>
          <w:bCs/>
          <w:sz w:val="20"/>
          <w:szCs w:val="20"/>
          <w:lang w:val="es-ES"/>
        </w:rPr>
        <w:t xml:space="preserve">Publicar, al menos por una vez, en el Diario Oficial </w:t>
      </w:r>
      <w:r>
        <w:rPr>
          <w:rFonts w:eastAsia="Cambria" w:cs="Times New Roman"/>
          <w:bCs/>
          <w:sz w:val="20"/>
          <w:szCs w:val="20"/>
          <w:lang w:val="es-ES"/>
        </w:rPr>
        <w:t xml:space="preserve">y en otro diario de circulación </w:t>
      </w:r>
      <w:r w:rsidRPr="009B01F7">
        <w:rPr>
          <w:rFonts w:eastAsia="Cambria" w:cs="Times New Roman"/>
          <w:bCs/>
          <w:sz w:val="20"/>
          <w:szCs w:val="20"/>
          <w:lang w:val="es-ES"/>
        </w:rPr>
        <w:t xml:space="preserve">nacional en el Ecuador, tanto la Sección denominada </w:t>
      </w:r>
      <w:r>
        <w:rPr>
          <w:rFonts w:eastAsia="Cambria" w:cs="Times New Roman"/>
          <w:bCs/>
          <w:sz w:val="20"/>
          <w:szCs w:val="20"/>
          <w:lang w:val="es-ES"/>
        </w:rPr>
        <w:t xml:space="preserve">Hechos Probados como los puntos </w:t>
      </w:r>
      <w:r w:rsidRPr="009B01F7">
        <w:rPr>
          <w:rFonts w:eastAsia="Cambria" w:cs="Times New Roman"/>
          <w:bCs/>
          <w:sz w:val="20"/>
          <w:szCs w:val="20"/>
          <w:lang w:val="es-ES"/>
        </w:rPr>
        <w:t>reso</w:t>
      </w:r>
      <w:r>
        <w:rPr>
          <w:rFonts w:eastAsia="Cambria" w:cs="Times New Roman"/>
          <w:bCs/>
          <w:sz w:val="20"/>
          <w:szCs w:val="20"/>
          <w:lang w:val="es-ES"/>
        </w:rPr>
        <w:t>lutivos Primero al Dé</w:t>
      </w:r>
      <w:r w:rsidRPr="009B01F7">
        <w:rPr>
          <w:rFonts w:eastAsia="Cambria" w:cs="Times New Roman"/>
          <w:bCs/>
          <w:sz w:val="20"/>
          <w:szCs w:val="20"/>
          <w:lang w:val="es-ES"/>
        </w:rPr>
        <w:t>cimo</w:t>
      </w:r>
      <w:r>
        <w:rPr>
          <w:rFonts w:eastAsia="Cambria" w:cs="Times New Roman"/>
          <w:bCs/>
          <w:sz w:val="20"/>
          <w:szCs w:val="20"/>
          <w:lang w:val="es-ES"/>
        </w:rPr>
        <w:t xml:space="preserve"> </w:t>
      </w:r>
      <w:r w:rsidRPr="009B01F7">
        <w:rPr>
          <w:rFonts w:eastAsia="Cambria" w:cs="Times New Roman"/>
          <w:bCs/>
          <w:sz w:val="20"/>
          <w:szCs w:val="20"/>
          <w:lang w:val="es-ES"/>
        </w:rPr>
        <w:t>sexto de la presente Sen</w:t>
      </w:r>
      <w:r>
        <w:rPr>
          <w:rFonts w:eastAsia="Cambria" w:cs="Times New Roman"/>
          <w:bCs/>
          <w:sz w:val="20"/>
          <w:szCs w:val="20"/>
          <w:lang w:val="es-ES"/>
        </w:rPr>
        <w:t xml:space="preserve">tencia, sin las notas al pie de </w:t>
      </w:r>
      <w:r w:rsidRPr="009B01F7">
        <w:rPr>
          <w:rFonts w:eastAsia="Cambria" w:cs="Times New Roman"/>
          <w:bCs/>
          <w:sz w:val="20"/>
          <w:szCs w:val="20"/>
          <w:lang w:val="es-ES"/>
        </w:rPr>
        <w:t>página correspondientes. Igualmente, el Estado deberá pub</w:t>
      </w:r>
      <w:r>
        <w:rPr>
          <w:rFonts w:eastAsia="Cambria" w:cs="Times New Roman"/>
          <w:bCs/>
          <w:sz w:val="20"/>
          <w:szCs w:val="20"/>
          <w:lang w:val="es-ES"/>
        </w:rPr>
        <w:t xml:space="preserve">licar lo anterior, traducido al </w:t>
      </w:r>
      <w:r w:rsidRPr="009B01F7">
        <w:rPr>
          <w:rFonts w:eastAsia="Cambria" w:cs="Times New Roman"/>
          <w:bCs/>
          <w:sz w:val="20"/>
          <w:szCs w:val="20"/>
          <w:lang w:val="es-ES"/>
        </w:rPr>
        <w:t xml:space="preserve">francés, en un diario de amplia circulación en Francia, específicamente en la zona en </w:t>
      </w:r>
      <w:r>
        <w:rPr>
          <w:rFonts w:eastAsia="Cambria" w:cs="Times New Roman"/>
          <w:bCs/>
          <w:sz w:val="20"/>
          <w:szCs w:val="20"/>
          <w:lang w:val="es-ES"/>
        </w:rPr>
        <w:t xml:space="preserve">la </w:t>
      </w:r>
      <w:r w:rsidRPr="009B01F7">
        <w:rPr>
          <w:rFonts w:eastAsia="Cambria" w:cs="Times New Roman"/>
          <w:bCs/>
          <w:sz w:val="20"/>
          <w:szCs w:val="20"/>
          <w:lang w:val="es-ES"/>
        </w:rPr>
        <w:t>cual reside el señor Daniel Tibi, en los términos</w:t>
      </w:r>
      <w:r>
        <w:rPr>
          <w:rFonts w:eastAsia="Cambria" w:cs="Times New Roman"/>
          <w:bCs/>
          <w:sz w:val="20"/>
          <w:szCs w:val="20"/>
          <w:lang w:val="es-ES"/>
        </w:rPr>
        <w:t xml:space="preserve"> del párrafo 260 de la presente </w:t>
      </w:r>
      <w:r w:rsidRPr="009B01F7">
        <w:rPr>
          <w:rFonts w:eastAsia="Cambria" w:cs="Times New Roman"/>
          <w:bCs/>
          <w:sz w:val="20"/>
          <w:szCs w:val="20"/>
          <w:lang w:val="es-ES"/>
        </w:rPr>
        <w:t>Sentencia.</w:t>
      </w:r>
    </w:p>
    <w:p w14:paraId="2900B008" w14:textId="77777777" w:rsidR="009B01F7" w:rsidRDefault="009B01F7" w:rsidP="009B01F7">
      <w:pPr>
        <w:jc w:val="both"/>
        <w:rPr>
          <w:rFonts w:eastAsia="Cambria" w:cs="Times New Roman"/>
          <w:bCs/>
          <w:sz w:val="20"/>
          <w:szCs w:val="20"/>
          <w:lang w:val="es-ES"/>
        </w:rPr>
      </w:pPr>
    </w:p>
    <w:p w14:paraId="1A6DE4B2" w14:textId="77777777" w:rsidR="009B01F7" w:rsidRPr="009B01F7" w:rsidRDefault="009B01F7" w:rsidP="009B01F7">
      <w:pPr>
        <w:jc w:val="both"/>
        <w:rPr>
          <w:rFonts w:eastAsia="Cambria" w:cs="Times New Roman"/>
          <w:bCs/>
          <w:sz w:val="20"/>
          <w:szCs w:val="20"/>
          <w:lang w:val="es-ES"/>
        </w:rPr>
      </w:pPr>
      <w:r>
        <w:rPr>
          <w:rFonts w:eastAsia="Cambria" w:cs="Times New Roman"/>
          <w:bCs/>
          <w:sz w:val="20"/>
          <w:szCs w:val="20"/>
          <w:lang w:val="es-ES"/>
        </w:rPr>
        <w:t>2.</w:t>
      </w:r>
      <w:r>
        <w:rPr>
          <w:rFonts w:eastAsia="Cambria" w:cs="Times New Roman"/>
          <w:bCs/>
          <w:sz w:val="20"/>
          <w:szCs w:val="20"/>
          <w:lang w:val="es-ES"/>
        </w:rPr>
        <w:tab/>
      </w:r>
      <w:r w:rsidRPr="009B01F7">
        <w:rPr>
          <w:rFonts w:eastAsia="Cambria" w:cs="Times New Roman"/>
          <w:bCs/>
          <w:sz w:val="20"/>
          <w:szCs w:val="20"/>
          <w:lang w:val="es-ES"/>
        </w:rPr>
        <w:t xml:space="preserve">Hacer pública una declaración escrita formal emitida por </w:t>
      </w:r>
      <w:r>
        <w:rPr>
          <w:rFonts w:eastAsia="Cambria" w:cs="Times New Roman"/>
          <w:bCs/>
          <w:sz w:val="20"/>
          <w:szCs w:val="20"/>
          <w:lang w:val="es-ES"/>
        </w:rPr>
        <w:t xml:space="preserve">altas autoridades del Estado en </w:t>
      </w:r>
      <w:r w:rsidRPr="009B01F7">
        <w:rPr>
          <w:rFonts w:eastAsia="Cambria" w:cs="Times New Roman"/>
          <w:bCs/>
          <w:sz w:val="20"/>
          <w:szCs w:val="20"/>
          <w:lang w:val="es-ES"/>
        </w:rPr>
        <w:t>la que reconozca su responsabilidad internacional por los hechos a qu</w:t>
      </w:r>
      <w:r>
        <w:rPr>
          <w:rFonts w:eastAsia="Cambria" w:cs="Times New Roman"/>
          <w:bCs/>
          <w:sz w:val="20"/>
          <w:szCs w:val="20"/>
          <w:lang w:val="es-ES"/>
        </w:rPr>
        <w:t xml:space="preserve">e se refiere el </w:t>
      </w:r>
      <w:r w:rsidRPr="009B01F7">
        <w:rPr>
          <w:rFonts w:eastAsia="Cambria" w:cs="Times New Roman"/>
          <w:bCs/>
          <w:sz w:val="20"/>
          <w:szCs w:val="20"/>
          <w:lang w:val="es-ES"/>
        </w:rPr>
        <w:t>presente caso y pida disculpas al señor Tibi y a las d</w:t>
      </w:r>
      <w:r>
        <w:rPr>
          <w:rFonts w:eastAsia="Cambria" w:cs="Times New Roman"/>
          <w:bCs/>
          <w:sz w:val="20"/>
          <w:szCs w:val="20"/>
          <w:lang w:val="es-ES"/>
        </w:rPr>
        <w:t xml:space="preserve">emás víctimas mencionadas en la </w:t>
      </w:r>
      <w:r w:rsidRPr="009B01F7">
        <w:rPr>
          <w:rFonts w:eastAsia="Cambria" w:cs="Times New Roman"/>
          <w:bCs/>
          <w:sz w:val="20"/>
          <w:szCs w:val="20"/>
          <w:lang w:val="es-ES"/>
        </w:rPr>
        <w:t>presente Sentencia, en los términos del párrafo 261 de ésta.</w:t>
      </w:r>
    </w:p>
    <w:p w14:paraId="04EB4693" w14:textId="77777777" w:rsidR="009B01F7" w:rsidRDefault="009B01F7" w:rsidP="009B01F7">
      <w:pPr>
        <w:jc w:val="both"/>
        <w:rPr>
          <w:rFonts w:eastAsia="Cambria" w:cs="Times New Roman"/>
          <w:bCs/>
          <w:sz w:val="20"/>
          <w:szCs w:val="20"/>
          <w:lang w:val="es-ES"/>
        </w:rPr>
      </w:pPr>
    </w:p>
    <w:p w14:paraId="50FF3AEF" w14:textId="77777777" w:rsidR="009B01F7" w:rsidRDefault="009B01F7" w:rsidP="009B01F7">
      <w:pPr>
        <w:jc w:val="both"/>
        <w:rPr>
          <w:rFonts w:eastAsia="Cambria" w:cs="Times New Roman"/>
          <w:bCs/>
          <w:sz w:val="20"/>
          <w:szCs w:val="20"/>
          <w:lang w:val="es-ES"/>
        </w:rPr>
      </w:pPr>
      <w:r>
        <w:rPr>
          <w:rFonts w:eastAsia="Cambria" w:cs="Times New Roman"/>
          <w:bCs/>
          <w:sz w:val="20"/>
          <w:szCs w:val="20"/>
          <w:lang w:val="es-ES"/>
        </w:rPr>
        <w:t>3.</w:t>
      </w:r>
      <w:r>
        <w:rPr>
          <w:rFonts w:eastAsia="Cambria" w:cs="Times New Roman"/>
          <w:bCs/>
          <w:sz w:val="20"/>
          <w:szCs w:val="20"/>
          <w:lang w:val="es-ES"/>
        </w:rPr>
        <w:tab/>
      </w:r>
      <w:r w:rsidRPr="009B01F7">
        <w:rPr>
          <w:rFonts w:eastAsia="Cambria" w:cs="Times New Roman"/>
          <w:bCs/>
          <w:sz w:val="20"/>
          <w:szCs w:val="20"/>
          <w:lang w:val="es-ES"/>
        </w:rPr>
        <w:t>Pagar la cantidad total de €148.715,00 (ciento cuarent</w:t>
      </w:r>
      <w:r>
        <w:rPr>
          <w:rFonts w:eastAsia="Cambria" w:cs="Times New Roman"/>
          <w:bCs/>
          <w:sz w:val="20"/>
          <w:szCs w:val="20"/>
          <w:lang w:val="es-ES"/>
        </w:rPr>
        <w:t xml:space="preserve">a y ocho mil setecientos quince </w:t>
      </w:r>
      <w:r w:rsidRPr="009B01F7">
        <w:rPr>
          <w:rFonts w:eastAsia="Cambria" w:cs="Times New Roman"/>
          <w:bCs/>
          <w:sz w:val="20"/>
          <w:szCs w:val="20"/>
          <w:lang w:val="es-ES"/>
        </w:rPr>
        <w:t xml:space="preserve">euros) por concepto de indemnización de daño material, </w:t>
      </w:r>
      <w:r>
        <w:rPr>
          <w:rFonts w:eastAsia="Cambria" w:cs="Times New Roman"/>
          <w:bCs/>
          <w:sz w:val="20"/>
          <w:szCs w:val="20"/>
          <w:lang w:val="es-ES"/>
        </w:rPr>
        <w:t xml:space="preserve">en los términos de los párrafos </w:t>
      </w:r>
      <w:r w:rsidRPr="009B01F7">
        <w:rPr>
          <w:rFonts w:eastAsia="Cambria" w:cs="Times New Roman"/>
          <w:bCs/>
          <w:sz w:val="20"/>
          <w:szCs w:val="20"/>
          <w:lang w:val="es-ES"/>
        </w:rPr>
        <w:t>235 a 238 de la presente Sentencia, distribuida de la siguiente manera:</w:t>
      </w:r>
    </w:p>
    <w:p w14:paraId="6A84D23E" w14:textId="77777777" w:rsidR="009B01F7" w:rsidRPr="009B01F7" w:rsidRDefault="009B01F7" w:rsidP="009B01F7">
      <w:pPr>
        <w:jc w:val="both"/>
        <w:rPr>
          <w:rFonts w:eastAsia="Cambria" w:cs="Times New Roman"/>
          <w:bCs/>
          <w:sz w:val="20"/>
          <w:szCs w:val="20"/>
          <w:lang w:val="es-ES"/>
        </w:rPr>
      </w:pPr>
    </w:p>
    <w:p w14:paraId="04827230" w14:textId="77777777" w:rsidR="009B01F7" w:rsidRDefault="009B01F7" w:rsidP="009B01F7">
      <w:pPr>
        <w:pStyle w:val="Prrafodelista"/>
        <w:numPr>
          <w:ilvl w:val="0"/>
          <w:numId w:val="9"/>
        </w:numPr>
        <w:spacing w:after="240"/>
        <w:jc w:val="both"/>
        <w:rPr>
          <w:rFonts w:eastAsia="Cambria" w:cs="Times New Roman"/>
          <w:bCs/>
          <w:sz w:val="20"/>
          <w:szCs w:val="20"/>
          <w:lang w:val="es-ES"/>
        </w:rPr>
      </w:pPr>
      <w:r w:rsidRPr="009B01F7">
        <w:rPr>
          <w:rFonts w:eastAsia="Cambria" w:cs="Times New Roman"/>
          <w:bCs/>
          <w:sz w:val="20"/>
          <w:szCs w:val="20"/>
          <w:lang w:val="es-ES"/>
        </w:rPr>
        <w:t>a Daniel Tibi, la cantidad de €57.995,00 (cincuenta y siete mil novecientos</w:t>
      </w:r>
      <w:r>
        <w:rPr>
          <w:rFonts w:eastAsia="Cambria" w:cs="Times New Roman"/>
          <w:bCs/>
          <w:sz w:val="20"/>
          <w:szCs w:val="20"/>
          <w:lang w:val="es-ES"/>
        </w:rPr>
        <w:t xml:space="preserve"> </w:t>
      </w:r>
      <w:r w:rsidRPr="009B01F7">
        <w:rPr>
          <w:rFonts w:eastAsia="Cambria" w:cs="Times New Roman"/>
          <w:bCs/>
          <w:sz w:val="20"/>
          <w:szCs w:val="20"/>
          <w:lang w:val="es-ES"/>
        </w:rPr>
        <w:t>noventa y cinco euros), en los términos de los párrafos 235, 236, 237.b, 237.c,</w:t>
      </w:r>
      <w:r>
        <w:rPr>
          <w:rFonts w:eastAsia="Cambria" w:cs="Times New Roman"/>
          <w:bCs/>
          <w:sz w:val="20"/>
          <w:szCs w:val="20"/>
          <w:lang w:val="es-ES"/>
        </w:rPr>
        <w:t xml:space="preserve"> </w:t>
      </w:r>
      <w:r w:rsidRPr="009B01F7">
        <w:rPr>
          <w:rFonts w:eastAsia="Cambria" w:cs="Times New Roman"/>
          <w:bCs/>
          <w:sz w:val="20"/>
          <w:szCs w:val="20"/>
          <w:lang w:val="es-ES"/>
        </w:rPr>
        <w:t>237.d y 238 de la presente Sentencia;</w:t>
      </w:r>
    </w:p>
    <w:p w14:paraId="1B6350DD" w14:textId="77777777" w:rsidR="009B01F7" w:rsidRDefault="009B01F7" w:rsidP="009B01F7">
      <w:pPr>
        <w:pStyle w:val="Prrafodelista"/>
        <w:spacing w:after="240"/>
        <w:jc w:val="both"/>
        <w:rPr>
          <w:rFonts w:eastAsia="Cambria" w:cs="Times New Roman"/>
          <w:bCs/>
          <w:sz w:val="20"/>
          <w:szCs w:val="20"/>
          <w:lang w:val="es-ES"/>
        </w:rPr>
      </w:pPr>
    </w:p>
    <w:p w14:paraId="4C21F551" w14:textId="77777777" w:rsidR="009B01F7" w:rsidRPr="009B01F7" w:rsidRDefault="009B01F7" w:rsidP="009B01F7">
      <w:pPr>
        <w:pStyle w:val="Prrafodelista"/>
        <w:numPr>
          <w:ilvl w:val="0"/>
          <w:numId w:val="9"/>
        </w:numPr>
        <w:spacing w:before="240" w:after="240"/>
        <w:jc w:val="both"/>
        <w:rPr>
          <w:rFonts w:eastAsia="Cambria" w:cs="Times New Roman"/>
          <w:bCs/>
          <w:sz w:val="20"/>
          <w:szCs w:val="20"/>
          <w:lang w:val="es-ES"/>
        </w:rPr>
      </w:pPr>
      <w:r w:rsidRPr="009B01F7">
        <w:rPr>
          <w:rFonts w:eastAsia="Cambria" w:cs="Times New Roman"/>
          <w:bCs/>
          <w:sz w:val="20"/>
          <w:szCs w:val="20"/>
          <w:lang w:val="es-ES"/>
        </w:rPr>
        <w:t>el Estado debe devolver al señor Daniel Tibi los bienes incautados al momento de</w:t>
      </w:r>
      <w:r>
        <w:rPr>
          <w:rFonts w:eastAsia="Cambria" w:cs="Times New Roman"/>
          <w:bCs/>
          <w:sz w:val="20"/>
          <w:szCs w:val="20"/>
          <w:lang w:val="es-ES"/>
        </w:rPr>
        <w:t xml:space="preserve"> </w:t>
      </w:r>
      <w:r w:rsidRPr="009B01F7">
        <w:rPr>
          <w:rFonts w:eastAsia="Cambria" w:cs="Times New Roman"/>
          <w:bCs/>
          <w:sz w:val="20"/>
          <w:szCs w:val="20"/>
          <w:lang w:val="es-ES"/>
        </w:rPr>
        <w:t>su detención, en el término de seis meses contados a partir de la presente</w:t>
      </w:r>
      <w:r>
        <w:rPr>
          <w:rFonts w:eastAsia="Cambria" w:cs="Times New Roman"/>
          <w:bCs/>
          <w:sz w:val="20"/>
          <w:szCs w:val="20"/>
          <w:lang w:val="es-ES"/>
        </w:rPr>
        <w:t xml:space="preserve"> </w:t>
      </w:r>
      <w:r w:rsidRPr="009B01F7">
        <w:rPr>
          <w:rFonts w:eastAsia="Cambria" w:cs="Times New Roman"/>
          <w:bCs/>
          <w:sz w:val="20"/>
          <w:szCs w:val="20"/>
          <w:lang w:val="es-ES"/>
        </w:rPr>
        <w:t>Sentencia. De no ser ello posible, el Estado deberá entregarle la suma de</w:t>
      </w:r>
      <w:r>
        <w:rPr>
          <w:rFonts w:eastAsia="Cambria" w:cs="Times New Roman"/>
          <w:bCs/>
          <w:sz w:val="20"/>
          <w:szCs w:val="20"/>
          <w:lang w:val="es-ES"/>
        </w:rPr>
        <w:t xml:space="preserve"> </w:t>
      </w:r>
      <w:r w:rsidRPr="009B01F7">
        <w:rPr>
          <w:rFonts w:eastAsia="Cambria" w:cs="Times New Roman"/>
          <w:bCs/>
          <w:sz w:val="20"/>
          <w:szCs w:val="20"/>
          <w:lang w:val="es-ES"/>
        </w:rPr>
        <w:t>€82.850,00 (ochenta y dos mil ochocientos cincuenta euros) en los términos de</w:t>
      </w:r>
      <w:r>
        <w:rPr>
          <w:rFonts w:eastAsia="Cambria" w:cs="Times New Roman"/>
          <w:bCs/>
          <w:sz w:val="20"/>
          <w:szCs w:val="20"/>
          <w:lang w:val="es-ES"/>
        </w:rPr>
        <w:t xml:space="preserve"> </w:t>
      </w:r>
      <w:r w:rsidRPr="009B01F7">
        <w:rPr>
          <w:rFonts w:eastAsia="Cambria" w:cs="Times New Roman"/>
          <w:bCs/>
          <w:sz w:val="20"/>
          <w:szCs w:val="20"/>
          <w:lang w:val="es-ES"/>
        </w:rPr>
        <w:t>los párrafos 237.e y 238 de la presente Sentencia; y</w:t>
      </w:r>
    </w:p>
    <w:p w14:paraId="4DCD05C2" w14:textId="77777777" w:rsidR="009B01F7" w:rsidRPr="009B01F7" w:rsidRDefault="009B01F7" w:rsidP="009B01F7">
      <w:pPr>
        <w:pStyle w:val="Prrafodelista"/>
        <w:spacing w:before="240" w:after="240"/>
        <w:jc w:val="both"/>
        <w:rPr>
          <w:rFonts w:eastAsia="Cambria" w:cs="Times New Roman"/>
          <w:bCs/>
          <w:sz w:val="20"/>
          <w:szCs w:val="20"/>
          <w:lang w:val="es-ES"/>
        </w:rPr>
      </w:pPr>
    </w:p>
    <w:p w14:paraId="4D62BB71" w14:textId="77777777" w:rsidR="009B01F7" w:rsidRPr="009B01F7" w:rsidRDefault="009B01F7" w:rsidP="009B01F7">
      <w:pPr>
        <w:pStyle w:val="Prrafodelista"/>
        <w:numPr>
          <w:ilvl w:val="0"/>
          <w:numId w:val="9"/>
        </w:numPr>
        <w:jc w:val="both"/>
        <w:rPr>
          <w:rFonts w:eastAsia="Cambria" w:cs="Times New Roman"/>
          <w:bCs/>
          <w:sz w:val="20"/>
          <w:szCs w:val="20"/>
          <w:lang w:val="es-ES"/>
        </w:rPr>
      </w:pPr>
      <w:r w:rsidRPr="009B01F7">
        <w:rPr>
          <w:rFonts w:eastAsia="Cambria" w:cs="Times New Roman"/>
          <w:bCs/>
          <w:sz w:val="20"/>
          <w:szCs w:val="20"/>
          <w:lang w:val="es-ES"/>
        </w:rPr>
        <w:t xml:space="preserve">a Beatrice </w:t>
      </w:r>
      <w:proofErr w:type="spellStart"/>
      <w:r w:rsidRPr="009B01F7">
        <w:rPr>
          <w:rFonts w:eastAsia="Cambria" w:cs="Times New Roman"/>
          <w:bCs/>
          <w:sz w:val="20"/>
          <w:szCs w:val="20"/>
          <w:lang w:val="es-ES"/>
        </w:rPr>
        <w:t>Baruet</w:t>
      </w:r>
      <w:proofErr w:type="spellEnd"/>
      <w:r w:rsidRPr="009B01F7">
        <w:rPr>
          <w:rFonts w:eastAsia="Cambria" w:cs="Times New Roman"/>
          <w:bCs/>
          <w:sz w:val="20"/>
          <w:szCs w:val="20"/>
          <w:lang w:val="es-ES"/>
        </w:rPr>
        <w:t>, la cantidad de €7.870,00 (siete mil ochocientos setenta</w:t>
      </w:r>
      <w:r>
        <w:rPr>
          <w:rFonts w:eastAsia="Cambria" w:cs="Times New Roman"/>
          <w:bCs/>
          <w:sz w:val="20"/>
          <w:szCs w:val="20"/>
          <w:lang w:val="es-ES"/>
        </w:rPr>
        <w:t xml:space="preserve"> </w:t>
      </w:r>
      <w:r w:rsidRPr="009B01F7">
        <w:rPr>
          <w:rFonts w:eastAsia="Cambria" w:cs="Times New Roman"/>
          <w:bCs/>
          <w:sz w:val="20"/>
          <w:szCs w:val="20"/>
          <w:lang w:val="es-ES"/>
        </w:rPr>
        <w:t>euros), en los términos de los párrafos 237.a y 238 de la presente Sentencia.</w:t>
      </w:r>
    </w:p>
    <w:p w14:paraId="5FBDC154" w14:textId="77777777" w:rsidR="009B01F7" w:rsidRDefault="009B01F7" w:rsidP="009B01F7">
      <w:pPr>
        <w:jc w:val="both"/>
        <w:rPr>
          <w:rFonts w:eastAsia="Cambria" w:cs="Times New Roman"/>
          <w:bCs/>
          <w:sz w:val="20"/>
          <w:szCs w:val="20"/>
          <w:lang w:val="es-ES"/>
        </w:rPr>
      </w:pPr>
    </w:p>
    <w:p w14:paraId="0DAEA735" w14:textId="77777777" w:rsidR="009B01F7" w:rsidRDefault="009B01F7" w:rsidP="009B01F7">
      <w:pPr>
        <w:jc w:val="both"/>
        <w:rPr>
          <w:rFonts w:eastAsia="Cambria" w:cs="Times New Roman"/>
          <w:bCs/>
          <w:sz w:val="20"/>
          <w:szCs w:val="20"/>
          <w:lang w:val="es-ES"/>
        </w:rPr>
      </w:pPr>
      <w:r w:rsidRPr="009B01F7">
        <w:rPr>
          <w:rFonts w:eastAsia="Cambria" w:cs="Times New Roman"/>
          <w:bCs/>
          <w:sz w:val="20"/>
          <w:szCs w:val="20"/>
          <w:lang w:val="es-ES"/>
        </w:rPr>
        <w:t>4.</w:t>
      </w:r>
      <w:r>
        <w:rPr>
          <w:rFonts w:eastAsia="Cambria" w:cs="Times New Roman"/>
          <w:bCs/>
          <w:sz w:val="20"/>
          <w:szCs w:val="20"/>
          <w:lang w:val="es-ES"/>
        </w:rPr>
        <w:tab/>
      </w:r>
      <w:r w:rsidRPr="009B01F7">
        <w:rPr>
          <w:rFonts w:eastAsia="Cambria" w:cs="Times New Roman"/>
          <w:bCs/>
          <w:sz w:val="20"/>
          <w:szCs w:val="20"/>
          <w:lang w:val="es-ES"/>
        </w:rPr>
        <w:t>Pagar la cantidad total de €207.123,00 (doscientos siete mil ciento veintitrés euros), por</w:t>
      </w:r>
      <w:r>
        <w:rPr>
          <w:rFonts w:eastAsia="Cambria" w:cs="Times New Roman"/>
          <w:bCs/>
          <w:sz w:val="20"/>
          <w:szCs w:val="20"/>
          <w:lang w:val="es-ES"/>
        </w:rPr>
        <w:t xml:space="preserve"> </w:t>
      </w:r>
      <w:r w:rsidRPr="009B01F7">
        <w:rPr>
          <w:rFonts w:eastAsia="Cambria" w:cs="Times New Roman"/>
          <w:bCs/>
          <w:sz w:val="20"/>
          <w:szCs w:val="20"/>
          <w:lang w:val="es-ES"/>
        </w:rPr>
        <w:t>concepto de indemnización del daño inmaterial, en los</w:t>
      </w:r>
      <w:r>
        <w:rPr>
          <w:rFonts w:eastAsia="Cambria" w:cs="Times New Roman"/>
          <w:bCs/>
          <w:sz w:val="20"/>
          <w:szCs w:val="20"/>
          <w:lang w:val="es-ES"/>
        </w:rPr>
        <w:t xml:space="preserve"> términos de los párrafos 244 a </w:t>
      </w:r>
      <w:r w:rsidRPr="009B01F7">
        <w:rPr>
          <w:rFonts w:eastAsia="Cambria" w:cs="Times New Roman"/>
          <w:bCs/>
          <w:sz w:val="20"/>
          <w:szCs w:val="20"/>
          <w:lang w:val="es-ES"/>
        </w:rPr>
        <w:t>250 de la presente Sentencia, distribuida de la siguiente manera:</w:t>
      </w:r>
    </w:p>
    <w:p w14:paraId="0051611E" w14:textId="77777777" w:rsidR="009B01F7" w:rsidRPr="009B01F7" w:rsidRDefault="009B01F7" w:rsidP="009B01F7">
      <w:pPr>
        <w:jc w:val="both"/>
        <w:rPr>
          <w:rFonts w:eastAsia="Cambria" w:cs="Times New Roman"/>
          <w:bCs/>
          <w:sz w:val="20"/>
          <w:szCs w:val="20"/>
          <w:lang w:val="es-ES"/>
        </w:rPr>
      </w:pPr>
    </w:p>
    <w:p w14:paraId="4D076C9A" w14:textId="77777777" w:rsidR="009B01F7" w:rsidRDefault="009B01F7" w:rsidP="009B01F7">
      <w:pPr>
        <w:pStyle w:val="Prrafodelista"/>
        <w:numPr>
          <w:ilvl w:val="0"/>
          <w:numId w:val="10"/>
        </w:numPr>
        <w:jc w:val="both"/>
        <w:rPr>
          <w:rFonts w:eastAsia="Cambria" w:cs="Times New Roman"/>
          <w:bCs/>
          <w:sz w:val="20"/>
          <w:szCs w:val="20"/>
          <w:lang w:val="es-ES"/>
        </w:rPr>
      </w:pPr>
      <w:r w:rsidRPr="009B01F7">
        <w:rPr>
          <w:rFonts w:eastAsia="Cambria" w:cs="Times New Roman"/>
          <w:bCs/>
          <w:sz w:val="20"/>
          <w:szCs w:val="20"/>
          <w:lang w:val="es-ES"/>
        </w:rPr>
        <w:t>a Daniel Tibi, la cantidad de €99.420,00 (noventa y nueve mil cuatrocientos</w:t>
      </w:r>
      <w:r>
        <w:rPr>
          <w:rFonts w:eastAsia="Cambria" w:cs="Times New Roman"/>
          <w:bCs/>
          <w:sz w:val="20"/>
          <w:szCs w:val="20"/>
          <w:lang w:val="es-ES"/>
        </w:rPr>
        <w:t xml:space="preserve"> </w:t>
      </w:r>
      <w:r w:rsidRPr="009B01F7">
        <w:rPr>
          <w:rFonts w:eastAsia="Cambria" w:cs="Times New Roman"/>
          <w:bCs/>
          <w:sz w:val="20"/>
          <w:szCs w:val="20"/>
          <w:lang w:val="es-ES"/>
        </w:rPr>
        <w:t>veinte euros), en los términos de los párrafos 244 a 246, 249 y 250 de la</w:t>
      </w:r>
      <w:r>
        <w:rPr>
          <w:rFonts w:eastAsia="Cambria" w:cs="Times New Roman"/>
          <w:bCs/>
          <w:sz w:val="20"/>
          <w:szCs w:val="20"/>
          <w:lang w:val="es-ES"/>
        </w:rPr>
        <w:t xml:space="preserve"> </w:t>
      </w:r>
      <w:r w:rsidRPr="009B01F7">
        <w:rPr>
          <w:rFonts w:eastAsia="Cambria" w:cs="Times New Roman"/>
          <w:bCs/>
          <w:sz w:val="20"/>
          <w:szCs w:val="20"/>
          <w:lang w:val="es-ES"/>
        </w:rPr>
        <w:t>presente Sentencia;</w:t>
      </w:r>
    </w:p>
    <w:p w14:paraId="30DE2C56" w14:textId="77777777" w:rsidR="002B7E8D" w:rsidRPr="009B01F7" w:rsidRDefault="002B7E8D" w:rsidP="002B7E8D">
      <w:pPr>
        <w:pStyle w:val="Prrafodelista"/>
        <w:jc w:val="both"/>
        <w:rPr>
          <w:rFonts w:eastAsia="Cambria" w:cs="Times New Roman"/>
          <w:bCs/>
          <w:sz w:val="20"/>
          <w:szCs w:val="20"/>
          <w:lang w:val="es-ES"/>
        </w:rPr>
      </w:pPr>
    </w:p>
    <w:p w14:paraId="56579FAE" w14:textId="77777777" w:rsidR="002B7E8D" w:rsidRPr="002B7E8D" w:rsidRDefault="009B01F7" w:rsidP="002B7E8D">
      <w:pPr>
        <w:pStyle w:val="Prrafodelista"/>
        <w:numPr>
          <w:ilvl w:val="0"/>
          <w:numId w:val="10"/>
        </w:numPr>
        <w:jc w:val="both"/>
        <w:rPr>
          <w:rFonts w:eastAsia="Cambria" w:cs="Times New Roman"/>
          <w:bCs/>
          <w:sz w:val="20"/>
          <w:szCs w:val="20"/>
          <w:lang w:val="es-ES"/>
        </w:rPr>
      </w:pPr>
      <w:r w:rsidRPr="009B01F7">
        <w:rPr>
          <w:rFonts w:eastAsia="Cambria" w:cs="Times New Roman"/>
          <w:bCs/>
          <w:sz w:val="20"/>
          <w:szCs w:val="20"/>
          <w:lang w:val="es-ES"/>
        </w:rPr>
        <w:t xml:space="preserve">a Beatrice </w:t>
      </w:r>
      <w:proofErr w:type="spellStart"/>
      <w:r w:rsidRPr="009B01F7">
        <w:rPr>
          <w:rFonts w:eastAsia="Cambria" w:cs="Times New Roman"/>
          <w:bCs/>
          <w:sz w:val="20"/>
          <w:szCs w:val="20"/>
          <w:lang w:val="es-ES"/>
        </w:rPr>
        <w:t>Baruet</w:t>
      </w:r>
      <w:proofErr w:type="spellEnd"/>
      <w:r w:rsidRPr="009B01F7">
        <w:rPr>
          <w:rFonts w:eastAsia="Cambria" w:cs="Times New Roman"/>
          <w:bCs/>
          <w:sz w:val="20"/>
          <w:szCs w:val="20"/>
          <w:lang w:val="es-ES"/>
        </w:rPr>
        <w:t>, la cantidad de €57.995,00 (cincuenta y siete mil novecientos</w:t>
      </w:r>
      <w:r>
        <w:rPr>
          <w:rFonts w:eastAsia="Cambria" w:cs="Times New Roman"/>
          <w:bCs/>
          <w:sz w:val="20"/>
          <w:szCs w:val="20"/>
          <w:lang w:val="es-ES"/>
        </w:rPr>
        <w:t xml:space="preserve"> </w:t>
      </w:r>
      <w:r w:rsidRPr="009B01F7">
        <w:rPr>
          <w:rFonts w:eastAsia="Cambria" w:cs="Times New Roman"/>
          <w:bCs/>
          <w:sz w:val="20"/>
          <w:szCs w:val="20"/>
          <w:lang w:val="es-ES"/>
        </w:rPr>
        <w:t>noventa y cinco euros), en los términos de los párrafos 247, 248 y 250 de la</w:t>
      </w:r>
      <w:r>
        <w:rPr>
          <w:rFonts w:eastAsia="Cambria" w:cs="Times New Roman"/>
          <w:bCs/>
          <w:sz w:val="20"/>
          <w:szCs w:val="20"/>
          <w:lang w:val="es-ES"/>
        </w:rPr>
        <w:t xml:space="preserve"> </w:t>
      </w:r>
      <w:r w:rsidRPr="009B01F7">
        <w:rPr>
          <w:rFonts w:eastAsia="Cambria" w:cs="Times New Roman"/>
          <w:bCs/>
          <w:sz w:val="20"/>
          <w:szCs w:val="20"/>
          <w:lang w:val="es-ES"/>
        </w:rPr>
        <w:t>presente Sentencia;</w:t>
      </w:r>
    </w:p>
    <w:p w14:paraId="7A95B824" w14:textId="77777777" w:rsidR="002B7E8D" w:rsidRDefault="002B7E8D" w:rsidP="002B7E8D">
      <w:pPr>
        <w:pStyle w:val="Prrafodelista"/>
        <w:jc w:val="both"/>
        <w:rPr>
          <w:rFonts w:eastAsia="Cambria" w:cs="Times New Roman"/>
          <w:bCs/>
          <w:sz w:val="20"/>
          <w:szCs w:val="20"/>
          <w:lang w:val="es-ES"/>
        </w:rPr>
      </w:pPr>
    </w:p>
    <w:p w14:paraId="5CC6266D" w14:textId="77777777" w:rsidR="002B7E8D" w:rsidRPr="002B7E8D" w:rsidRDefault="009B01F7" w:rsidP="002B7E8D">
      <w:pPr>
        <w:pStyle w:val="Prrafodelista"/>
        <w:numPr>
          <w:ilvl w:val="0"/>
          <w:numId w:val="10"/>
        </w:numPr>
        <w:jc w:val="both"/>
        <w:rPr>
          <w:rFonts w:eastAsia="Cambria" w:cs="Times New Roman"/>
          <w:bCs/>
          <w:sz w:val="20"/>
          <w:szCs w:val="20"/>
          <w:lang w:val="es-ES"/>
        </w:rPr>
      </w:pPr>
      <w:r w:rsidRPr="009B01F7">
        <w:rPr>
          <w:rFonts w:eastAsia="Cambria" w:cs="Times New Roman"/>
          <w:bCs/>
          <w:sz w:val="20"/>
          <w:szCs w:val="20"/>
          <w:lang w:val="es-ES"/>
        </w:rPr>
        <w:t xml:space="preserve">a Sarah </w:t>
      </w:r>
      <w:proofErr w:type="spellStart"/>
      <w:r w:rsidRPr="009B01F7">
        <w:rPr>
          <w:rFonts w:eastAsia="Cambria" w:cs="Times New Roman"/>
          <w:bCs/>
          <w:sz w:val="20"/>
          <w:szCs w:val="20"/>
          <w:lang w:val="es-ES"/>
        </w:rPr>
        <w:t>Vachon</w:t>
      </w:r>
      <w:proofErr w:type="spellEnd"/>
      <w:r w:rsidRPr="009B01F7">
        <w:rPr>
          <w:rFonts w:eastAsia="Cambria" w:cs="Times New Roman"/>
          <w:bCs/>
          <w:sz w:val="20"/>
          <w:szCs w:val="20"/>
          <w:lang w:val="es-ES"/>
        </w:rPr>
        <w:t>, la cantidad de €12.427,00 (doce mil cuatrocientos veintisiete</w:t>
      </w:r>
      <w:r>
        <w:rPr>
          <w:rFonts w:eastAsia="Cambria" w:cs="Times New Roman"/>
          <w:bCs/>
          <w:sz w:val="20"/>
          <w:szCs w:val="20"/>
          <w:lang w:val="es-ES"/>
        </w:rPr>
        <w:t xml:space="preserve"> </w:t>
      </w:r>
      <w:r w:rsidRPr="009B01F7">
        <w:rPr>
          <w:rFonts w:eastAsia="Cambria" w:cs="Times New Roman"/>
          <w:bCs/>
          <w:sz w:val="20"/>
          <w:szCs w:val="20"/>
          <w:lang w:val="es-ES"/>
        </w:rPr>
        <w:t>euros), en los términos de los párrafos 247, 248 y 250 de la presente Sentencia;</w:t>
      </w:r>
    </w:p>
    <w:p w14:paraId="38BD0C6C" w14:textId="77777777" w:rsidR="002B7E8D" w:rsidRDefault="002B7E8D" w:rsidP="002B7E8D">
      <w:pPr>
        <w:pStyle w:val="Prrafodelista"/>
        <w:jc w:val="both"/>
        <w:rPr>
          <w:rFonts w:eastAsia="Cambria" w:cs="Times New Roman"/>
          <w:bCs/>
          <w:sz w:val="20"/>
          <w:szCs w:val="20"/>
          <w:lang w:val="es-ES"/>
        </w:rPr>
      </w:pPr>
    </w:p>
    <w:p w14:paraId="4792697E" w14:textId="77777777" w:rsidR="002B7E8D" w:rsidRPr="002B7E8D" w:rsidRDefault="009B01F7" w:rsidP="002B7E8D">
      <w:pPr>
        <w:pStyle w:val="Prrafodelista"/>
        <w:numPr>
          <w:ilvl w:val="0"/>
          <w:numId w:val="10"/>
        </w:numPr>
        <w:jc w:val="both"/>
        <w:rPr>
          <w:rFonts w:eastAsia="Cambria" w:cs="Times New Roman"/>
          <w:bCs/>
          <w:sz w:val="20"/>
          <w:szCs w:val="20"/>
          <w:lang w:val="es-ES"/>
        </w:rPr>
      </w:pPr>
      <w:r w:rsidRPr="009B01F7">
        <w:rPr>
          <w:rFonts w:eastAsia="Cambria" w:cs="Times New Roman"/>
          <w:bCs/>
          <w:sz w:val="20"/>
          <w:szCs w:val="20"/>
          <w:lang w:val="es-ES"/>
        </w:rPr>
        <w:t xml:space="preserve">a Jeanne Camila </w:t>
      </w:r>
      <w:proofErr w:type="spellStart"/>
      <w:r w:rsidRPr="009B01F7">
        <w:rPr>
          <w:rFonts w:eastAsia="Cambria" w:cs="Times New Roman"/>
          <w:bCs/>
          <w:sz w:val="20"/>
          <w:szCs w:val="20"/>
          <w:lang w:val="es-ES"/>
        </w:rPr>
        <w:t>Vachon</w:t>
      </w:r>
      <w:proofErr w:type="spellEnd"/>
      <w:r w:rsidRPr="009B01F7">
        <w:rPr>
          <w:rFonts w:eastAsia="Cambria" w:cs="Times New Roman"/>
          <w:bCs/>
          <w:sz w:val="20"/>
          <w:szCs w:val="20"/>
          <w:lang w:val="es-ES"/>
        </w:rPr>
        <w:t>, la cantidad de €12.427,00 (doce mil cuatrocientos</w:t>
      </w:r>
      <w:r>
        <w:rPr>
          <w:rFonts w:eastAsia="Cambria" w:cs="Times New Roman"/>
          <w:bCs/>
          <w:sz w:val="20"/>
          <w:szCs w:val="20"/>
          <w:lang w:val="es-ES"/>
        </w:rPr>
        <w:t xml:space="preserve"> </w:t>
      </w:r>
      <w:r w:rsidRPr="009B01F7">
        <w:rPr>
          <w:rFonts w:eastAsia="Cambria" w:cs="Times New Roman"/>
          <w:bCs/>
          <w:sz w:val="20"/>
          <w:szCs w:val="20"/>
          <w:lang w:val="es-ES"/>
        </w:rPr>
        <w:t>veintisiete euros), en los términos de los párrafos 247, 248, 250 y 275 de la presente Sentencia;</w:t>
      </w:r>
    </w:p>
    <w:p w14:paraId="56E5F3F1" w14:textId="77777777" w:rsidR="002B7E8D" w:rsidRDefault="002B7E8D" w:rsidP="002B7E8D">
      <w:pPr>
        <w:pStyle w:val="Prrafodelista"/>
        <w:jc w:val="both"/>
        <w:rPr>
          <w:rFonts w:eastAsia="Cambria" w:cs="Times New Roman"/>
          <w:bCs/>
          <w:sz w:val="20"/>
          <w:szCs w:val="20"/>
          <w:lang w:val="es-ES"/>
        </w:rPr>
      </w:pPr>
    </w:p>
    <w:p w14:paraId="4ECC5757" w14:textId="77777777" w:rsidR="009B01F7" w:rsidRPr="009B01F7" w:rsidRDefault="009B01F7" w:rsidP="009B01F7">
      <w:pPr>
        <w:pStyle w:val="Prrafodelista"/>
        <w:numPr>
          <w:ilvl w:val="0"/>
          <w:numId w:val="10"/>
        </w:numPr>
        <w:jc w:val="both"/>
        <w:rPr>
          <w:rFonts w:eastAsia="Cambria" w:cs="Times New Roman"/>
          <w:bCs/>
          <w:sz w:val="20"/>
          <w:szCs w:val="20"/>
          <w:lang w:val="es-ES"/>
        </w:rPr>
      </w:pPr>
      <w:r w:rsidRPr="009B01F7">
        <w:rPr>
          <w:rFonts w:eastAsia="Cambria" w:cs="Times New Roman"/>
          <w:bCs/>
          <w:sz w:val="20"/>
          <w:szCs w:val="20"/>
          <w:lang w:val="es-ES"/>
        </w:rPr>
        <w:t xml:space="preserve">a </w:t>
      </w:r>
      <w:proofErr w:type="spellStart"/>
      <w:r w:rsidRPr="009B01F7">
        <w:rPr>
          <w:rFonts w:eastAsia="Cambria" w:cs="Times New Roman"/>
          <w:bCs/>
          <w:sz w:val="20"/>
          <w:szCs w:val="20"/>
          <w:lang w:val="es-ES"/>
        </w:rPr>
        <w:t>Lisianne</w:t>
      </w:r>
      <w:proofErr w:type="spellEnd"/>
      <w:r w:rsidRPr="009B01F7">
        <w:rPr>
          <w:rFonts w:eastAsia="Cambria" w:cs="Times New Roman"/>
          <w:bCs/>
          <w:sz w:val="20"/>
          <w:szCs w:val="20"/>
          <w:lang w:val="es-ES"/>
        </w:rPr>
        <w:t xml:space="preserve"> Judith Tibi, la cantidad de €12.427,00 (doce mil cuatrocientos</w:t>
      </w:r>
      <w:r>
        <w:rPr>
          <w:rFonts w:eastAsia="Cambria" w:cs="Times New Roman"/>
          <w:bCs/>
          <w:sz w:val="20"/>
          <w:szCs w:val="20"/>
          <w:lang w:val="es-ES"/>
        </w:rPr>
        <w:t xml:space="preserve"> </w:t>
      </w:r>
      <w:r w:rsidRPr="009B01F7">
        <w:rPr>
          <w:rFonts w:eastAsia="Cambria" w:cs="Times New Roman"/>
          <w:bCs/>
          <w:sz w:val="20"/>
          <w:szCs w:val="20"/>
          <w:lang w:val="es-ES"/>
        </w:rPr>
        <w:t>veintisiete euros), en los términos de los párrafos 247, 248, 250 y 275 de la</w:t>
      </w:r>
      <w:r>
        <w:rPr>
          <w:rFonts w:eastAsia="Cambria" w:cs="Times New Roman"/>
          <w:bCs/>
          <w:sz w:val="20"/>
          <w:szCs w:val="20"/>
          <w:lang w:val="es-ES"/>
        </w:rPr>
        <w:t xml:space="preserve"> </w:t>
      </w:r>
      <w:r w:rsidRPr="009B01F7">
        <w:rPr>
          <w:rFonts w:eastAsia="Cambria" w:cs="Times New Roman"/>
          <w:bCs/>
          <w:sz w:val="20"/>
          <w:szCs w:val="20"/>
          <w:lang w:val="es-ES"/>
        </w:rPr>
        <w:t>presente Sentencia</w:t>
      </w:r>
      <w:r>
        <w:rPr>
          <w:rFonts w:eastAsia="Cambria" w:cs="Times New Roman"/>
          <w:bCs/>
          <w:sz w:val="20"/>
          <w:szCs w:val="20"/>
          <w:lang w:val="es-ES"/>
        </w:rPr>
        <w:t>,</w:t>
      </w:r>
      <w:r w:rsidRPr="009B01F7">
        <w:rPr>
          <w:rFonts w:eastAsia="Cambria" w:cs="Times New Roman"/>
          <w:bCs/>
          <w:sz w:val="20"/>
          <w:szCs w:val="20"/>
          <w:lang w:val="es-ES"/>
        </w:rPr>
        <w:t xml:space="preserve"> y</w:t>
      </w:r>
    </w:p>
    <w:p w14:paraId="103F88F0" w14:textId="77777777" w:rsidR="009B01F7" w:rsidRPr="009B01F7" w:rsidRDefault="009B01F7" w:rsidP="009B01F7">
      <w:pPr>
        <w:pStyle w:val="Prrafodelista"/>
        <w:numPr>
          <w:ilvl w:val="0"/>
          <w:numId w:val="10"/>
        </w:numPr>
        <w:jc w:val="both"/>
        <w:rPr>
          <w:rFonts w:eastAsia="Cambria" w:cs="Times New Roman"/>
          <w:bCs/>
          <w:sz w:val="20"/>
          <w:szCs w:val="20"/>
          <w:lang w:val="es-ES"/>
        </w:rPr>
      </w:pPr>
      <w:r w:rsidRPr="009B01F7">
        <w:rPr>
          <w:rFonts w:eastAsia="Cambria" w:cs="Times New Roman"/>
          <w:bCs/>
          <w:sz w:val="20"/>
          <w:szCs w:val="20"/>
          <w:lang w:val="es-ES"/>
        </w:rPr>
        <w:lastRenderedPageBreak/>
        <w:t xml:space="preserve">a </w:t>
      </w:r>
      <w:proofErr w:type="spellStart"/>
      <w:r w:rsidRPr="009B01F7">
        <w:rPr>
          <w:rFonts w:eastAsia="Cambria" w:cs="Times New Roman"/>
          <w:bCs/>
          <w:sz w:val="20"/>
          <w:szCs w:val="20"/>
          <w:lang w:val="es-ES"/>
        </w:rPr>
        <w:t>Valerian</w:t>
      </w:r>
      <w:proofErr w:type="spellEnd"/>
      <w:r w:rsidRPr="009B01F7">
        <w:rPr>
          <w:rFonts w:eastAsia="Cambria" w:cs="Times New Roman"/>
          <w:bCs/>
          <w:sz w:val="20"/>
          <w:szCs w:val="20"/>
          <w:lang w:val="es-ES"/>
        </w:rPr>
        <w:t xml:space="preserve"> </w:t>
      </w:r>
      <w:proofErr w:type="spellStart"/>
      <w:r w:rsidRPr="009B01F7">
        <w:rPr>
          <w:rFonts w:eastAsia="Cambria" w:cs="Times New Roman"/>
          <w:bCs/>
          <w:sz w:val="20"/>
          <w:szCs w:val="20"/>
          <w:lang w:val="es-ES"/>
        </w:rPr>
        <w:t>Edouard</w:t>
      </w:r>
      <w:proofErr w:type="spellEnd"/>
      <w:r w:rsidRPr="009B01F7">
        <w:rPr>
          <w:rFonts w:eastAsia="Cambria" w:cs="Times New Roman"/>
          <w:bCs/>
          <w:sz w:val="20"/>
          <w:szCs w:val="20"/>
          <w:lang w:val="es-ES"/>
        </w:rPr>
        <w:t xml:space="preserve"> Tibi, la cantidad de €12.427,00 (doce mil cuatrocientos</w:t>
      </w:r>
      <w:r>
        <w:rPr>
          <w:rFonts w:eastAsia="Cambria" w:cs="Times New Roman"/>
          <w:bCs/>
          <w:sz w:val="20"/>
          <w:szCs w:val="20"/>
          <w:lang w:val="es-ES"/>
        </w:rPr>
        <w:t xml:space="preserve"> </w:t>
      </w:r>
      <w:r w:rsidRPr="009B01F7">
        <w:rPr>
          <w:rFonts w:eastAsia="Cambria" w:cs="Times New Roman"/>
          <w:bCs/>
          <w:sz w:val="20"/>
          <w:szCs w:val="20"/>
          <w:lang w:val="es-ES"/>
        </w:rPr>
        <w:t>veintisiete euros), en los términos de los párrafos 247, 248 y 250 de la presente</w:t>
      </w:r>
      <w:r>
        <w:rPr>
          <w:rFonts w:eastAsia="Cambria" w:cs="Times New Roman"/>
          <w:bCs/>
          <w:sz w:val="20"/>
          <w:szCs w:val="20"/>
          <w:lang w:val="es-ES"/>
        </w:rPr>
        <w:t xml:space="preserve"> </w:t>
      </w:r>
      <w:r w:rsidRPr="009B01F7">
        <w:rPr>
          <w:rFonts w:eastAsia="Cambria" w:cs="Times New Roman"/>
          <w:bCs/>
          <w:sz w:val="20"/>
          <w:szCs w:val="20"/>
          <w:lang w:val="es-ES"/>
        </w:rPr>
        <w:t>Sentencia.</w:t>
      </w:r>
    </w:p>
    <w:p w14:paraId="70751AFA" w14:textId="77777777" w:rsidR="009B01F7" w:rsidRDefault="009B01F7" w:rsidP="009B01F7">
      <w:pPr>
        <w:jc w:val="both"/>
        <w:rPr>
          <w:sz w:val="20"/>
          <w:szCs w:val="20"/>
        </w:rPr>
      </w:pPr>
    </w:p>
    <w:p w14:paraId="5798E713" w14:textId="77777777" w:rsidR="009B01F7" w:rsidRDefault="009B01F7" w:rsidP="009B01F7">
      <w:pPr>
        <w:jc w:val="both"/>
        <w:rPr>
          <w:sz w:val="20"/>
          <w:szCs w:val="20"/>
        </w:rPr>
      </w:pPr>
      <w:r w:rsidRPr="009B01F7">
        <w:rPr>
          <w:sz w:val="20"/>
          <w:szCs w:val="20"/>
        </w:rPr>
        <w:t>5.</w:t>
      </w:r>
      <w:r>
        <w:rPr>
          <w:sz w:val="20"/>
          <w:szCs w:val="20"/>
        </w:rPr>
        <w:tab/>
      </w:r>
      <w:r w:rsidRPr="009B01F7">
        <w:rPr>
          <w:sz w:val="20"/>
          <w:szCs w:val="20"/>
        </w:rPr>
        <w:t>Pagar al señor Daniel Tibi la cantidad total de €37.282,00 (t</w:t>
      </w:r>
      <w:r>
        <w:rPr>
          <w:sz w:val="20"/>
          <w:szCs w:val="20"/>
        </w:rPr>
        <w:t xml:space="preserve">reinta y siete mil doscientos </w:t>
      </w:r>
      <w:r w:rsidRPr="009B01F7">
        <w:rPr>
          <w:sz w:val="20"/>
          <w:szCs w:val="20"/>
        </w:rPr>
        <w:t xml:space="preserve">ochenta y dos euros), por concepto de las costas y </w:t>
      </w:r>
      <w:r>
        <w:rPr>
          <w:sz w:val="20"/>
          <w:szCs w:val="20"/>
        </w:rPr>
        <w:t xml:space="preserve">gastos en que incurrieron en el </w:t>
      </w:r>
      <w:r w:rsidRPr="009B01F7">
        <w:rPr>
          <w:sz w:val="20"/>
          <w:szCs w:val="20"/>
        </w:rPr>
        <w:t>proceso interno y en el procedimiento internacional an</w:t>
      </w:r>
      <w:r>
        <w:rPr>
          <w:sz w:val="20"/>
          <w:szCs w:val="20"/>
        </w:rPr>
        <w:t xml:space="preserve">te el sistema interamericano de protección de </w:t>
      </w:r>
      <w:r w:rsidRPr="009B01F7">
        <w:rPr>
          <w:sz w:val="20"/>
          <w:szCs w:val="20"/>
        </w:rPr>
        <w:t>los derechos humanos, en los términos de lo</w:t>
      </w:r>
      <w:r>
        <w:rPr>
          <w:sz w:val="20"/>
          <w:szCs w:val="20"/>
        </w:rPr>
        <w:t xml:space="preserve">s párrafos 268 a 270 de la </w:t>
      </w:r>
      <w:r w:rsidRPr="009B01F7">
        <w:rPr>
          <w:sz w:val="20"/>
          <w:szCs w:val="20"/>
        </w:rPr>
        <w:t>presente Sentencia.</w:t>
      </w:r>
    </w:p>
    <w:p w14:paraId="1FE5A04B" w14:textId="77777777" w:rsidR="009B01F7" w:rsidRDefault="009B01F7" w:rsidP="009B01F7">
      <w:pPr>
        <w:jc w:val="both"/>
        <w:rPr>
          <w:sz w:val="20"/>
          <w:szCs w:val="20"/>
        </w:rPr>
      </w:pPr>
    </w:p>
    <w:p w14:paraId="47430F4C" w14:textId="77777777" w:rsidR="006663F3" w:rsidRDefault="006663F3" w:rsidP="006663F3">
      <w:pPr>
        <w:jc w:val="both"/>
        <w:rPr>
          <w:b/>
          <w:sz w:val="20"/>
          <w:szCs w:val="20"/>
          <w:lang w:val="es-ES"/>
        </w:rPr>
      </w:pPr>
      <w:r>
        <w:rPr>
          <w:b/>
          <w:sz w:val="20"/>
          <w:szCs w:val="20"/>
          <w:lang w:val="es-ES"/>
        </w:rPr>
        <w:t>Cumplimiento parcial:</w:t>
      </w:r>
    </w:p>
    <w:p w14:paraId="72AEBD55" w14:textId="77777777" w:rsidR="006663F3" w:rsidRDefault="006663F3" w:rsidP="006663F3">
      <w:pPr>
        <w:jc w:val="both"/>
        <w:rPr>
          <w:b/>
          <w:sz w:val="20"/>
          <w:szCs w:val="20"/>
          <w:lang w:val="es-ES"/>
        </w:rPr>
      </w:pPr>
    </w:p>
    <w:p w14:paraId="34A26735" w14:textId="77777777" w:rsidR="002B7E8D" w:rsidRDefault="002B7E8D" w:rsidP="006663F3">
      <w:pPr>
        <w:tabs>
          <w:tab w:val="left" w:pos="720"/>
        </w:tabs>
        <w:ind w:right="-90"/>
        <w:jc w:val="both"/>
        <w:rPr>
          <w:rFonts w:eastAsia="Cambria" w:cs="Times New Roman"/>
          <w:bCs/>
          <w:sz w:val="20"/>
          <w:szCs w:val="20"/>
          <w:lang w:val="es-ES"/>
        </w:rPr>
      </w:pPr>
      <w:r>
        <w:rPr>
          <w:rFonts w:eastAsia="Cambria" w:cs="Times New Roman"/>
          <w:bCs/>
          <w:sz w:val="20"/>
          <w:szCs w:val="20"/>
          <w:lang w:val="es-ES"/>
        </w:rPr>
        <w:t>6.</w:t>
      </w:r>
      <w:r>
        <w:rPr>
          <w:rFonts w:eastAsia="Cambria" w:cs="Times New Roman"/>
          <w:bCs/>
          <w:sz w:val="20"/>
          <w:szCs w:val="20"/>
          <w:lang w:val="es-ES"/>
        </w:rPr>
        <w:tab/>
      </w:r>
      <w:r w:rsidRPr="002B7E8D">
        <w:rPr>
          <w:rFonts w:eastAsia="Cambria" w:cs="Times New Roman"/>
          <w:bCs/>
          <w:sz w:val="20"/>
          <w:szCs w:val="20"/>
          <w:lang w:val="es-ES"/>
        </w:rPr>
        <w:t>El Estado debe establecer un programa de formación y capacitación para el personal</w:t>
      </w:r>
      <w:r>
        <w:rPr>
          <w:rFonts w:eastAsia="Cambria" w:cs="Times New Roman"/>
          <w:bCs/>
          <w:sz w:val="20"/>
          <w:szCs w:val="20"/>
          <w:lang w:val="es-ES"/>
        </w:rPr>
        <w:t xml:space="preserve"> </w:t>
      </w:r>
      <w:r w:rsidRPr="002B7E8D">
        <w:rPr>
          <w:rFonts w:eastAsia="Cambria" w:cs="Times New Roman"/>
          <w:bCs/>
          <w:sz w:val="20"/>
          <w:szCs w:val="20"/>
          <w:lang w:val="es-ES"/>
        </w:rPr>
        <w:t>judicial, del ministerio público, policial y penitenciario,</w:t>
      </w:r>
      <w:r>
        <w:rPr>
          <w:rFonts w:eastAsia="Cambria" w:cs="Times New Roman"/>
          <w:bCs/>
          <w:sz w:val="20"/>
          <w:szCs w:val="20"/>
          <w:lang w:val="es-ES"/>
        </w:rPr>
        <w:t xml:space="preserve"> incluyendo al personal médico, </w:t>
      </w:r>
      <w:r w:rsidRPr="002B7E8D">
        <w:rPr>
          <w:rFonts w:eastAsia="Cambria" w:cs="Times New Roman"/>
          <w:bCs/>
          <w:sz w:val="20"/>
          <w:szCs w:val="20"/>
          <w:lang w:val="es-ES"/>
        </w:rPr>
        <w:t>psiquiátrico y psicológico, sobre los principios y norma</w:t>
      </w:r>
      <w:r>
        <w:rPr>
          <w:rFonts w:eastAsia="Cambria" w:cs="Times New Roman"/>
          <w:bCs/>
          <w:sz w:val="20"/>
          <w:szCs w:val="20"/>
          <w:lang w:val="es-ES"/>
        </w:rPr>
        <w:t xml:space="preserve">s de protección de los derechos </w:t>
      </w:r>
      <w:r w:rsidRPr="002B7E8D">
        <w:rPr>
          <w:rFonts w:eastAsia="Cambria" w:cs="Times New Roman"/>
          <w:bCs/>
          <w:sz w:val="20"/>
          <w:szCs w:val="20"/>
          <w:lang w:val="es-ES"/>
        </w:rPr>
        <w:t>humanos en el tratamiento de reclusos. El diseño e</w:t>
      </w:r>
      <w:r>
        <w:rPr>
          <w:rFonts w:eastAsia="Cambria" w:cs="Times New Roman"/>
          <w:bCs/>
          <w:sz w:val="20"/>
          <w:szCs w:val="20"/>
          <w:lang w:val="es-ES"/>
        </w:rPr>
        <w:t xml:space="preserve"> implementación del programa de </w:t>
      </w:r>
      <w:r w:rsidRPr="002B7E8D">
        <w:rPr>
          <w:rFonts w:eastAsia="Cambria" w:cs="Times New Roman"/>
          <w:bCs/>
          <w:sz w:val="20"/>
          <w:szCs w:val="20"/>
          <w:lang w:val="es-ES"/>
        </w:rPr>
        <w:t>capacitación, deberá incluir la asignación de recursos</w:t>
      </w:r>
      <w:r>
        <w:rPr>
          <w:rFonts w:eastAsia="Cambria" w:cs="Times New Roman"/>
          <w:bCs/>
          <w:sz w:val="20"/>
          <w:szCs w:val="20"/>
          <w:lang w:val="es-ES"/>
        </w:rPr>
        <w:t xml:space="preserve"> específicos para conseguir sus </w:t>
      </w:r>
      <w:r w:rsidRPr="002B7E8D">
        <w:rPr>
          <w:rFonts w:eastAsia="Cambria" w:cs="Times New Roman"/>
          <w:bCs/>
          <w:sz w:val="20"/>
          <w:szCs w:val="20"/>
          <w:lang w:val="es-ES"/>
        </w:rPr>
        <w:t>fines y se realizará con la participación de la sociedad civil</w:t>
      </w:r>
      <w:r>
        <w:rPr>
          <w:rFonts w:eastAsia="Cambria" w:cs="Times New Roman"/>
          <w:bCs/>
          <w:sz w:val="20"/>
          <w:szCs w:val="20"/>
          <w:lang w:val="es-ES"/>
        </w:rPr>
        <w:t xml:space="preserve">. Para estos efectos, el Estado </w:t>
      </w:r>
      <w:r w:rsidRPr="002B7E8D">
        <w:rPr>
          <w:rFonts w:eastAsia="Cambria" w:cs="Times New Roman"/>
          <w:bCs/>
          <w:sz w:val="20"/>
          <w:szCs w:val="20"/>
          <w:lang w:val="es-ES"/>
        </w:rPr>
        <w:t>deberá crear un comité interinstitucional con el fin de defi</w:t>
      </w:r>
      <w:r>
        <w:rPr>
          <w:rFonts w:eastAsia="Cambria" w:cs="Times New Roman"/>
          <w:bCs/>
          <w:sz w:val="20"/>
          <w:szCs w:val="20"/>
          <w:lang w:val="es-ES"/>
        </w:rPr>
        <w:t xml:space="preserve">nir y ejecutar los programas de </w:t>
      </w:r>
      <w:r w:rsidRPr="002B7E8D">
        <w:rPr>
          <w:rFonts w:eastAsia="Cambria" w:cs="Times New Roman"/>
          <w:bCs/>
          <w:sz w:val="20"/>
          <w:szCs w:val="20"/>
          <w:lang w:val="es-ES"/>
        </w:rPr>
        <w:t xml:space="preserve">capacitación en derechos humanos y tratamiento de reclusos. El Estado </w:t>
      </w:r>
      <w:r>
        <w:rPr>
          <w:rFonts w:eastAsia="Cambria" w:cs="Times New Roman"/>
          <w:bCs/>
          <w:sz w:val="20"/>
          <w:szCs w:val="20"/>
          <w:lang w:val="es-ES"/>
        </w:rPr>
        <w:t xml:space="preserve">deberá informar </w:t>
      </w:r>
      <w:r w:rsidRPr="002B7E8D">
        <w:rPr>
          <w:rFonts w:eastAsia="Cambria" w:cs="Times New Roman"/>
          <w:bCs/>
          <w:sz w:val="20"/>
          <w:szCs w:val="20"/>
          <w:lang w:val="es-ES"/>
        </w:rPr>
        <w:t>a esta Corte sobre la constitución y funcionamiento de e</w:t>
      </w:r>
      <w:r>
        <w:rPr>
          <w:rFonts w:eastAsia="Cambria" w:cs="Times New Roman"/>
          <w:bCs/>
          <w:sz w:val="20"/>
          <w:szCs w:val="20"/>
          <w:lang w:val="es-ES"/>
        </w:rPr>
        <w:t xml:space="preserve">ste comité, en el plazo de seis </w:t>
      </w:r>
      <w:r w:rsidRPr="002B7E8D">
        <w:rPr>
          <w:rFonts w:eastAsia="Cambria" w:cs="Times New Roman"/>
          <w:bCs/>
          <w:sz w:val="20"/>
          <w:szCs w:val="20"/>
          <w:lang w:val="es-ES"/>
        </w:rPr>
        <w:t>meses en los términos de los párrafos 262 a 264 de la presente Sentencia.</w:t>
      </w:r>
      <w:r>
        <w:rPr>
          <w:rFonts w:eastAsia="Cambria" w:cs="Times New Roman"/>
          <w:bCs/>
          <w:sz w:val="20"/>
          <w:szCs w:val="20"/>
          <w:lang w:val="es-ES"/>
        </w:rPr>
        <w:t xml:space="preserve"> </w:t>
      </w:r>
    </w:p>
    <w:p w14:paraId="555E2382" w14:textId="77777777" w:rsidR="002B7E8D" w:rsidRDefault="002B7E8D" w:rsidP="006663F3">
      <w:pPr>
        <w:tabs>
          <w:tab w:val="left" w:pos="720"/>
        </w:tabs>
        <w:ind w:right="-90"/>
        <w:jc w:val="both"/>
        <w:rPr>
          <w:rFonts w:eastAsia="Cambria" w:cs="Times New Roman"/>
          <w:bCs/>
          <w:sz w:val="20"/>
          <w:szCs w:val="20"/>
          <w:lang w:val="es-ES"/>
        </w:rPr>
      </w:pPr>
    </w:p>
    <w:p w14:paraId="17852877" w14:textId="634B5EFE" w:rsidR="006663F3" w:rsidRDefault="006663F3" w:rsidP="006663F3">
      <w:pPr>
        <w:tabs>
          <w:tab w:val="left" w:pos="720"/>
        </w:tabs>
        <w:ind w:right="-90"/>
        <w:jc w:val="both"/>
        <w:rPr>
          <w:rFonts w:eastAsia="Cambria" w:cs="Times New Roman"/>
          <w:bCs/>
          <w:sz w:val="20"/>
          <w:szCs w:val="20"/>
          <w:lang w:val="es-ES"/>
        </w:rPr>
      </w:pPr>
      <w:r>
        <w:rPr>
          <w:rFonts w:eastAsia="Cambria" w:cs="Times New Roman"/>
          <w:bCs/>
          <w:sz w:val="20"/>
          <w:szCs w:val="20"/>
          <w:lang w:val="es-ES"/>
        </w:rPr>
        <w:t xml:space="preserve">En </w:t>
      </w:r>
      <w:r w:rsidR="0098030B">
        <w:rPr>
          <w:rFonts w:eastAsia="Cambria" w:cs="Times New Roman"/>
          <w:bCs/>
          <w:sz w:val="20"/>
          <w:szCs w:val="20"/>
          <w:lang w:val="es-ES"/>
        </w:rPr>
        <w:t>los Considerandos 27, 29 y 30</w:t>
      </w:r>
      <w:r>
        <w:rPr>
          <w:rFonts w:eastAsia="Cambria" w:cs="Times New Roman"/>
          <w:bCs/>
          <w:sz w:val="20"/>
          <w:szCs w:val="20"/>
          <w:lang w:val="es-ES"/>
        </w:rPr>
        <w:t xml:space="preserve"> de la </w:t>
      </w:r>
      <w:r w:rsidR="0098030B">
        <w:rPr>
          <w:rFonts w:eastAsia="Cambria" w:cs="Times New Roman"/>
          <w:bCs/>
          <w:sz w:val="20"/>
          <w:szCs w:val="20"/>
          <w:lang w:val="es-ES"/>
        </w:rPr>
        <w:t>R</w:t>
      </w:r>
      <w:r>
        <w:rPr>
          <w:rFonts w:eastAsia="Cambria" w:cs="Times New Roman"/>
          <w:bCs/>
          <w:sz w:val="20"/>
          <w:szCs w:val="20"/>
          <w:lang w:val="es-ES"/>
        </w:rPr>
        <w:t xml:space="preserve">esolución de </w:t>
      </w:r>
      <w:r w:rsidR="009C77DF">
        <w:rPr>
          <w:rFonts w:eastAsia="Cambria" w:cs="Times New Roman"/>
          <w:bCs/>
          <w:sz w:val="20"/>
          <w:szCs w:val="20"/>
          <w:lang w:val="es-ES"/>
        </w:rPr>
        <w:t>21</w:t>
      </w:r>
      <w:r w:rsidR="00B375FF">
        <w:rPr>
          <w:rFonts w:eastAsia="Cambria" w:cs="Times New Roman"/>
          <w:bCs/>
          <w:sz w:val="20"/>
          <w:szCs w:val="20"/>
          <w:lang w:val="es-ES"/>
        </w:rPr>
        <w:t xml:space="preserve"> de </w:t>
      </w:r>
      <w:r w:rsidR="009C77DF">
        <w:rPr>
          <w:rFonts w:eastAsia="Cambria" w:cs="Times New Roman"/>
          <w:bCs/>
          <w:sz w:val="20"/>
          <w:szCs w:val="20"/>
          <w:lang w:val="es-ES"/>
        </w:rPr>
        <w:t>marzo</w:t>
      </w:r>
      <w:r w:rsidR="00B375FF">
        <w:rPr>
          <w:rFonts w:eastAsia="Cambria" w:cs="Times New Roman"/>
          <w:bCs/>
          <w:sz w:val="20"/>
          <w:szCs w:val="20"/>
          <w:lang w:val="es-ES"/>
        </w:rPr>
        <w:t xml:space="preserve"> de </w:t>
      </w:r>
      <w:r w:rsidR="009C77DF">
        <w:rPr>
          <w:rFonts w:eastAsia="Cambria" w:cs="Times New Roman"/>
          <w:bCs/>
          <w:sz w:val="20"/>
          <w:szCs w:val="20"/>
          <w:lang w:val="es-ES"/>
        </w:rPr>
        <w:t>2023</w:t>
      </w:r>
      <w:r>
        <w:rPr>
          <w:rFonts w:eastAsia="Cambria" w:cs="Times New Roman"/>
          <w:bCs/>
          <w:sz w:val="20"/>
          <w:szCs w:val="20"/>
          <w:lang w:val="es-ES"/>
        </w:rPr>
        <w:t xml:space="preserve">, se explica </w:t>
      </w:r>
      <w:r w:rsidRPr="00AA6B2F">
        <w:rPr>
          <w:rFonts w:eastAsia="Cambria" w:cs="Times New Roman"/>
          <w:bCs/>
          <w:sz w:val="20"/>
          <w:szCs w:val="20"/>
          <w:lang w:val="es-ES"/>
        </w:rPr>
        <w:t>lo que continúa pendiente de cumplimiento respecto a la presente medida de reparación:</w:t>
      </w:r>
    </w:p>
    <w:p w14:paraId="6A6E28D5" w14:textId="77777777" w:rsidR="006663F3" w:rsidRPr="0098030B" w:rsidRDefault="006663F3" w:rsidP="006663F3">
      <w:pPr>
        <w:tabs>
          <w:tab w:val="left" w:pos="720"/>
        </w:tabs>
        <w:ind w:right="-90"/>
        <w:jc w:val="both"/>
        <w:rPr>
          <w:rFonts w:eastAsia="Cambria" w:cs="Times New Roman"/>
          <w:bCs/>
          <w:szCs w:val="16"/>
          <w:lang w:val="es-ES"/>
        </w:rPr>
      </w:pPr>
    </w:p>
    <w:p w14:paraId="1C0BA523" w14:textId="77777777" w:rsidR="0098030B" w:rsidRPr="0098030B" w:rsidRDefault="0098030B" w:rsidP="006663F3">
      <w:pPr>
        <w:tabs>
          <w:tab w:val="left" w:pos="720"/>
        </w:tabs>
        <w:ind w:left="567" w:right="567"/>
        <w:jc w:val="both"/>
        <w:rPr>
          <w:szCs w:val="16"/>
        </w:rPr>
      </w:pPr>
      <w:r w:rsidRPr="0098030B">
        <w:rPr>
          <w:szCs w:val="16"/>
        </w:rPr>
        <w:t xml:space="preserve">27. La Corte valora positivamente que el Estado ha venido realizando diversas actividades de capacitación; sin embargo, efectuando una revisión de la documentación aportada sobre las acciones que se han implementado hasta la fecha, no es posible identificar que actualmente exista un programa de formación permanente, dirigido tanto a personal del ministerio público como penitenciario, incluyendo al personal médico, psiquiátrico y psicológico, que aborde los ejes temáticos dispuestos en la Sentencia. </w:t>
      </w:r>
    </w:p>
    <w:p w14:paraId="2F39FECB" w14:textId="77777777" w:rsidR="0098030B" w:rsidRPr="0098030B" w:rsidRDefault="0098030B" w:rsidP="006663F3">
      <w:pPr>
        <w:tabs>
          <w:tab w:val="left" w:pos="720"/>
        </w:tabs>
        <w:ind w:left="567" w:right="567"/>
        <w:jc w:val="both"/>
        <w:rPr>
          <w:szCs w:val="16"/>
        </w:rPr>
      </w:pPr>
    </w:p>
    <w:p w14:paraId="480DC7C4" w14:textId="463E5F32" w:rsidR="0098030B" w:rsidRPr="0098030B" w:rsidRDefault="0098030B" w:rsidP="006663F3">
      <w:pPr>
        <w:tabs>
          <w:tab w:val="left" w:pos="720"/>
        </w:tabs>
        <w:ind w:left="567" w:right="567"/>
        <w:jc w:val="both"/>
        <w:rPr>
          <w:rFonts w:eastAsia="Cambria" w:cs="Times New Roman"/>
          <w:bCs/>
          <w:szCs w:val="16"/>
        </w:rPr>
      </w:pPr>
      <w:r w:rsidRPr="0098030B">
        <w:rPr>
          <w:szCs w:val="16"/>
        </w:rPr>
        <w:t xml:space="preserve">29. Asimismo, en lo que respecta al “comité interinstitucional” que el Estado debía crear para efectos de “definir y ejecutar [los referidos] programas de capacitación” y que tuvo por acreditado en la Resolución de supervisión de 2011, según lo informado por los representantes, la transformación en 2018 del Ministerio de Justicia y Derechos Humanos en la Secretaría de Derechos Humanos (actual Ministerio de la Mujer y Derechos Humanos) implicó la disolución del área que fungía como un “comité interinstitucional”. Los representantes consideran necesario que se constituya un comité para tales efectos, que permita la participación de la sociedad civil. La Comisión coincidió “en cuanto a la importancia que tiene la participación de la sociedad civil, incluyendo las propias personas privadas de libertad en el cumplimiento de esta reparación”. Al respecto, en sus informes de agosto de 2022 y febrero de 2023 el Estado mantuvo </w:t>
      </w:r>
      <w:r w:rsidR="009C77DF" w:rsidRPr="0098030B">
        <w:rPr>
          <w:rFonts w:eastAsia="Cambria" w:cs="Times New Roman"/>
          <w:bCs/>
          <w:szCs w:val="16"/>
        </w:rPr>
        <w:t xml:space="preserve">dos posturas diferentes sobre el cumplimiento de ese extremo y lo solicitado por los representantes. En este sentido, el Tribunal estima necesario que el Estado proporcione </w:t>
      </w:r>
      <w:proofErr w:type="gramStart"/>
      <w:r w:rsidR="009C77DF" w:rsidRPr="0098030B">
        <w:rPr>
          <w:rFonts w:eastAsia="Cambria" w:cs="Times New Roman"/>
          <w:bCs/>
          <w:szCs w:val="16"/>
        </w:rPr>
        <w:t>mayor información</w:t>
      </w:r>
      <w:proofErr w:type="gramEnd"/>
      <w:r w:rsidR="009C77DF" w:rsidRPr="0098030B">
        <w:rPr>
          <w:rFonts w:eastAsia="Cambria" w:cs="Times New Roman"/>
          <w:bCs/>
          <w:szCs w:val="16"/>
        </w:rPr>
        <w:t xml:space="preserve"> sobre las actividades interinstitucionales que impulsa dicho Ministerio para la ejecución de esta medida de reparación y que permita la participación de la sociedad civil. </w:t>
      </w:r>
    </w:p>
    <w:p w14:paraId="7504D243" w14:textId="77777777" w:rsidR="0098030B" w:rsidRPr="0098030B" w:rsidRDefault="0098030B" w:rsidP="006663F3">
      <w:pPr>
        <w:tabs>
          <w:tab w:val="left" w:pos="720"/>
        </w:tabs>
        <w:ind w:left="567" w:right="567"/>
        <w:jc w:val="both"/>
        <w:rPr>
          <w:rFonts w:eastAsia="Cambria" w:cs="Times New Roman"/>
          <w:bCs/>
          <w:szCs w:val="16"/>
        </w:rPr>
      </w:pPr>
    </w:p>
    <w:p w14:paraId="4E8CD86D" w14:textId="53B58038" w:rsidR="006663F3" w:rsidRPr="0098030B" w:rsidRDefault="009C77DF" w:rsidP="006663F3">
      <w:pPr>
        <w:tabs>
          <w:tab w:val="left" w:pos="720"/>
        </w:tabs>
        <w:ind w:left="567" w:right="567"/>
        <w:jc w:val="both"/>
        <w:rPr>
          <w:rFonts w:eastAsia="Cambria" w:cs="Times New Roman"/>
          <w:bCs/>
          <w:szCs w:val="16"/>
        </w:rPr>
      </w:pPr>
      <w:r w:rsidRPr="0098030B">
        <w:rPr>
          <w:rFonts w:eastAsia="Cambria" w:cs="Times New Roman"/>
          <w:bCs/>
          <w:szCs w:val="16"/>
        </w:rPr>
        <w:t>30. Por lo expuesto, este Tribunal concluye que la garantía de no repetición relativa a la capacitación de funcionarios públicos sobre los principios y normas de protección de los derechos humanos en el tratamiento de los reclusos, dispuesta en el punto resolutivo décimo tercero de la Sentencia, continúa parcialmente cumplida. Para valorar el cumplimiento total de esta reparación, se requiere que el Estado remita la información indicada en los Considerandos 27 a 29, y acompañe el respaldo documental correspondiente.</w:t>
      </w:r>
    </w:p>
    <w:p w14:paraId="0C57AA4A" w14:textId="77777777" w:rsidR="006663F3" w:rsidRPr="0098030B" w:rsidRDefault="006663F3" w:rsidP="006663F3">
      <w:pPr>
        <w:jc w:val="both"/>
        <w:rPr>
          <w:szCs w:val="16"/>
        </w:rPr>
      </w:pPr>
    </w:p>
    <w:p w14:paraId="1A2C8073" w14:textId="77777777" w:rsidR="00D3440D" w:rsidRPr="00C4747D" w:rsidRDefault="00D3440D" w:rsidP="00D3440D">
      <w:pPr>
        <w:jc w:val="both"/>
        <w:rPr>
          <w:sz w:val="20"/>
          <w:szCs w:val="20"/>
        </w:rPr>
      </w:pPr>
    </w:p>
    <w:sectPr w:rsidR="00D3440D" w:rsidRPr="00C4747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F2FAD" w14:textId="77777777" w:rsidR="00D06797" w:rsidRDefault="00D06797" w:rsidP="009F7EF4">
      <w:r>
        <w:separator/>
      </w:r>
    </w:p>
  </w:endnote>
  <w:endnote w:type="continuationSeparator" w:id="0">
    <w:p w14:paraId="553A1D42" w14:textId="77777777" w:rsidR="00D06797" w:rsidRDefault="00D06797"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2B42"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FA15B7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C8570" w14:textId="77777777" w:rsidR="00D06797" w:rsidRDefault="00D06797" w:rsidP="009F7EF4">
      <w:r>
        <w:separator/>
      </w:r>
    </w:p>
  </w:footnote>
  <w:footnote w:type="continuationSeparator" w:id="0">
    <w:p w14:paraId="3FD85A09" w14:textId="77777777" w:rsidR="00D06797" w:rsidRDefault="00D06797"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6CA57E01"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AC4EB2">
          <w:rPr>
            <w:noProof/>
            <w:sz w:val="20"/>
            <w:szCs w:val="20"/>
          </w:rPr>
          <w:t>2</w:t>
        </w:r>
        <w:r w:rsidRPr="00675FE7">
          <w:rPr>
            <w:noProof/>
            <w:sz w:val="20"/>
            <w:szCs w:val="20"/>
          </w:rPr>
          <w:fldChar w:fldCharType="end"/>
        </w:r>
      </w:p>
    </w:sdtContent>
  </w:sdt>
  <w:p w14:paraId="23DFE899"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C703A"/>
    <w:multiLevelType w:val="hybridMultilevel"/>
    <w:tmpl w:val="876006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6D67852"/>
    <w:multiLevelType w:val="hybridMultilevel"/>
    <w:tmpl w:val="B36E297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E672BEB"/>
    <w:multiLevelType w:val="hybridMultilevel"/>
    <w:tmpl w:val="871006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8"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9"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4393506">
    <w:abstractNumId w:val="9"/>
  </w:num>
  <w:num w:numId="2" w16cid:durableId="1073770284">
    <w:abstractNumId w:val="2"/>
  </w:num>
  <w:num w:numId="3" w16cid:durableId="684093116">
    <w:abstractNumId w:val="8"/>
  </w:num>
  <w:num w:numId="4" w16cid:durableId="63653033">
    <w:abstractNumId w:val="0"/>
  </w:num>
  <w:num w:numId="5" w16cid:durableId="98137098">
    <w:abstractNumId w:val="1"/>
  </w:num>
  <w:num w:numId="6" w16cid:durableId="1078359200">
    <w:abstractNumId w:val="4"/>
  </w:num>
  <w:num w:numId="7" w16cid:durableId="1749039994">
    <w:abstractNumId w:val="7"/>
  </w:num>
  <w:num w:numId="8" w16cid:durableId="1226139331">
    <w:abstractNumId w:val="3"/>
  </w:num>
  <w:num w:numId="9" w16cid:durableId="46228997">
    <w:abstractNumId w:val="5"/>
  </w:num>
  <w:num w:numId="10" w16cid:durableId="14294253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930F6"/>
    <w:rsid w:val="00101CC6"/>
    <w:rsid w:val="00111252"/>
    <w:rsid w:val="001426AA"/>
    <w:rsid w:val="00296F77"/>
    <w:rsid w:val="002B3295"/>
    <w:rsid w:val="002B7E8D"/>
    <w:rsid w:val="003A7E5E"/>
    <w:rsid w:val="003C561A"/>
    <w:rsid w:val="00474D04"/>
    <w:rsid w:val="00476F6E"/>
    <w:rsid w:val="005C68A4"/>
    <w:rsid w:val="005D1A85"/>
    <w:rsid w:val="00617B3E"/>
    <w:rsid w:val="006663F3"/>
    <w:rsid w:val="006C38A6"/>
    <w:rsid w:val="006F2690"/>
    <w:rsid w:val="00774B82"/>
    <w:rsid w:val="00792726"/>
    <w:rsid w:val="00926FFB"/>
    <w:rsid w:val="0098030B"/>
    <w:rsid w:val="009832C0"/>
    <w:rsid w:val="009B01F7"/>
    <w:rsid w:val="009C77DF"/>
    <w:rsid w:val="009D22BE"/>
    <w:rsid w:val="009F7EF4"/>
    <w:rsid w:val="00A07758"/>
    <w:rsid w:val="00AC4EB2"/>
    <w:rsid w:val="00AE0035"/>
    <w:rsid w:val="00B11B9B"/>
    <w:rsid w:val="00B32A37"/>
    <w:rsid w:val="00B353D1"/>
    <w:rsid w:val="00B375FF"/>
    <w:rsid w:val="00BA6BA9"/>
    <w:rsid w:val="00BC5824"/>
    <w:rsid w:val="00C4747D"/>
    <w:rsid w:val="00C77C0C"/>
    <w:rsid w:val="00C807CF"/>
    <w:rsid w:val="00D06797"/>
    <w:rsid w:val="00D3440D"/>
    <w:rsid w:val="00E42392"/>
    <w:rsid w:val="00E85D9E"/>
    <w:rsid w:val="00EA0D60"/>
    <w:rsid w:val="00F50093"/>
    <w:rsid w:val="00F95487"/>
    <w:rsid w:val="00FD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07AF"/>
  <w15:docId w15:val="{035E7DBC-47E4-364E-BEE0-ADFDE69E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1062</Words>
  <Characters>5841</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Romina Troconis</cp:lastModifiedBy>
  <cp:revision>9</cp:revision>
  <cp:lastPrinted>2021-06-30T18:39:00Z</cp:lastPrinted>
  <dcterms:created xsi:type="dcterms:W3CDTF">2021-06-25T16:30:00Z</dcterms:created>
  <dcterms:modified xsi:type="dcterms:W3CDTF">2023-06-26T23:25:00Z</dcterms:modified>
</cp:coreProperties>
</file>