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35B5" w14:textId="77777777" w:rsidR="00214AB7" w:rsidRPr="00EA0D60" w:rsidRDefault="00214AB7" w:rsidP="00214AB7">
      <w:pPr>
        <w:jc w:val="center"/>
      </w:pPr>
      <w:r w:rsidRPr="00EA0D60">
        <w:rPr>
          <w:b/>
          <w:i/>
          <w:sz w:val="20"/>
          <w:szCs w:val="20"/>
          <w:u w:val="single"/>
          <w:lang w:val="es-CR"/>
        </w:rPr>
        <w:t xml:space="preserve">Caso Tibi Vs. Ecuador: </w:t>
      </w:r>
      <w:r w:rsidRPr="00EA0D60">
        <w:rPr>
          <w:b/>
          <w:sz w:val="20"/>
          <w:szCs w:val="20"/>
          <w:u w:val="single"/>
          <w:lang w:val="es-CR"/>
        </w:rPr>
        <w:t xml:space="preserve">reparaciones </w:t>
      </w:r>
      <w:r>
        <w:rPr>
          <w:b/>
          <w:sz w:val="20"/>
          <w:szCs w:val="20"/>
          <w:u w:val="single"/>
          <w:lang w:val="es-CR"/>
        </w:rPr>
        <w:t>pendientes de cumplimiento</w:t>
      </w:r>
    </w:p>
    <w:p w14:paraId="656128C2" w14:textId="77777777" w:rsidR="00296F77" w:rsidRDefault="00296F77" w:rsidP="00296F77">
      <w:pPr>
        <w:tabs>
          <w:tab w:val="left" w:pos="709"/>
        </w:tabs>
        <w:ind w:right="99"/>
        <w:jc w:val="both"/>
      </w:pPr>
    </w:p>
    <w:p w14:paraId="5B6589AB" w14:textId="77777777" w:rsidR="00214AB7" w:rsidRDefault="00214AB7" w:rsidP="00296F77">
      <w:pPr>
        <w:tabs>
          <w:tab w:val="left" w:pos="709"/>
        </w:tabs>
        <w:ind w:right="99"/>
        <w:jc w:val="both"/>
      </w:pPr>
    </w:p>
    <w:p w14:paraId="615F543D" w14:textId="77777777" w:rsidR="00AA6B2F" w:rsidRDefault="00214AB7" w:rsidP="00214AB7">
      <w:pPr>
        <w:tabs>
          <w:tab w:val="left" w:pos="720"/>
        </w:tabs>
        <w:ind w:right="-90"/>
        <w:jc w:val="both"/>
        <w:rPr>
          <w:rFonts w:eastAsia="Cambria" w:cs="Times New Roman"/>
          <w:bCs/>
          <w:sz w:val="20"/>
          <w:szCs w:val="20"/>
          <w:lang w:val="es-ES"/>
        </w:rPr>
      </w:pPr>
      <w:r>
        <w:rPr>
          <w:rFonts w:eastAsia="Cambria" w:cs="Times New Roman"/>
          <w:bCs/>
          <w:sz w:val="20"/>
          <w:szCs w:val="20"/>
          <w:lang w:val="es-ES"/>
        </w:rPr>
        <w:t>1.</w:t>
      </w:r>
      <w:r>
        <w:rPr>
          <w:rFonts w:eastAsia="Cambria" w:cs="Times New Roman"/>
          <w:bCs/>
          <w:sz w:val="20"/>
          <w:szCs w:val="20"/>
          <w:lang w:val="es-ES"/>
        </w:rPr>
        <w:tab/>
      </w:r>
      <w:r w:rsidRPr="00214AB7">
        <w:rPr>
          <w:rFonts w:eastAsia="Cambria" w:cs="Times New Roman"/>
          <w:bCs/>
          <w:sz w:val="20"/>
          <w:szCs w:val="20"/>
          <w:lang w:val="es-ES"/>
        </w:rPr>
        <w:t>Investigar efectivamente los hechos del presente caso, con el fin de identificar, juzgar y</w:t>
      </w:r>
      <w:r>
        <w:rPr>
          <w:rFonts w:eastAsia="Cambria" w:cs="Times New Roman"/>
          <w:bCs/>
          <w:sz w:val="20"/>
          <w:szCs w:val="20"/>
          <w:lang w:val="es-ES"/>
        </w:rPr>
        <w:t xml:space="preserve"> </w:t>
      </w:r>
      <w:r w:rsidRPr="00214AB7">
        <w:rPr>
          <w:rFonts w:eastAsia="Cambria" w:cs="Times New Roman"/>
          <w:bCs/>
          <w:sz w:val="20"/>
          <w:szCs w:val="20"/>
          <w:lang w:val="es-ES"/>
        </w:rPr>
        <w:t>sancionar a todos los autores de las violaciones cometidas en perjuicio del señor Daniel</w:t>
      </w:r>
      <w:r>
        <w:rPr>
          <w:rFonts w:eastAsia="Cambria" w:cs="Times New Roman"/>
          <w:bCs/>
          <w:sz w:val="20"/>
          <w:szCs w:val="20"/>
          <w:lang w:val="es-ES"/>
        </w:rPr>
        <w:t xml:space="preserve"> T</w:t>
      </w:r>
      <w:r w:rsidRPr="00214AB7">
        <w:rPr>
          <w:rFonts w:eastAsia="Cambria" w:cs="Times New Roman"/>
          <w:bCs/>
          <w:sz w:val="20"/>
          <w:szCs w:val="20"/>
          <w:lang w:val="es-ES"/>
        </w:rPr>
        <w:t>ibi. El resultado de este proceso deberá ser públicamente divulgado, en los términos</w:t>
      </w:r>
      <w:r>
        <w:rPr>
          <w:rFonts w:eastAsia="Cambria" w:cs="Times New Roman"/>
          <w:bCs/>
          <w:sz w:val="20"/>
          <w:szCs w:val="20"/>
          <w:lang w:val="es-ES"/>
        </w:rPr>
        <w:t xml:space="preserve"> </w:t>
      </w:r>
      <w:r w:rsidRPr="00214AB7">
        <w:rPr>
          <w:rFonts w:eastAsia="Cambria" w:cs="Times New Roman"/>
          <w:bCs/>
          <w:sz w:val="20"/>
          <w:szCs w:val="20"/>
          <w:lang w:val="es-ES"/>
        </w:rPr>
        <w:t>de los párrafos 254 a 259 de la presente Sentencia.</w:t>
      </w:r>
      <w:r w:rsidRPr="00214AB7">
        <w:rPr>
          <w:rFonts w:eastAsia="Cambria" w:cs="Times New Roman"/>
          <w:bCs/>
          <w:sz w:val="20"/>
          <w:szCs w:val="20"/>
          <w:lang w:val="es-ES"/>
        </w:rPr>
        <w:cr/>
      </w:r>
    </w:p>
    <w:p w14:paraId="212F9050" w14:textId="77777777" w:rsidR="00C4747D" w:rsidRDefault="00AA6B2F" w:rsidP="00B32A37">
      <w:pPr>
        <w:jc w:val="both"/>
        <w:rPr>
          <w:b/>
          <w:sz w:val="20"/>
          <w:szCs w:val="20"/>
          <w:lang w:val="es-ES"/>
        </w:rPr>
      </w:pPr>
      <w:r>
        <w:rPr>
          <w:b/>
          <w:sz w:val="20"/>
          <w:szCs w:val="20"/>
          <w:lang w:val="es-ES"/>
        </w:rPr>
        <w:t>Cumplimiento parcial:</w:t>
      </w:r>
    </w:p>
    <w:p w14:paraId="38C012F9" w14:textId="77777777" w:rsidR="00AA6B2F" w:rsidRDefault="00AA6B2F" w:rsidP="00B32A37">
      <w:pPr>
        <w:jc w:val="both"/>
        <w:rPr>
          <w:b/>
          <w:sz w:val="20"/>
          <w:szCs w:val="20"/>
          <w:lang w:val="es-ES"/>
        </w:rPr>
      </w:pPr>
    </w:p>
    <w:p w14:paraId="0E23BBDB" w14:textId="4DD51D9D" w:rsidR="0082400A" w:rsidRDefault="0082400A" w:rsidP="0082400A">
      <w:pPr>
        <w:tabs>
          <w:tab w:val="left" w:pos="720"/>
        </w:tabs>
        <w:ind w:right="-90"/>
        <w:jc w:val="both"/>
        <w:rPr>
          <w:rFonts w:eastAsia="Cambria" w:cs="Times New Roman"/>
          <w:bCs/>
          <w:sz w:val="20"/>
          <w:szCs w:val="20"/>
          <w:lang w:val="es-ES"/>
        </w:rPr>
      </w:pPr>
      <w:r>
        <w:rPr>
          <w:rFonts w:eastAsia="Cambria" w:cs="Times New Roman"/>
          <w:bCs/>
          <w:sz w:val="20"/>
          <w:szCs w:val="20"/>
          <w:lang w:val="es-ES"/>
        </w:rPr>
        <w:t>2</w:t>
      </w:r>
      <w:r>
        <w:rPr>
          <w:rFonts w:eastAsia="Cambria" w:cs="Times New Roman"/>
          <w:bCs/>
          <w:sz w:val="20"/>
          <w:szCs w:val="20"/>
          <w:lang w:val="es-ES"/>
        </w:rPr>
        <w:t>.</w:t>
      </w:r>
      <w:r>
        <w:rPr>
          <w:rFonts w:eastAsia="Cambria" w:cs="Times New Roman"/>
          <w:bCs/>
          <w:sz w:val="20"/>
          <w:szCs w:val="20"/>
          <w:lang w:val="es-ES"/>
        </w:rPr>
        <w:tab/>
      </w:r>
      <w:r w:rsidRPr="002B7E8D">
        <w:rPr>
          <w:rFonts w:eastAsia="Cambria" w:cs="Times New Roman"/>
          <w:bCs/>
          <w:sz w:val="20"/>
          <w:szCs w:val="20"/>
          <w:lang w:val="es-ES"/>
        </w:rPr>
        <w:t>El Estado debe establecer un programa de formación y capacitación para el personal</w:t>
      </w:r>
      <w:r>
        <w:rPr>
          <w:rFonts w:eastAsia="Cambria" w:cs="Times New Roman"/>
          <w:bCs/>
          <w:sz w:val="20"/>
          <w:szCs w:val="20"/>
          <w:lang w:val="es-ES"/>
        </w:rPr>
        <w:t xml:space="preserve"> </w:t>
      </w:r>
      <w:r w:rsidRPr="002B7E8D">
        <w:rPr>
          <w:rFonts w:eastAsia="Cambria" w:cs="Times New Roman"/>
          <w:bCs/>
          <w:sz w:val="20"/>
          <w:szCs w:val="20"/>
          <w:lang w:val="es-ES"/>
        </w:rPr>
        <w:t>judicial, del ministerio público, policial y penitenciario,</w:t>
      </w:r>
      <w:r>
        <w:rPr>
          <w:rFonts w:eastAsia="Cambria" w:cs="Times New Roman"/>
          <w:bCs/>
          <w:sz w:val="20"/>
          <w:szCs w:val="20"/>
          <w:lang w:val="es-ES"/>
        </w:rPr>
        <w:t xml:space="preserve"> incluyendo al personal médico, </w:t>
      </w:r>
      <w:r w:rsidRPr="002B7E8D">
        <w:rPr>
          <w:rFonts w:eastAsia="Cambria" w:cs="Times New Roman"/>
          <w:bCs/>
          <w:sz w:val="20"/>
          <w:szCs w:val="20"/>
          <w:lang w:val="es-ES"/>
        </w:rPr>
        <w:t>psiquiátrico y psicológico, sobre los principios y norma</w:t>
      </w:r>
      <w:r>
        <w:rPr>
          <w:rFonts w:eastAsia="Cambria" w:cs="Times New Roman"/>
          <w:bCs/>
          <w:sz w:val="20"/>
          <w:szCs w:val="20"/>
          <w:lang w:val="es-ES"/>
        </w:rPr>
        <w:t xml:space="preserve">s de protección de los derechos </w:t>
      </w:r>
      <w:r w:rsidRPr="002B7E8D">
        <w:rPr>
          <w:rFonts w:eastAsia="Cambria" w:cs="Times New Roman"/>
          <w:bCs/>
          <w:sz w:val="20"/>
          <w:szCs w:val="20"/>
          <w:lang w:val="es-ES"/>
        </w:rPr>
        <w:t>humanos en el tratamiento de reclusos. El diseño e</w:t>
      </w:r>
      <w:r>
        <w:rPr>
          <w:rFonts w:eastAsia="Cambria" w:cs="Times New Roman"/>
          <w:bCs/>
          <w:sz w:val="20"/>
          <w:szCs w:val="20"/>
          <w:lang w:val="es-ES"/>
        </w:rPr>
        <w:t xml:space="preserve"> implementación del programa de </w:t>
      </w:r>
      <w:r w:rsidRPr="002B7E8D">
        <w:rPr>
          <w:rFonts w:eastAsia="Cambria" w:cs="Times New Roman"/>
          <w:bCs/>
          <w:sz w:val="20"/>
          <w:szCs w:val="20"/>
          <w:lang w:val="es-ES"/>
        </w:rPr>
        <w:t>capacitación, deberá incluir la asignación de recursos</w:t>
      </w:r>
      <w:r>
        <w:rPr>
          <w:rFonts w:eastAsia="Cambria" w:cs="Times New Roman"/>
          <w:bCs/>
          <w:sz w:val="20"/>
          <w:szCs w:val="20"/>
          <w:lang w:val="es-ES"/>
        </w:rPr>
        <w:t xml:space="preserve"> específicos para conseguir sus </w:t>
      </w:r>
      <w:r w:rsidRPr="002B7E8D">
        <w:rPr>
          <w:rFonts w:eastAsia="Cambria" w:cs="Times New Roman"/>
          <w:bCs/>
          <w:sz w:val="20"/>
          <w:szCs w:val="20"/>
          <w:lang w:val="es-ES"/>
        </w:rPr>
        <w:t>fines y se realizará con la participación de la sociedad civil</w:t>
      </w:r>
      <w:r>
        <w:rPr>
          <w:rFonts w:eastAsia="Cambria" w:cs="Times New Roman"/>
          <w:bCs/>
          <w:sz w:val="20"/>
          <w:szCs w:val="20"/>
          <w:lang w:val="es-ES"/>
        </w:rPr>
        <w:t xml:space="preserve">. Para estos efectos, el Estado </w:t>
      </w:r>
      <w:r w:rsidRPr="002B7E8D">
        <w:rPr>
          <w:rFonts w:eastAsia="Cambria" w:cs="Times New Roman"/>
          <w:bCs/>
          <w:sz w:val="20"/>
          <w:szCs w:val="20"/>
          <w:lang w:val="es-ES"/>
        </w:rPr>
        <w:t>deberá crear un comité interinstitucional con el fin de defi</w:t>
      </w:r>
      <w:r>
        <w:rPr>
          <w:rFonts w:eastAsia="Cambria" w:cs="Times New Roman"/>
          <w:bCs/>
          <w:sz w:val="20"/>
          <w:szCs w:val="20"/>
          <w:lang w:val="es-ES"/>
        </w:rPr>
        <w:t xml:space="preserve">nir y ejecutar los programas de </w:t>
      </w:r>
      <w:r w:rsidRPr="002B7E8D">
        <w:rPr>
          <w:rFonts w:eastAsia="Cambria" w:cs="Times New Roman"/>
          <w:bCs/>
          <w:sz w:val="20"/>
          <w:szCs w:val="20"/>
          <w:lang w:val="es-ES"/>
        </w:rPr>
        <w:t xml:space="preserve">capacitación en derechos humanos y tratamiento de reclusos. El Estado </w:t>
      </w:r>
      <w:r>
        <w:rPr>
          <w:rFonts w:eastAsia="Cambria" w:cs="Times New Roman"/>
          <w:bCs/>
          <w:sz w:val="20"/>
          <w:szCs w:val="20"/>
          <w:lang w:val="es-ES"/>
        </w:rPr>
        <w:t xml:space="preserve">deberá informar </w:t>
      </w:r>
      <w:r w:rsidRPr="002B7E8D">
        <w:rPr>
          <w:rFonts w:eastAsia="Cambria" w:cs="Times New Roman"/>
          <w:bCs/>
          <w:sz w:val="20"/>
          <w:szCs w:val="20"/>
          <w:lang w:val="es-ES"/>
        </w:rPr>
        <w:t>a esta Corte sobre la constitución y funcionamiento de e</w:t>
      </w:r>
      <w:r>
        <w:rPr>
          <w:rFonts w:eastAsia="Cambria" w:cs="Times New Roman"/>
          <w:bCs/>
          <w:sz w:val="20"/>
          <w:szCs w:val="20"/>
          <w:lang w:val="es-ES"/>
        </w:rPr>
        <w:t xml:space="preserve">ste comité, en el plazo de seis </w:t>
      </w:r>
      <w:r w:rsidRPr="002B7E8D">
        <w:rPr>
          <w:rFonts w:eastAsia="Cambria" w:cs="Times New Roman"/>
          <w:bCs/>
          <w:sz w:val="20"/>
          <w:szCs w:val="20"/>
          <w:lang w:val="es-ES"/>
        </w:rPr>
        <w:t>meses en los términos de los párrafos 262 a 264 de la presente Sentencia.</w:t>
      </w:r>
      <w:r>
        <w:rPr>
          <w:rFonts w:eastAsia="Cambria" w:cs="Times New Roman"/>
          <w:bCs/>
          <w:sz w:val="20"/>
          <w:szCs w:val="20"/>
          <w:lang w:val="es-ES"/>
        </w:rPr>
        <w:t xml:space="preserve"> </w:t>
      </w:r>
    </w:p>
    <w:p w14:paraId="0BEA7D2E" w14:textId="77777777" w:rsidR="0082400A" w:rsidRDefault="0082400A" w:rsidP="0082400A">
      <w:pPr>
        <w:tabs>
          <w:tab w:val="left" w:pos="720"/>
        </w:tabs>
        <w:ind w:right="-90"/>
        <w:jc w:val="both"/>
        <w:rPr>
          <w:rFonts w:eastAsia="Cambria" w:cs="Times New Roman"/>
          <w:bCs/>
          <w:sz w:val="20"/>
          <w:szCs w:val="20"/>
          <w:lang w:val="es-ES"/>
        </w:rPr>
      </w:pPr>
    </w:p>
    <w:p w14:paraId="3DD0FF2A" w14:textId="77777777" w:rsidR="0082400A" w:rsidRDefault="0082400A" w:rsidP="0082400A">
      <w:pPr>
        <w:tabs>
          <w:tab w:val="left" w:pos="720"/>
        </w:tabs>
        <w:ind w:right="-90"/>
        <w:jc w:val="both"/>
        <w:rPr>
          <w:rFonts w:eastAsia="Cambria" w:cs="Times New Roman"/>
          <w:bCs/>
          <w:sz w:val="20"/>
          <w:szCs w:val="20"/>
          <w:lang w:val="es-ES"/>
        </w:rPr>
      </w:pPr>
      <w:r>
        <w:rPr>
          <w:rFonts w:eastAsia="Cambria" w:cs="Times New Roman"/>
          <w:bCs/>
          <w:sz w:val="20"/>
          <w:szCs w:val="20"/>
          <w:lang w:val="es-ES"/>
        </w:rPr>
        <w:t xml:space="preserve">En los Considerandos 27, 29 y 30 de la Resolución de 21 de marzo de 2023, se explica </w:t>
      </w:r>
      <w:r w:rsidRPr="00AA6B2F">
        <w:rPr>
          <w:rFonts w:eastAsia="Cambria" w:cs="Times New Roman"/>
          <w:bCs/>
          <w:sz w:val="20"/>
          <w:szCs w:val="20"/>
          <w:lang w:val="es-ES"/>
        </w:rPr>
        <w:t>lo que continúa pendiente de cumplimiento respecto a la presente medida de reparación:</w:t>
      </w:r>
    </w:p>
    <w:p w14:paraId="15D9C39B" w14:textId="77777777" w:rsidR="0082400A" w:rsidRPr="0098030B" w:rsidRDefault="0082400A" w:rsidP="0082400A">
      <w:pPr>
        <w:tabs>
          <w:tab w:val="left" w:pos="720"/>
        </w:tabs>
        <w:ind w:right="-90"/>
        <w:jc w:val="both"/>
        <w:rPr>
          <w:rFonts w:eastAsia="Cambria" w:cs="Times New Roman"/>
          <w:bCs/>
          <w:szCs w:val="16"/>
          <w:lang w:val="es-ES"/>
        </w:rPr>
      </w:pPr>
    </w:p>
    <w:p w14:paraId="5E31C083" w14:textId="77777777" w:rsidR="0082400A" w:rsidRPr="0098030B" w:rsidRDefault="0082400A" w:rsidP="0082400A">
      <w:pPr>
        <w:tabs>
          <w:tab w:val="left" w:pos="720"/>
        </w:tabs>
        <w:ind w:left="567" w:right="567"/>
        <w:jc w:val="both"/>
        <w:rPr>
          <w:szCs w:val="16"/>
        </w:rPr>
      </w:pPr>
      <w:r w:rsidRPr="0098030B">
        <w:rPr>
          <w:szCs w:val="16"/>
        </w:rPr>
        <w:t xml:space="preserve">27. La Corte valora positivamente que el Estado ha venido realizando diversas actividades de capacitación; sin embargo, efectuando una revisión de la documentación aportada sobre las acciones que se han implementado hasta la fecha, no es posible identificar que actualmente exista un programa de formación permanente, dirigido tanto a personal del ministerio público como penitenciario, incluyendo al personal médico, psiquiátrico y psicológico, que aborde los ejes temáticos dispuestos en la Sentencia. </w:t>
      </w:r>
    </w:p>
    <w:p w14:paraId="35B34C10" w14:textId="77777777" w:rsidR="0082400A" w:rsidRPr="0098030B" w:rsidRDefault="0082400A" w:rsidP="0082400A">
      <w:pPr>
        <w:tabs>
          <w:tab w:val="left" w:pos="720"/>
        </w:tabs>
        <w:ind w:left="567" w:right="567"/>
        <w:jc w:val="both"/>
        <w:rPr>
          <w:szCs w:val="16"/>
        </w:rPr>
      </w:pPr>
    </w:p>
    <w:p w14:paraId="3A79DFEC" w14:textId="77777777" w:rsidR="0082400A" w:rsidRPr="0098030B" w:rsidRDefault="0082400A" w:rsidP="0082400A">
      <w:pPr>
        <w:tabs>
          <w:tab w:val="left" w:pos="720"/>
        </w:tabs>
        <w:ind w:left="567" w:right="567"/>
        <w:jc w:val="both"/>
        <w:rPr>
          <w:rFonts w:eastAsia="Cambria" w:cs="Times New Roman"/>
          <w:bCs/>
          <w:szCs w:val="16"/>
        </w:rPr>
      </w:pPr>
      <w:r w:rsidRPr="0098030B">
        <w:rPr>
          <w:szCs w:val="16"/>
        </w:rPr>
        <w:t xml:space="preserve">29. Asimismo, en lo que respecta al “comité interinstitucional” que el Estado debía crear para efectos de “definir y ejecutar [los referidos] programas de capacitación” y que tuvo por acreditado en la Resolución de supervisión de 2011, según lo informado por los representantes, la transformación en 2018 del Ministerio de Justicia y Derechos Humanos en la Secretaría de Derechos Humanos (actual Ministerio de la Mujer y Derechos Humanos) implicó la disolución del área que fungía como un “comité interinstitucional”. Los representantes consideran necesario que se constituya un comité para tales efectos, que permita la participación de la sociedad civil. La Comisión coincidió “en cuanto a la importancia que tiene la participación de la sociedad civil, incluyendo las propias personas privadas de libertad en el cumplimiento de esta reparación”. Al respecto, en sus informes de agosto de 2022 y febrero de 2023 el Estado mantuvo </w:t>
      </w:r>
      <w:r w:rsidRPr="0098030B">
        <w:rPr>
          <w:rFonts w:eastAsia="Cambria" w:cs="Times New Roman"/>
          <w:bCs/>
          <w:szCs w:val="16"/>
        </w:rPr>
        <w:t xml:space="preserve">dos posturas diferentes sobre el cumplimiento de ese extremo y lo solicitado por los representantes. En este sentido, el Tribunal estima necesario que el Estado proporcione </w:t>
      </w:r>
      <w:proofErr w:type="gramStart"/>
      <w:r w:rsidRPr="0098030B">
        <w:rPr>
          <w:rFonts w:eastAsia="Cambria" w:cs="Times New Roman"/>
          <w:bCs/>
          <w:szCs w:val="16"/>
        </w:rPr>
        <w:t>mayor información</w:t>
      </w:r>
      <w:proofErr w:type="gramEnd"/>
      <w:r w:rsidRPr="0098030B">
        <w:rPr>
          <w:rFonts w:eastAsia="Cambria" w:cs="Times New Roman"/>
          <w:bCs/>
          <w:szCs w:val="16"/>
        </w:rPr>
        <w:t xml:space="preserve"> sobre las actividades interinstitucionales que impulsa dicho Ministerio para la ejecución de esta medida de reparación y que permita la participación de la sociedad civil. </w:t>
      </w:r>
    </w:p>
    <w:p w14:paraId="70903FF7" w14:textId="77777777" w:rsidR="0082400A" w:rsidRPr="0098030B" w:rsidRDefault="0082400A" w:rsidP="0082400A">
      <w:pPr>
        <w:tabs>
          <w:tab w:val="left" w:pos="720"/>
        </w:tabs>
        <w:ind w:left="567" w:right="567"/>
        <w:jc w:val="both"/>
        <w:rPr>
          <w:rFonts w:eastAsia="Cambria" w:cs="Times New Roman"/>
          <w:bCs/>
          <w:szCs w:val="16"/>
        </w:rPr>
      </w:pPr>
    </w:p>
    <w:p w14:paraId="68F2E1C3" w14:textId="77777777" w:rsidR="0082400A" w:rsidRPr="0098030B" w:rsidRDefault="0082400A" w:rsidP="0082400A">
      <w:pPr>
        <w:tabs>
          <w:tab w:val="left" w:pos="720"/>
        </w:tabs>
        <w:ind w:left="567" w:right="567"/>
        <w:jc w:val="both"/>
        <w:rPr>
          <w:rFonts w:eastAsia="Cambria" w:cs="Times New Roman"/>
          <w:bCs/>
          <w:szCs w:val="16"/>
        </w:rPr>
      </w:pPr>
      <w:r w:rsidRPr="0098030B">
        <w:rPr>
          <w:rFonts w:eastAsia="Cambria" w:cs="Times New Roman"/>
          <w:bCs/>
          <w:szCs w:val="16"/>
        </w:rPr>
        <w:t>30. Por lo expuesto, este Tribunal concluye que la garantía de no repetición relativa a la capacitación de funcionarios públicos sobre los principios y normas de protección de los derechos humanos en el tratamiento de los reclusos, dispuesta en el punto resolutivo décimo tercero de la Sentencia, continúa parcialmente cumplida. Para valorar el cumplimiento total de esta reparación, se requiere que el Estado remita la información indicada en los Considerandos 27 a 29, y acompañe el respaldo documental correspondiente.</w:t>
      </w:r>
    </w:p>
    <w:p w14:paraId="48CBD992" w14:textId="77777777" w:rsidR="0082400A" w:rsidRPr="0098030B" w:rsidRDefault="0082400A" w:rsidP="0082400A">
      <w:pPr>
        <w:jc w:val="both"/>
        <w:rPr>
          <w:szCs w:val="16"/>
        </w:rPr>
      </w:pPr>
    </w:p>
    <w:p w14:paraId="3CA5DBB8" w14:textId="77777777" w:rsidR="00D3440D" w:rsidRPr="002E376C" w:rsidRDefault="00D3440D" w:rsidP="00D3440D">
      <w:pPr>
        <w:jc w:val="both"/>
        <w:rPr>
          <w:sz w:val="20"/>
          <w:szCs w:val="20"/>
        </w:rPr>
      </w:pPr>
    </w:p>
    <w:sectPr w:rsidR="00D3440D" w:rsidRPr="002E37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FAAE" w14:textId="77777777" w:rsidR="00753C14" w:rsidRDefault="00753C14" w:rsidP="009F7EF4">
      <w:r>
        <w:separator/>
      </w:r>
    </w:p>
  </w:endnote>
  <w:endnote w:type="continuationSeparator" w:id="0">
    <w:p w14:paraId="3DD6647E" w14:textId="77777777" w:rsidR="00753C14" w:rsidRDefault="00753C14"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45A1"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3B9FB38"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4D7E5" w14:textId="77777777" w:rsidR="00753C14" w:rsidRDefault="00753C14" w:rsidP="009F7EF4">
      <w:r>
        <w:separator/>
      </w:r>
    </w:p>
  </w:footnote>
  <w:footnote w:type="continuationSeparator" w:id="0">
    <w:p w14:paraId="75892F1A" w14:textId="77777777" w:rsidR="00753C14" w:rsidRDefault="00753C14"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3133EBBA"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C66067">
          <w:rPr>
            <w:noProof/>
            <w:sz w:val="20"/>
            <w:szCs w:val="20"/>
          </w:rPr>
          <w:t>1</w:t>
        </w:r>
        <w:r w:rsidRPr="00675FE7">
          <w:rPr>
            <w:noProof/>
            <w:sz w:val="20"/>
            <w:szCs w:val="20"/>
          </w:rPr>
          <w:fldChar w:fldCharType="end"/>
        </w:r>
      </w:p>
    </w:sdtContent>
  </w:sdt>
  <w:p w14:paraId="2FE71783"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904988">
    <w:abstractNumId w:val="6"/>
  </w:num>
  <w:num w:numId="2" w16cid:durableId="1644582184">
    <w:abstractNumId w:val="2"/>
  </w:num>
  <w:num w:numId="3" w16cid:durableId="472261419">
    <w:abstractNumId w:val="5"/>
  </w:num>
  <w:num w:numId="4" w16cid:durableId="1133450092">
    <w:abstractNumId w:val="0"/>
  </w:num>
  <w:num w:numId="5" w16cid:durableId="367605664">
    <w:abstractNumId w:val="1"/>
  </w:num>
  <w:num w:numId="6" w16cid:durableId="1388186231">
    <w:abstractNumId w:val="3"/>
  </w:num>
  <w:num w:numId="7" w16cid:durableId="462961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930F6"/>
    <w:rsid w:val="00101CC6"/>
    <w:rsid w:val="001426AA"/>
    <w:rsid w:val="001729AE"/>
    <w:rsid w:val="001F3394"/>
    <w:rsid w:val="00214AB7"/>
    <w:rsid w:val="00296F77"/>
    <w:rsid w:val="002B3295"/>
    <w:rsid w:val="002E376C"/>
    <w:rsid w:val="003A7E5E"/>
    <w:rsid w:val="003C561A"/>
    <w:rsid w:val="00474D04"/>
    <w:rsid w:val="00476F6E"/>
    <w:rsid w:val="005A203D"/>
    <w:rsid w:val="005D1A85"/>
    <w:rsid w:val="00617B3E"/>
    <w:rsid w:val="006A777A"/>
    <w:rsid w:val="006C38A6"/>
    <w:rsid w:val="00753C14"/>
    <w:rsid w:val="00792165"/>
    <w:rsid w:val="0082400A"/>
    <w:rsid w:val="00834F1A"/>
    <w:rsid w:val="00926FFB"/>
    <w:rsid w:val="009832C0"/>
    <w:rsid w:val="009D22BE"/>
    <w:rsid w:val="009F7EF4"/>
    <w:rsid w:val="00AA6B2F"/>
    <w:rsid w:val="00AE0035"/>
    <w:rsid w:val="00B11B9B"/>
    <w:rsid w:val="00B32A37"/>
    <w:rsid w:val="00B33305"/>
    <w:rsid w:val="00BA6BA9"/>
    <w:rsid w:val="00BC5824"/>
    <w:rsid w:val="00C4747D"/>
    <w:rsid w:val="00C66067"/>
    <w:rsid w:val="00C807CF"/>
    <w:rsid w:val="00D3440D"/>
    <w:rsid w:val="00E42392"/>
    <w:rsid w:val="00E50670"/>
    <w:rsid w:val="00E85D9E"/>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8569"/>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581</Words>
  <Characters>3198</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8</cp:revision>
  <cp:lastPrinted>2018-07-09T19:23:00Z</cp:lastPrinted>
  <dcterms:created xsi:type="dcterms:W3CDTF">2018-07-09T19:23:00Z</dcterms:created>
  <dcterms:modified xsi:type="dcterms:W3CDTF">2023-06-26T23:25:00Z</dcterms:modified>
</cp:coreProperties>
</file>