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C7" w:rsidRPr="00F451C7" w:rsidRDefault="00F451C7" w:rsidP="00F451C7">
      <w:pPr>
        <w:jc w:val="center"/>
        <w:rPr>
          <w:rFonts w:ascii="Verdana" w:hAnsi="Verdana"/>
          <w:b/>
          <w:sz w:val="20"/>
          <w:szCs w:val="20"/>
          <w:u w:val="single"/>
          <w:lang w:val="es-AR"/>
        </w:rPr>
      </w:pPr>
      <w:bookmarkStart w:id="0" w:name="_GoBack"/>
      <w:bookmarkEnd w:id="0"/>
      <w:r w:rsidRPr="00F451C7">
        <w:rPr>
          <w:rFonts w:ascii="Verdana" w:hAnsi="Verdana"/>
          <w:b/>
          <w:sz w:val="20"/>
          <w:szCs w:val="20"/>
          <w:u w:val="single"/>
          <w:lang w:val="es-AR"/>
        </w:rPr>
        <w:t xml:space="preserve">Caso Vera </w:t>
      </w:r>
      <w:proofErr w:type="spellStart"/>
      <w:r w:rsidRPr="00F451C7">
        <w:rPr>
          <w:rFonts w:ascii="Verdana" w:hAnsi="Verdana"/>
          <w:b/>
          <w:sz w:val="20"/>
          <w:szCs w:val="20"/>
          <w:u w:val="single"/>
          <w:lang w:val="es-AR"/>
        </w:rPr>
        <w:t>Vera</w:t>
      </w:r>
      <w:proofErr w:type="spellEnd"/>
      <w:r w:rsidRPr="00F451C7">
        <w:rPr>
          <w:rFonts w:ascii="Verdana" w:hAnsi="Verdana"/>
          <w:b/>
          <w:sz w:val="20"/>
          <w:szCs w:val="20"/>
          <w:u w:val="single"/>
          <w:lang w:val="es-AR"/>
        </w:rPr>
        <w:t xml:space="preserve"> y otra </w:t>
      </w:r>
      <w:r w:rsidRPr="00F451C7">
        <w:rPr>
          <w:rFonts w:ascii="Verdana" w:hAnsi="Verdana"/>
          <w:b/>
          <w:i/>
          <w:sz w:val="20"/>
          <w:szCs w:val="20"/>
          <w:u w:val="single"/>
          <w:lang w:val="es-AR"/>
        </w:rPr>
        <w:t>Vs</w:t>
      </w:r>
      <w:r w:rsidRPr="00F451C7">
        <w:rPr>
          <w:rFonts w:ascii="Verdana" w:hAnsi="Verdana"/>
          <w:b/>
          <w:sz w:val="20"/>
          <w:szCs w:val="20"/>
          <w:u w:val="single"/>
          <w:lang w:val="es-AR"/>
        </w:rPr>
        <w:t>. Ecuador: reparaciones declaradas cumplidas</w:t>
      </w:r>
    </w:p>
    <w:p w:rsidR="00F451C7" w:rsidRPr="00F451C7" w:rsidRDefault="00F451C7" w:rsidP="005C165F">
      <w:pPr>
        <w:widowControl w:val="0"/>
        <w:tabs>
          <w:tab w:val="left" w:pos="450"/>
        </w:tabs>
        <w:autoSpaceDE w:val="0"/>
        <w:autoSpaceDN w:val="0"/>
        <w:adjustRightInd w:val="0"/>
        <w:spacing w:afterLines="34" w:after="81"/>
        <w:contextualSpacing/>
        <w:rPr>
          <w:szCs w:val="20"/>
          <w:lang w:val="es-MX"/>
        </w:rPr>
      </w:pPr>
    </w:p>
    <w:p w:rsidR="00142841" w:rsidRPr="00142841" w:rsidRDefault="00142841" w:rsidP="00142841">
      <w:pPr>
        <w:pStyle w:val="ListParagraph"/>
        <w:widowControl w:val="0"/>
        <w:numPr>
          <w:ilvl w:val="0"/>
          <w:numId w:val="1"/>
        </w:numPr>
        <w:tabs>
          <w:tab w:val="left" w:pos="360"/>
        </w:tabs>
        <w:autoSpaceDE w:val="0"/>
        <w:autoSpaceDN w:val="0"/>
        <w:adjustRightInd w:val="0"/>
        <w:spacing w:afterLines="34" w:after="81"/>
        <w:ind w:left="360" w:hanging="360"/>
        <w:contextualSpacing/>
        <w:rPr>
          <w:szCs w:val="20"/>
          <w:lang w:val="es-CL"/>
        </w:rPr>
      </w:pPr>
      <w:r>
        <w:rPr>
          <w:szCs w:val="20"/>
          <w:lang w:val="es-MX"/>
        </w:rPr>
        <w:t>Realizar</w:t>
      </w:r>
      <w:r w:rsidR="00F451C7" w:rsidRPr="00142841">
        <w:rPr>
          <w:szCs w:val="20"/>
        </w:rPr>
        <w:t xml:space="preserve"> las publicaciones de esta Sentencia.</w:t>
      </w:r>
    </w:p>
    <w:p w:rsidR="00142841" w:rsidRPr="00142841" w:rsidRDefault="00142841" w:rsidP="00142841">
      <w:pPr>
        <w:pStyle w:val="ListParagraph"/>
        <w:widowControl w:val="0"/>
        <w:tabs>
          <w:tab w:val="left" w:pos="360"/>
        </w:tabs>
        <w:autoSpaceDE w:val="0"/>
        <w:autoSpaceDN w:val="0"/>
        <w:adjustRightInd w:val="0"/>
        <w:spacing w:afterLines="34" w:after="81"/>
        <w:ind w:left="360" w:hanging="360"/>
        <w:contextualSpacing/>
        <w:rPr>
          <w:szCs w:val="20"/>
          <w:lang w:val="es-CL"/>
        </w:rPr>
      </w:pPr>
    </w:p>
    <w:p w:rsidR="00F451C7" w:rsidRPr="00142841" w:rsidRDefault="00142841" w:rsidP="00142841">
      <w:pPr>
        <w:pStyle w:val="ListParagraph"/>
        <w:widowControl w:val="0"/>
        <w:numPr>
          <w:ilvl w:val="0"/>
          <w:numId w:val="1"/>
        </w:numPr>
        <w:tabs>
          <w:tab w:val="left" w:pos="360"/>
        </w:tabs>
        <w:autoSpaceDE w:val="0"/>
        <w:autoSpaceDN w:val="0"/>
        <w:adjustRightInd w:val="0"/>
        <w:spacing w:afterLines="34" w:after="81"/>
        <w:ind w:left="360" w:hanging="360"/>
        <w:contextualSpacing/>
        <w:rPr>
          <w:szCs w:val="20"/>
          <w:lang w:val="es-CL"/>
        </w:rPr>
      </w:pPr>
      <w:r w:rsidRPr="00142841">
        <w:rPr>
          <w:szCs w:val="20"/>
          <w:lang w:val="es-ES"/>
        </w:rPr>
        <w:t>P</w:t>
      </w:r>
      <w:r w:rsidR="00F451C7" w:rsidRPr="00142841">
        <w:rPr>
          <w:szCs w:val="20"/>
          <w:lang w:val="es-ES"/>
        </w:rPr>
        <w:t>agar las cantidades fijadas en los párrafos 131, 132, 136, 137 y 145 de la presente Sentencia, por concepto de indemnización por daño material e inmaterial, y por reintegro de costas y gastos, según corresponda, de conformidad con los párrafos 131, 132, 136, 137, 143, 145, y 146 a 151 de la misma.</w:t>
      </w:r>
    </w:p>
    <w:p w:rsidR="006E7F48" w:rsidRPr="00F451C7" w:rsidRDefault="00907BB0" w:rsidP="005C165F">
      <w:pPr>
        <w:tabs>
          <w:tab w:val="left" w:pos="450"/>
        </w:tabs>
        <w:rPr>
          <w:rFonts w:ascii="Verdana" w:hAnsi="Verdana"/>
          <w:sz w:val="20"/>
          <w:szCs w:val="20"/>
          <w:lang w:val="es-ES"/>
        </w:rPr>
      </w:pPr>
    </w:p>
    <w:p w:rsidR="00F451C7" w:rsidRDefault="00F451C7" w:rsidP="005C165F">
      <w:pPr>
        <w:tabs>
          <w:tab w:val="left" w:pos="450"/>
        </w:tabs>
        <w:rPr>
          <w:rFonts w:ascii="Verdana" w:hAnsi="Verdana"/>
          <w:b/>
          <w:sz w:val="20"/>
          <w:szCs w:val="20"/>
          <w:lang w:val="es-ES"/>
        </w:rPr>
      </w:pPr>
      <w:r w:rsidRPr="00F451C7">
        <w:rPr>
          <w:rFonts w:ascii="Verdana" w:hAnsi="Verdana"/>
          <w:b/>
          <w:sz w:val="20"/>
          <w:szCs w:val="20"/>
          <w:lang w:val="es-ES"/>
        </w:rPr>
        <w:t>Cumplimiento parcial:</w:t>
      </w:r>
    </w:p>
    <w:p w:rsidR="00F451C7" w:rsidRPr="00F451C7" w:rsidRDefault="00F451C7" w:rsidP="005C165F">
      <w:pPr>
        <w:tabs>
          <w:tab w:val="left" w:pos="450"/>
        </w:tabs>
        <w:rPr>
          <w:rFonts w:ascii="Verdana" w:hAnsi="Verdana"/>
          <w:b/>
          <w:sz w:val="20"/>
          <w:szCs w:val="20"/>
          <w:lang w:val="es-ES"/>
        </w:rPr>
      </w:pPr>
    </w:p>
    <w:p w:rsidR="00F451C7" w:rsidRPr="00831DF9" w:rsidRDefault="00F451C7" w:rsidP="00142841">
      <w:pPr>
        <w:pStyle w:val="ListParagraph"/>
        <w:numPr>
          <w:ilvl w:val="0"/>
          <w:numId w:val="1"/>
        </w:numPr>
        <w:tabs>
          <w:tab w:val="left" w:pos="360"/>
        </w:tabs>
        <w:rPr>
          <w:szCs w:val="20"/>
          <w:lang w:val="es-ES"/>
        </w:rPr>
      </w:pPr>
      <w:r w:rsidRPr="00F451C7">
        <w:rPr>
          <w:szCs w:val="20"/>
        </w:rPr>
        <w:t>Difundir la Sentencia de conformidad con lo establecido en el párrafo 125 de este Fallo.</w:t>
      </w:r>
    </w:p>
    <w:p w:rsidR="00831DF9" w:rsidRDefault="00831DF9" w:rsidP="00831DF9">
      <w:pPr>
        <w:pStyle w:val="ListParagraph"/>
        <w:rPr>
          <w:szCs w:val="20"/>
        </w:rPr>
      </w:pPr>
    </w:p>
    <w:p w:rsidR="00831DF9" w:rsidRDefault="00831DF9" w:rsidP="00831DF9">
      <w:pPr>
        <w:jc w:val="both"/>
        <w:rPr>
          <w:rFonts w:ascii="Verdana" w:hAnsi="Verdana"/>
          <w:sz w:val="20"/>
          <w:szCs w:val="20"/>
          <w:lang w:val="es-MX"/>
        </w:rPr>
      </w:pPr>
      <w:r>
        <w:rPr>
          <w:rFonts w:ascii="Verdana" w:hAnsi="Verdana"/>
          <w:sz w:val="20"/>
          <w:szCs w:val="20"/>
          <w:lang w:val="es-MX"/>
        </w:rPr>
        <w:t xml:space="preserve">En el </w:t>
      </w:r>
      <w:r w:rsidR="002C6038">
        <w:rPr>
          <w:rFonts w:ascii="Verdana" w:hAnsi="Verdana"/>
          <w:sz w:val="20"/>
          <w:szCs w:val="20"/>
          <w:lang w:val="es-MX"/>
        </w:rPr>
        <w:t xml:space="preserve">Considerando </w:t>
      </w:r>
      <w:r>
        <w:rPr>
          <w:rFonts w:ascii="Verdana" w:hAnsi="Verdana"/>
          <w:sz w:val="20"/>
          <w:szCs w:val="20"/>
          <w:lang w:val="es-MX"/>
        </w:rPr>
        <w:t>16 de la resolución de la Corte de 23 de octubre de 2012 se explica lo que continúa pendiente de cumplimiento respecto a la presente medida de reparación:</w:t>
      </w:r>
    </w:p>
    <w:p w:rsidR="00831DF9" w:rsidRDefault="00831DF9" w:rsidP="00831DF9">
      <w:pPr>
        <w:jc w:val="both"/>
        <w:rPr>
          <w:rFonts w:ascii="Verdana" w:hAnsi="Verdana"/>
          <w:sz w:val="20"/>
          <w:szCs w:val="20"/>
          <w:lang w:val="es-ES_tradnl"/>
        </w:rPr>
      </w:pPr>
    </w:p>
    <w:p w:rsidR="00831DF9" w:rsidRPr="00343EC7" w:rsidRDefault="00831DF9" w:rsidP="00831DF9">
      <w:pPr>
        <w:ind w:left="360" w:right="720"/>
        <w:jc w:val="both"/>
        <w:rPr>
          <w:lang w:val="es-ES_tradnl"/>
        </w:rPr>
      </w:pPr>
      <w:r w:rsidRPr="00343EC7">
        <w:rPr>
          <w:rFonts w:ascii="Verdana" w:hAnsi="Verdana"/>
          <w:sz w:val="18"/>
          <w:szCs w:val="18"/>
          <w:lang w:val="es-ES_tradnl"/>
        </w:rPr>
        <w:t>16.</w:t>
      </w:r>
      <w:r w:rsidRPr="00343EC7">
        <w:rPr>
          <w:rFonts w:ascii="Verdana" w:hAnsi="Verdana"/>
          <w:sz w:val="18"/>
          <w:szCs w:val="18"/>
          <w:lang w:val="es-ES_tradnl"/>
        </w:rPr>
        <w:tab/>
        <w:t>De la información y documentación remitida, el Tribunal observa que el Estado ha difundido la Sentencia entre autoridades policiales y penitenciarias mediante la elaboración de cartillas informativas y cursos de capacitación, y que solamente se encuentra pendiente su difusión entre el personal médico a cargo de las personas privadas de libertad. En consecuencia, la Corte queda a la espera de dicha información</w:t>
      </w:r>
      <w:r w:rsidRPr="00343EC7">
        <w:rPr>
          <w:lang w:val="es-ES_tradnl"/>
        </w:rPr>
        <w:t>.</w:t>
      </w:r>
    </w:p>
    <w:p w:rsidR="00831DF9" w:rsidRPr="00831DF9" w:rsidRDefault="00831DF9" w:rsidP="00831DF9">
      <w:pPr>
        <w:pStyle w:val="ListParagraph"/>
        <w:rPr>
          <w:szCs w:val="20"/>
          <w:lang w:val="es-ES_tradnl"/>
        </w:rPr>
      </w:pPr>
    </w:p>
    <w:sectPr w:rsidR="00831DF9" w:rsidRPr="00831DF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B93" w:rsidRDefault="00AA6B93" w:rsidP="00F451C7">
      <w:r>
        <w:separator/>
      </w:r>
    </w:p>
  </w:endnote>
  <w:endnote w:type="continuationSeparator" w:id="0">
    <w:p w:rsidR="00AA6B93" w:rsidRDefault="00AA6B93" w:rsidP="00F4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1C7" w:rsidRPr="00CF0B02" w:rsidRDefault="00F451C7" w:rsidP="00F451C7">
    <w:pPr>
      <w:jc w:val="both"/>
      <w:rPr>
        <w:rFonts w:ascii="Verdana" w:hAnsi="Verdana"/>
        <w:bCs/>
        <w:sz w:val="16"/>
        <w:szCs w:val="16"/>
        <w:lang w:val="es-MX"/>
      </w:rPr>
    </w:pPr>
    <w:r w:rsidRPr="00CF0B02">
      <w:rPr>
        <w:rFonts w:ascii="Verdana" w:hAnsi="Verdana"/>
        <w:bCs/>
        <w:sz w:val="16"/>
        <w:szCs w:val="16"/>
        <w:lang w:val="es-MX"/>
      </w:rPr>
      <w:t xml:space="preserve">La presente sistematización de información fue </w:t>
    </w:r>
    <w:r w:rsidR="00907BB0">
      <w:rPr>
        <w:rFonts w:ascii="Verdana" w:hAnsi="Verdana"/>
        <w:bCs/>
        <w:sz w:val="16"/>
        <w:szCs w:val="16"/>
        <w:lang w:val="es-MX"/>
      </w:rPr>
      <w:t>realizada</w:t>
    </w:r>
    <w:r w:rsidRPr="00CF0B0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F451C7" w:rsidRPr="00F451C7" w:rsidRDefault="00F451C7">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B93" w:rsidRDefault="00AA6B93" w:rsidP="00F451C7">
      <w:r>
        <w:separator/>
      </w:r>
    </w:p>
  </w:footnote>
  <w:footnote w:type="continuationSeparator" w:id="0">
    <w:p w:rsidR="00AA6B93" w:rsidRDefault="00AA6B93" w:rsidP="00F45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2C6038" w:rsidRDefault="002C6038" w:rsidP="002C6038">
        <w:pPr>
          <w:pStyle w:val="Header"/>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907BB0">
          <w:rPr>
            <w:rFonts w:ascii="Verdana" w:hAnsi="Verdana"/>
            <w:noProof/>
            <w:sz w:val="20"/>
            <w:szCs w:val="20"/>
          </w:rPr>
          <w:t>1</w:t>
        </w:r>
        <w:r>
          <w:rPr>
            <w:rFonts w:ascii="Verdana" w:hAnsi="Verdana"/>
            <w:noProof/>
            <w:sz w:val="20"/>
            <w:szCs w:val="20"/>
          </w:rPr>
          <w:fldChar w:fldCharType="end"/>
        </w:r>
      </w:p>
    </w:sdtContent>
  </w:sdt>
  <w:p w:rsidR="002C6038" w:rsidRDefault="002C6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03BDD"/>
    <w:multiLevelType w:val="hybridMultilevel"/>
    <w:tmpl w:val="6164B94E"/>
    <w:lvl w:ilvl="0" w:tplc="009A7086">
      <w:start w:val="1"/>
      <w:numFmt w:val="decimal"/>
      <w:lvlText w:val="%1."/>
      <w:lvlJc w:val="left"/>
      <w:pPr>
        <w:ind w:left="72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1C7"/>
    <w:rsid w:val="00142841"/>
    <w:rsid w:val="002C6038"/>
    <w:rsid w:val="003A7E5E"/>
    <w:rsid w:val="005C165F"/>
    <w:rsid w:val="00831DF9"/>
    <w:rsid w:val="00907BB0"/>
    <w:rsid w:val="009832C0"/>
    <w:rsid w:val="00AA6B93"/>
    <w:rsid w:val="00F4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1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1C7"/>
    <w:pPr>
      <w:ind w:left="720"/>
      <w:jc w:val="both"/>
    </w:pPr>
    <w:rPr>
      <w:rFonts w:ascii="Verdana" w:eastAsia="MS Mincho" w:hAnsi="Verdana"/>
      <w:sz w:val="20"/>
      <w:lang w:val="es-EC"/>
    </w:rPr>
  </w:style>
  <w:style w:type="paragraph" w:styleId="Header">
    <w:name w:val="header"/>
    <w:basedOn w:val="Normal"/>
    <w:link w:val="HeaderChar"/>
    <w:uiPriority w:val="99"/>
    <w:unhideWhenUsed/>
    <w:rsid w:val="00F451C7"/>
    <w:pPr>
      <w:tabs>
        <w:tab w:val="center" w:pos="4680"/>
        <w:tab w:val="right" w:pos="9360"/>
      </w:tabs>
    </w:pPr>
  </w:style>
  <w:style w:type="character" w:customStyle="1" w:styleId="HeaderChar">
    <w:name w:val="Header Char"/>
    <w:basedOn w:val="DefaultParagraphFont"/>
    <w:link w:val="Header"/>
    <w:uiPriority w:val="99"/>
    <w:rsid w:val="00F451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51C7"/>
    <w:pPr>
      <w:tabs>
        <w:tab w:val="center" w:pos="4680"/>
        <w:tab w:val="right" w:pos="9360"/>
      </w:tabs>
    </w:pPr>
  </w:style>
  <w:style w:type="character" w:customStyle="1" w:styleId="FooterChar">
    <w:name w:val="Footer Char"/>
    <w:basedOn w:val="DefaultParagraphFont"/>
    <w:link w:val="Footer"/>
    <w:uiPriority w:val="99"/>
    <w:rsid w:val="00F451C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1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1C7"/>
    <w:pPr>
      <w:ind w:left="720"/>
      <w:jc w:val="both"/>
    </w:pPr>
    <w:rPr>
      <w:rFonts w:ascii="Verdana" w:eastAsia="MS Mincho" w:hAnsi="Verdana"/>
      <w:sz w:val="20"/>
      <w:lang w:val="es-EC"/>
    </w:rPr>
  </w:style>
  <w:style w:type="paragraph" w:styleId="Header">
    <w:name w:val="header"/>
    <w:basedOn w:val="Normal"/>
    <w:link w:val="HeaderChar"/>
    <w:uiPriority w:val="99"/>
    <w:unhideWhenUsed/>
    <w:rsid w:val="00F451C7"/>
    <w:pPr>
      <w:tabs>
        <w:tab w:val="center" w:pos="4680"/>
        <w:tab w:val="right" w:pos="9360"/>
      </w:tabs>
    </w:pPr>
  </w:style>
  <w:style w:type="character" w:customStyle="1" w:styleId="HeaderChar">
    <w:name w:val="Header Char"/>
    <w:basedOn w:val="DefaultParagraphFont"/>
    <w:link w:val="Header"/>
    <w:uiPriority w:val="99"/>
    <w:rsid w:val="00F451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51C7"/>
    <w:pPr>
      <w:tabs>
        <w:tab w:val="center" w:pos="4680"/>
        <w:tab w:val="right" w:pos="9360"/>
      </w:tabs>
    </w:pPr>
  </w:style>
  <w:style w:type="character" w:customStyle="1" w:styleId="FooterChar">
    <w:name w:val="Footer Char"/>
    <w:basedOn w:val="DefaultParagraphFont"/>
    <w:link w:val="Footer"/>
    <w:uiPriority w:val="99"/>
    <w:rsid w:val="00F451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1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7</cp:revision>
  <dcterms:created xsi:type="dcterms:W3CDTF">2016-10-05T17:56:00Z</dcterms:created>
  <dcterms:modified xsi:type="dcterms:W3CDTF">2016-10-12T19:32:00Z</dcterms:modified>
</cp:coreProperties>
</file>