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772A365C" w:rsidR="00214AB7" w:rsidRPr="00827E37" w:rsidRDefault="00BC3223" w:rsidP="00214AB7">
      <w:pPr>
        <w:jc w:val="center"/>
        <w:rPr>
          <w:sz w:val="20"/>
          <w:szCs w:val="20"/>
        </w:rPr>
      </w:pPr>
      <w:r>
        <w:rPr>
          <w:b/>
          <w:iCs/>
          <w:sz w:val="20"/>
          <w:szCs w:val="20"/>
          <w:u w:val="single"/>
          <w:lang w:val="es-CR"/>
        </w:rPr>
        <w:t>Viteri Ungaretti y otros</w:t>
      </w:r>
      <w:r w:rsidR="00484D15" w:rsidRPr="00827E37">
        <w:rPr>
          <w:b/>
          <w:iCs/>
          <w:sz w:val="20"/>
          <w:szCs w:val="20"/>
          <w:u w:val="single"/>
          <w:lang w:val="es-CR"/>
        </w:rPr>
        <w:t xml:space="preserve"> </w:t>
      </w:r>
      <w:r w:rsidR="00484D15" w:rsidRPr="00827E37">
        <w:rPr>
          <w:b/>
          <w:i/>
          <w:sz w:val="20"/>
          <w:szCs w:val="20"/>
          <w:u w:val="single"/>
          <w:lang w:val="es-CR"/>
        </w:rPr>
        <w:t>Vs</w:t>
      </w:r>
      <w:r w:rsidR="00484D15" w:rsidRPr="00827E37">
        <w:rPr>
          <w:b/>
          <w:iCs/>
          <w:sz w:val="20"/>
          <w:szCs w:val="20"/>
          <w:u w:val="single"/>
          <w:lang w:val="es-CR"/>
        </w:rPr>
        <w:t>. Ecuador:</w:t>
      </w:r>
      <w:r w:rsidR="00484D15" w:rsidRPr="00827E37">
        <w:rPr>
          <w:b/>
          <w:i/>
          <w:sz w:val="20"/>
          <w:szCs w:val="20"/>
          <w:u w:val="single"/>
          <w:lang w:val="es-CR"/>
        </w:rPr>
        <w:t xml:space="preserve"> </w:t>
      </w:r>
      <w:r w:rsidR="00214AB7" w:rsidRPr="00827E37">
        <w:rPr>
          <w:b/>
          <w:sz w:val="20"/>
          <w:szCs w:val="20"/>
          <w:u w:val="single"/>
          <w:lang w:val="es-CR"/>
        </w:rPr>
        <w:t>reparaciones pendientes de cumplimiento</w:t>
      </w:r>
    </w:p>
    <w:p w14:paraId="6ED6D9B2" w14:textId="1CA3834B" w:rsidR="00484D15" w:rsidRPr="00827E37" w:rsidRDefault="00484D15" w:rsidP="00097803">
      <w:pPr>
        <w:jc w:val="both"/>
        <w:rPr>
          <w:sz w:val="20"/>
          <w:szCs w:val="20"/>
        </w:rPr>
      </w:pPr>
    </w:p>
    <w:p w14:paraId="47F09BE1" w14:textId="77777777" w:rsidR="00F243DB" w:rsidRPr="00827E37" w:rsidRDefault="00F243DB" w:rsidP="00097803">
      <w:pPr>
        <w:jc w:val="both"/>
        <w:rPr>
          <w:sz w:val="20"/>
          <w:szCs w:val="20"/>
        </w:rPr>
      </w:pPr>
    </w:p>
    <w:p w14:paraId="08F7871B" w14:textId="43C66512" w:rsidR="007C5D62" w:rsidRPr="00486E65" w:rsidRDefault="00486E65" w:rsidP="00DD716D">
      <w:pPr>
        <w:pStyle w:val="Prrafodelista"/>
        <w:ind w:left="0"/>
        <w:jc w:val="both"/>
        <w:rPr>
          <w:sz w:val="20"/>
          <w:szCs w:val="32"/>
        </w:rPr>
      </w:pPr>
      <w:r w:rsidRPr="00486E65">
        <w:rPr>
          <w:sz w:val="20"/>
          <w:szCs w:val="32"/>
        </w:rPr>
        <w:t>1</w:t>
      </w:r>
      <w:r w:rsidR="007C5D62" w:rsidRPr="00486E65">
        <w:rPr>
          <w:sz w:val="20"/>
          <w:szCs w:val="32"/>
        </w:rPr>
        <w:t xml:space="preserve">. </w:t>
      </w:r>
      <w:r w:rsidRPr="00486E65">
        <w:rPr>
          <w:sz w:val="20"/>
          <w:szCs w:val="32"/>
        </w:rPr>
        <w:tab/>
      </w:r>
      <w:r w:rsidR="007C5D62" w:rsidRPr="00486E65">
        <w:rPr>
          <w:sz w:val="20"/>
          <w:szCs w:val="32"/>
        </w:rPr>
        <w:t xml:space="preserve">El Estado deberá brindar garantías de retorno o reubicación a las víctimas desplazadas que así lo requieran, mediante el otorgamiento de medidas de seguridad efectivas para un retorno digno a su lugar de residencia habitual o bien su reasentamiento voluntario en otra parte del país, en los términos del párrafo 196 de la Sentencia. </w:t>
      </w:r>
    </w:p>
    <w:p w14:paraId="6E6B859D" w14:textId="77777777" w:rsidR="007C5D62" w:rsidRPr="00486E65" w:rsidRDefault="007C5D62" w:rsidP="00DD716D">
      <w:pPr>
        <w:pStyle w:val="Prrafodelista"/>
        <w:ind w:left="0"/>
        <w:jc w:val="both"/>
        <w:rPr>
          <w:sz w:val="20"/>
          <w:szCs w:val="32"/>
        </w:rPr>
      </w:pPr>
    </w:p>
    <w:p w14:paraId="25F8CA66" w14:textId="03060749" w:rsidR="007C5D62" w:rsidRPr="00486E65" w:rsidRDefault="00486E65" w:rsidP="00DD716D">
      <w:pPr>
        <w:pStyle w:val="Prrafodelista"/>
        <w:ind w:left="0"/>
        <w:jc w:val="both"/>
        <w:rPr>
          <w:sz w:val="20"/>
          <w:szCs w:val="32"/>
        </w:rPr>
      </w:pPr>
      <w:r w:rsidRPr="00486E65">
        <w:rPr>
          <w:sz w:val="20"/>
          <w:szCs w:val="32"/>
        </w:rPr>
        <w:t>2</w:t>
      </w:r>
      <w:r w:rsidR="007C5D62" w:rsidRPr="00486E65">
        <w:rPr>
          <w:sz w:val="20"/>
          <w:szCs w:val="32"/>
        </w:rPr>
        <w:t xml:space="preserve">. </w:t>
      </w:r>
      <w:r w:rsidRPr="00486E65">
        <w:rPr>
          <w:sz w:val="20"/>
          <w:szCs w:val="32"/>
        </w:rPr>
        <w:tab/>
      </w:r>
      <w:r w:rsidR="007C5D62" w:rsidRPr="00486E65">
        <w:rPr>
          <w:sz w:val="20"/>
          <w:szCs w:val="32"/>
        </w:rPr>
        <w:t>El Estado realizará las publicaciones ordenadas en los párrafos 203 y 204 de la Sentencia.</w:t>
      </w:r>
    </w:p>
    <w:p w14:paraId="53008CFA" w14:textId="77777777" w:rsidR="007C5D62" w:rsidRPr="00486E65" w:rsidRDefault="007C5D62" w:rsidP="00DD716D">
      <w:pPr>
        <w:pStyle w:val="Prrafodelista"/>
        <w:ind w:left="0"/>
        <w:jc w:val="both"/>
        <w:rPr>
          <w:sz w:val="20"/>
          <w:szCs w:val="32"/>
        </w:rPr>
      </w:pPr>
    </w:p>
    <w:p w14:paraId="3B3179B8" w14:textId="7D78D549" w:rsidR="00DD716D" w:rsidRPr="00486E65" w:rsidRDefault="00486E65" w:rsidP="00DD716D">
      <w:pPr>
        <w:pStyle w:val="Prrafodelista"/>
        <w:ind w:left="0"/>
        <w:jc w:val="both"/>
        <w:rPr>
          <w:sz w:val="20"/>
          <w:szCs w:val="32"/>
        </w:rPr>
      </w:pPr>
      <w:r w:rsidRPr="00486E65">
        <w:rPr>
          <w:sz w:val="20"/>
          <w:szCs w:val="32"/>
        </w:rPr>
        <w:t>3</w:t>
      </w:r>
      <w:r w:rsidR="007C5D62" w:rsidRPr="00486E65">
        <w:rPr>
          <w:sz w:val="20"/>
          <w:szCs w:val="32"/>
        </w:rPr>
        <w:t xml:space="preserve">. </w:t>
      </w:r>
      <w:r w:rsidRPr="00486E65">
        <w:rPr>
          <w:sz w:val="20"/>
          <w:szCs w:val="32"/>
        </w:rPr>
        <w:tab/>
      </w:r>
      <w:r w:rsidR="007C5D62" w:rsidRPr="00486E65">
        <w:rPr>
          <w:sz w:val="20"/>
          <w:szCs w:val="32"/>
        </w:rPr>
        <w:t>El Estado realizará el acto de reconocimiento de responsabilidad internacional y disculpas públicas ordenado en los párrafos 206 y 207 de la Sentencia.</w:t>
      </w:r>
    </w:p>
    <w:p w14:paraId="6BCB7801" w14:textId="77777777" w:rsidR="007C5D62" w:rsidRPr="00486E65" w:rsidRDefault="007C5D62" w:rsidP="00DD716D">
      <w:pPr>
        <w:pStyle w:val="Prrafodelista"/>
        <w:ind w:left="0"/>
        <w:jc w:val="both"/>
        <w:rPr>
          <w:sz w:val="20"/>
          <w:szCs w:val="32"/>
        </w:rPr>
      </w:pPr>
    </w:p>
    <w:p w14:paraId="43F23D7E" w14:textId="5484702B" w:rsidR="007C5D62" w:rsidRPr="00486E65" w:rsidRDefault="00486E65" w:rsidP="00DD716D">
      <w:pPr>
        <w:pStyle w:val="Prrafodelista"/>
        <w:ind w:left="0"/>
        <w:jc w:val="both"/>
        <w:rPr>
          <w:sz w:val="20"/>
          <w:szCs w:val="32"/>
        </w:rPr>
      </w:pPr>
      <w:r w:rsidRPr="00486E65">
        <w:rPr>
          <w:sz w:val="20"/>
          <w:szCs w:val="32"/>
        </w:rPr>
        <w:t>4</w:t>
      </w:r>
      <w:r w:rsidR="007C5D62" w:rsidRPr="00486E65">
        <w:rPr>
          <w:sz w:val="20"/>
          <w:szCs w:val="32"/>
        </w:rPr>
        <w:t xml:space="preserve">. </w:t>
      </w:r>
      <w:r w:rsidRPr="00486E65">
        <w:rPr>
          <w:sz w:val="20"/>
          <w:szCs w:val="32"/>
        </w:rPr>
        <w:tab/>
      </w:r>
      <w:r w:rsidR="007C5D62" w:rsidRPr="00486E65">
        <w:rPr>
          <w:sz w:val="20"/>
          <w:szCs w:val="32"/>
        </w:rPr>
        <w:t>El Estado adoptará, dentro de un plazo razonable, las medidas legislativas o de otro carácter para adecuar su ordenamiento jurídico interno a lo establecido en la Convención Americana, de conformidad con lo resuelto en la presente Sentencia, en los términos de los párrafos 211 a 216 del Fallo.</w:t>
      </w:r>
    </w:p>
    <w:p w14:paraId="3C2AC202" w14:textId="77777777" w:rsidR="007C5D62" w:rsidRPr="00486E65" w:rsidRDefault="007C5D62" w:rsidP="00DD716D">
      <w:pPr>
        <w:pStyle w:val="Prrafodelista"/>
        <w:ind w:left="0"/>
        <w:jc w:val="both"/>
        <w:rPr>
          <w:sz w:val="20"/>
          <w:szCs w:val="32"/>
        </w:rPr>
      </w:pPr>
    </w:p>
    <w:p w14:paraId="1538C2F4" w14:textId="3A57ED35" w:rsidR="007C5D62" w:rsidRPr="00486E65" w:rsidRDefault="00486E65" w:rsidP="00DD716D">
      <w:pPr>
        <w:pStyle w:val="Prrafodelista"/>
        <w:ind w:left="0"/>
        <w:jc w:val="both"/>
        <w:rPr>
          <w:sz w:val="20"/>
          <w:szCs w:val="32"/>
        </w:rPr>
      </w:pPr>
      <w:r w:rsidRPr="00486E65">
        <w:rPr>
          <w:sz w:val="20"/>
          <w:szCs w:val="32"/>
        </w:rPr>
        <w:t>5</w:t>
      </w:r>
      <w:r w:rsidR="007C5D62" w:rsidRPr="00486E65">
        <w:rPr>
          <w:sz w:val="20"/>
          <w:szCs w:val="32"/>
        </w:rPr>
        <w:t xml:space="preserve">. </w:t>
      </w:r>
      <w:r w:rsidRPr="00486E65">
        <w:rPr>
          <w:sz w:val="20"/>
          <w:szCs w:val="32"/>
        </w:rPr>
        <w:tab/>
      </w:r>
      <w:r w:rsidR="007C5D62" w:rsidRPr="00486E65">
        <w:rPr>
          <w:sz w:val="20"/>
          <w:szCs w:val="32"/>
        </w:rPr>
        <w:t>El Estado implementará, dentro del plazo de un año a partir de la notificación de la Sentencia, capacitaciones al personal de las Fuerzas Armadas, incluidas las autoridades encargadas de la aplicación de sanciones disciplinarias, respecto a la protección de denunciantes que expongan hechos de corrupción o violaciones de derechos humanos, a la luz de los estándares establecidos en el Fallo, en los términos del párrafo 217 de la Sentencia.</w:t>
      </w:r>
    </w:p>
    <w:p w14:paraId="1D20DC52" w14:textId="77777777" w:rsidR="007C5D62" w:rsidRPr="00486E65" w:rsidRDefault="007C5D62" w:rsidP="00DD716D">
      <w:pPr>
        <w:pStyle w:val="Prrafodelista"/>
        <w:ind w:left="0"/>
        <w:jc w:val="both"/>
        <w:rPr>
          <w:sz w:val="20"/>
          <w:szCs w:val="32"/>
        </w:rPr>
      </w:pPr>
    </w:p>
    <w:p w14:paraId="7E010208" w14:textId="1B4AE4D0" w:rsidR="007C5D62" w:rsidRPr="00486E65" w:rsidRDefault="00486E65" w:rsidP="00DD716D">
      <w:pPr>
        <w:pStyle w:val="Prrafodelista"/>
        <w:ind w:left="0"/>
        <w:jc w:val="both"/>
        <w:rPr>
          <w:sz w:val="20"/>
          <w:szCs w:val="32"/>
        </w:rPr>
      </w:pPr>
      <w:r w:rsidRPr="00486E65">
        <w:rPr>
          <w:sz w:val="20"/>
          <w:szCs w:val="32"/>
        </w:rPr>
        <w:t>6</w:t>
      </w:r>
      <w:r w:rsidR="007C5D62" w:rsidRPr="00486E65">
        <w:rPr>
          <w:sz w:val="20"/>
          <w:szCs w:val="32"/>
        </w:rPr>
        <w:t xml:space="preserve">. </w:t>
      </w:r>
      <w:r w:rsidRPr="00486E65">
        <w:rPr>
          <w:sz w:val="20"/>
          <w:szCs w:val="32"/>
        </w:rPr>
        <w:tab/>
      </w:r>
      <w:r w:rsidR="007C5D62" w:rsidRPr="00486E65">
        <w:rPr>
          <w:sz w:val="20"/>
          <w:szCs w:val="32"/>
        </w:rPr>
        <w:t xml:space="preserve">El Estado pagará </w:t>
      </w:r>
      <w:r w:rsidR="000F6F91">
        <w:rPr>
          <w:sz w:val="20"/>
          <w:szCs w:val="32"/>
        </w:rPr>
        <w:t>las cantidades fijadas</w:t>
      </w:r>
      <w:r w:rsidR="007C5D62" w:rsidRPr="00486E65">
        <w:rPr>
          <w:sz w:val="20"/>
          <w:szCs w:val="32"/>
        </w:rPr>
        <w:t xml:space="preserve"> en </w:t>
      </w:r>
      <w:r w:rsidR="00232DAE">
        <w:rPr>
          <w:sz w:val="20"/>
          <w:szCs w:val="32"/>
        </w:rPr>
        <w:t>el</w:t>
      </w:r>
      <w:r w:rsidR="007C5D62" w:rsidRPr="00486E65">
        <w:rPr>
          <w:sz w:val="20"/>
          <w:szCs w:val="32"/>
        </w:rPr>
        <w:t xml:space="preserve"> párrafo 200</w:t>
      </w:r>
      <w:r w:rsidR="00232DAE">
        <w:rPr>
          <w:sz w:val="20"/>
          <w:szCs w:val="32"/>
        </w:rPr>
        <w:t xml:space="preserve"> </w:t>
      </w:r>
      <w:r w:rsidR="007C5D62" w:rsidRPr="00486E65">
        <w:rPr>
          <w:sz w:val="20"/>
          <w:szCs w:val="32"/>
        </w:rPr>
        <w:t>de la Sentencia por concepto de rehabilitación, en los términos de los párrafos 241 a 246 la Sentencia.</w:t>
      </w:r>
    </w:p>
    <w:p w14:paraId="5775A9DA" w14:textId="77777777" w:rsidR="00925155" w:rsidRPr="00486E65" w:rsidRDefault="00925155" w:rsidP="00DD716D">
      <w:pPr>
        <w:pStyle w:val="Prrafodelista"/>
        <w:ind w:left="0"/>
        <w:jc w:val="both"/>
        <w:rPr>
          <w:sz w:val="20"/>
          <w:szCs w:val="32"/>
        </w:rPr>
      </w:pPr>
    </w:p>
    <w:p w14:paraId="032F8EDA" w14:textId="0940F02F" w:rsidR="00925155" w:rsidRPr="00486E65" w:rsidRDefault="00486E65" w:rsidP="00925155">
      <w:pPr>
        <w:pStyle w:val="Prrafodelista"/>
        <w:ind w:left="0"/>
        <w:jc w:val="both"/>
        <w:rPr>
          <w:rFonts w:eastAsia="Cambria" w:cs="Times New Roman"/>
          <w:bCs/>
          <w:sz w:val="32"/>
          <w:szCs w:val="32"/>
        </w:rPr>
      </w:pPr>
      <w:r w:rsidRPr="00486E65">
        <w:rPr>
          <w:sz w:val="20"/>
          <w:szCs w:val="32"/>
        </w:rPr>
        <w:t>7</w:t>
      </w:r>
      <w:r w:rsidR="00925155" w:rsidRPr="00486E65">
        <w:rPr>
          <w:sz w:val="20"/>
          <w:szCs w:val="32"/>
        </w:rPr>
        <w:t xml:space="preserve">. </w:t>
      </w:r>
      <w:r w:rsidRPr="00486E65">
        <w:rPr>
          <w:sz w:val="20"/>
          <w:szCs w:val="32"/>
        </w:rPr>
        <w:tab/>
      </w:r>
      <w:r w:rsidR="00925155" w:rsidRPr="00486E65">
        <w:rPr>
          <w:sz w:val="20"/>
          <w:szCs w:val="32"/>
        </w:rPr>
        <w:t xml:space="preserve">El Estado pagará </w:t>
      </w:r>
      <w:r w:rsidR="008A10E9">
        <w:rPr>
          <w:sz w:val="20"/>
          <w:szCs w:val="32"/>
        </w:rPr>
        <w:t>las cantidades fijadas</w:t>
      </w:r>
      <w:r w:rsidR="00925155" w:rsidRPr="00486E65">
        <w:rPr>
          <w:sz w:val="20"/>
          <w:szCs w:val="32"/>
        </w:rPr>
        <w:t xml:space="preserve"> en </w:t>
      </w:r>
      <w:r w:rsidR="008A10E9">
        <w:rPr>
          <w:sz w:val="20"/>
          <w:szCs w:val="32"/>
        </w:rPr>
        <w:t>el</w:t>
      </w:r>
      <w:r w:rsidR="00925155" w:rsidRPr="00486E65">
        <w:rPr>
          <w:sz w:val="20"/>
          <w:szCs w:val="32"/>
        </w:rPr>
        <w:t xml:space="preserve"> párrafo 234</w:t>
      </w:r>
      <w:r w:rsidR="008A10E9">
        <w:rPr>
          <w:sz w:val="20"/>
          <w:szCs w:val="32"/>
        </w:rPr>
        <w:t xml:space="preserve"> </w:t>
      </w:r>
      <w:r w:rsidR="00925155" w:rsidRPr="00486E65">
        <w:rPr>
          <w:sz w:val="20"/>
          <w:szCs w:val="32"/>
        </w:rPr>
        <w:t>de la Sentencia por concepto de indemnización por daño material e inmaterial, en los términos de los párrafos 241 a 246 la Sentencia.</w:t>
      </w:r>
    </w:p>
    <w:p w14:paraId="5D50E35F" w14:textId="77777777" w:rsidR="00925155" w:rsidRPr="000F6F91" w:rsidRDefault="00925155" w:rsidP="00DD716D">
      <w:pPr>
        <w:pStyle w:val="Prrafodelista"/>
        <w:ind w:left="0"/>
        <w:jc w:val="both"/>
        <w:rPr>
          <w:rFonts w:eastAsia="Cambria" w:cs="Times New Roman"/>
          <w:bCs/>
          <w:sz w:val="20"/>
          <w:szCs w:val="20"/>
        </w:rPr>
      </w:pPr>
    </w:p>
    <w:p w14:paraId="189CDCC8" w14:textId="55D25FC7" w:rsidR="00925155" w:rsidRPr="00486E65" w:rsidRDefault="00486E65" w:rsidP="00925155">
      <w:pPr>
        <w:pStyle w:val="Prrafodelista"/>
        <w:ind w:left="0"/>
        <w:jc w:val="both"/>
        <w:rPr>
          <w:rFonts w:eastAsia="Cambria" w:cs="Times New Roman"/>
          <w:bCs/>
          <w:sz w:val="32"/>
          <w:szCs w:val="32"/>
        </w:rPr>
      </w:pPr>
      <w:r w:rsidRPr="00486E65">
        <w:rPr>
          <w:sz w:val="20"/>
          <w:szCs w:val="32"/>
        </w:rPr>
        <w:t>8</w:t>
      </w:r>
      <w:r w:rsidR="00925155" w:rsidRPr="00486E65">
        <w:rPr>
          <w:sz w:val="20"/>
          <w:szCs w:val="32"/>
        </w:rPr>
        <w:t xml:space="preserve">. </w:t>
      </w:r>
      <w:r w:rsidRPr="00486E65">
        <w:rPr>
          <w:sz w:val="20"/>
          <w:szCs w:val="32"/>
        </w:rPr>
        <w:tab/>
      </w:r>
      <w:r w:rsidR="00925155" w:rsidRPr="00486E65">
        <w:rPr>
          <w:sz w:val="20"/>
          <w:szCs w:val="32"/>
        </w:rPr>
        <w:t xml:space="preserve">El Estado pagará </w:t>
      </w:r>
      <w:r w:rsidR="000F6F91">
        <w:rPr>
          <w:sz w:val="20"/>
          <w:szCs w:val="32"/>
        </w:rPr>
        <w:t xml:space="preserve">la cantidad </w:t>
      </w:r>
      <w:r w:rsidR="001E40BF">
        <w:rPr>
          <w:sz w:val="20"/>
          <w:szCs w:val="32"/>
        </w:rPr>
        <w:t>fijada</w:t>
      </w:r>
      <w:r w:rsidR="00925155" w:rsidRPr="00486E65">
        <w:rPr>
          <w:sz w:val="20"/>
          <w:szCs w:val="32"/>
        </w:rPr>
        <w:t xml:space="preserve"> en </w:t>
      </w:r>
      <w:r w:rsidR="001E40BF">
        <w:rPr>
          <w:sz w:val="20"/>
          <w:szCs w:val="32"/>
        </w:rPr>
        <w:t xml:space="preserve">el párrafo </w:t>
      </w:r>
      <w:r w:rsidR="00925155" w:rsidRPr="00486E65">
        <w:rPr>
          <w:sz w:val="20"/>
          <w:szCs w:val="32"/>
        </w:rPr>
        <w:t>238 de la Sentencia por concepto de reintegro de costas y gastos, en los términos de los párrafos 241 a 246 la Sentencia.</w:t>
      </w:r>
    </w:p>
    <w:p w14:paraId="69CCB63D" w14:textId="77777777" w:rsidR="00925155" w:rsidRDefault="00925155" w:rsidP="00DD716D">
      <w:pPr>
        <w:pStyle w:val="Prrafodelista"/>
        <w:ind w:left="0"/>
        <w:jc w:val="both"/>
        <w:rPr>
          <w:rFonts w:eastAsia="Cambria" w:cs="Times New Roman"/>
          <w:bCs/>
          <w:sz w:val="24"/>
        </w:rPr>
      </w:pPr>
    </w:p>
    <w:p w14:paraId="65CB7927" w14:textId="0AB0D01C" w:rsidR="00486E65" w:rsidRPr="009E2E1E" w:rsidRDefault="00486E65" w:rsidP="00DD716D">
      <w:pPr>
        <w:pStyle w:val="Prrafodelista"/>
        <w:ind w:left="0"/>
        <w:jc w:val="both"/>
        <w:rPr>
          <w:rFonts w:eastAsia="Cambria" w:cs="Times New Roman"/>
          <w:bCs/>
          <w:sz w:val="24"/>
        </w:rPr>
      </w:pPr>
      <w:r>
        <w:rPr>
          <w:sz w:val="20"/>
          <w:szCs w:val="32"/>
        </w:rPr>
        <w:t>9</w:t>
      </w:r>
      <w:r w:rsidRPr="00486E65">
        <w:rPr>
          <w:sz w:val="20"/>
          <w:szCs w:val="32"/>
        </w:rPr>
        <w:t xml:space="preserve">. </w:t>
      </w:r>
      <w:r w:rsidRPr="00486E65">
        <w:rPr>
          <w:sz w:val="20"/>
          <w:szCs w:val="32"/>
        </w:rPr>
        <w:tab/>
        <w:t xml:space="preserve">El Estado pagará </w:t>
      </w:r>
      <w:r w:rsidR="001E40BF">
        <w:rPr>
          <w:sz w:val="20"/>
          <w:szCs w:val="32"/>
        </w:rPr>
        <w:t>la cantidad fijada</w:t>
      </w:r>
      <w:r w:rsidRPr="00486E65">
        <w:rPr>
          <w:sz w:val="20"/>
          <w:szCs w:val="32"/>
        </w:rPr>
        <w:t xml:space="preserve"> en </w:t>
      </w:r>
      <w:r w:rsidR="001E40BF">
        <w:rPr>
          <w:sz w:val="20"/>
          <w:szCs w:val="32"/>
        </w:rPr>
        <w:t>el párrafo</w:t>
      </w:r>
      <w:r w:rsidRPr="00486E65">
        <w:rPr>
          <w:sz w:val="20"/>
          <w:szCs w:val="32"/>
        </w:rPr>
        <w:t xml:space="preserve"> 240 de la Sentencia por concepto de</w:t>
      </w:r>
      <w:r w:rsidR="001E40BF">
        <w:rPr>
          <w:sz w:val="20"/>
          <w:szCs w:val="32"/>
        </w:rPr>
        <w:t xml:space="preserve"> </w:t>
      </w:r>
      <w:r w:rsidRPr="00486E65">
        <w:rPr>
          <w:sz w:val="20"/>
          <w:szCs w:val="32"/>
        </w:rPr>
        <w:t>reintegro al Fondo de Asistencia Legal de Víctimas</w:t>
      </w:r>
      <w:r w:rsidR="00F00A58">
        <w:rPr>
          <w:sz w:val="20"/>
          <w:szCs w:val="32"/>
        </w:rPr>
        <w:t>.</w:t>
      </w:r>
    </w:p>
    <w:sectPr w:rsidR="00486E65" w:rsidRPr="009E2E1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05A0C" w14:textId="77777777" w:rsidR="00961371" w:rsidRDefault="00961371" w:rsidP="009F7EF4">
      <w:r>
        <w:separator/>
      </w:r>
    </w:p>
  </w:endnote>
  <w:endnote w:type="continuationSeparator" w:id="0">
    <w:p w14:paraId="7FE4EFA2" w14:textId="77777777" w:rsidR="00961371" w:rsidRDefault="00961371"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DC0A2" w14:textId="77777777" w:rsidR="00961371" w:rsidRDefault="00961371" w:rsidP="009F7EF4">
      <w:r>
        <w:separator/>
      </w:r>
    </w:p>
  </w:footnote>
  <w:footnote w:type="continuationSeparator" w:id="0">
    <w:p w14:paraId="61A194AE" w14:textId="77777777" w:rsidR="00961371" w:rsidRDefault="00961371"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D93053B"/>
    <w:multiLevelType w:val="hybridMultilevel"/>
    <w:tmpl w:val="E30CD67E"/>
    <w:lvl w:ilvl="0" w:tplc="9C62DD06">
      <w:start w:val="1"/>
      <w:numFmt w:val="decimal"/>
      <w:lvlText w:val="%1."/>
      <w:lvlJc w:val="left"/>
      <w:pPr>
        <w:ind w:left="1080" w:hanging="72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7"/>
  </w:num>
  <w:num w:numId="2" w16cid:durableId="1006977419">
    <w:abstractNumId w:val="3"/>
  </w:num>
  <w:num w:numId="3" w16cid:durableId="1898857309">
    <w:abstractNumId w:val="6"/>
  </w:num>
  <w:num w:numId="4" w16cid:durableId="813376198">
    <w:abstractNumId w:val="0"/>
  </w:num>
  <w:num w:numId="5" w16cid:durableId="1301183043">
    <w:abstractNumId w:val="2"/>
  </w:num>
  <w:num w:numId="6" w16cid:durableId="1987202998">
    <w:abstractNumId w:val="4"/>
  </w:num>
  <w:num w:numId="7" w16cid:durableId="834998481">
    <w:abstractNumId w:val="5"/>
  </w:num>
  <w:num w:numId="8" w16cid:durableId="620764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25CD3"/>
    <w:rsid w:val="00077037"/>
    <w:rsid w:val="000930F6"/>
    <w:rsid w:val="0009537E"/>
    <w:rsid w:val="00097803"/>
    <w:rsid w:val="000F6F91"/>
    <w:rsid w:val="00101CC6"/>
    <w:rsid w:val="00141D68"/>
    <w:rsid w:val="001426AA"/>
    <w:rsid w:val="001729AE"/>
    <w:rsid w:val="001E40BF"/>
    <w:rsid w:val="001F3394"/>
    <w:rsid w:val="00206FE0"/>
    <w:rsid w:val="00214AB7"/>
    <w:rsid w:val="00232DAE"/>
    <w:rsid w:val="00253D4B"/>
    <w:rsid w:val="00291327"/>
    <w:rsid w:val="00296F77"/>
    <w:rsid w:val="002B0CCE"/>
    <w:rsid w:val="002B3295"/>
    <w:rsid w:val="002E376C"/>
    <w:rsid w:val="00377219"/>
    <w:rsid w:val="00380998"/>
    <w:rsid w:val="003A7E5E"/>
    <w:rsid w:val="003B6482"/>
    <w:rsid w:val="003C561A"/>
    <w:rsid w:val="003E2FF4"/>
    <w:rsid w:val="003E5DDB"/>
    <w:rsid w:val="00467507"/>
    <w:rsid w:val="00474D04"/>
    <w:rsid w:val="00476F6E"/>
    <w:rsid w:val="00484D15"/>
    <w:rsid w:val="00486E65"/>
    <w:rsid w:val="004D4FC6"/>
    <w:rsid w:val="005154EE"/>
    <w:rsid w:val="005A203D"/>
    <w:rsid w:val="005D1A85"/>
    <w:rsid w:val="006022F0"/>
    <w:rsid w:val="00617B3E"/>
    <w:rsid w:val="006A777A"/>
    <w:rsid w:val="006C38A6"/>
    <w:rsid w:val="006E15DE"/>
    <w:rsid w:val="00792165"/>
    <w:rsid w:val="007C5D62"/>
    <w:rsid w:val="00827E37"/>
    <w:rsid w:val="00834F1A"/>
    <w:rsid w:val="00867C2F"/>
    <w:rsid w:val="00876E46"/>
    <w:rsid w:val="008A10E9"/>
    <w:rsid w:val="00925155"/>
    <w:rsid w:val="00926FFB"/>
    <w:rsid w:val="00955D28"/>
    <w:rsid w:val="00961371"/>
    <w:rsid w:val="009832C0"/>
    <w:rsid w:val="009D22BE"/>
    <w:rsid w:val="009D6A26"/>
    <w:rsid w:val="009E2E1E"/>
    <w:rsid w:val="009F7EF4"/>
    <w:rsid w:val="00A1649A"/>
    <w:rsid w:val="00A721F8"/>
    <w:rsid w:val="00AA2296"/>
    <w:rsid w:val="00AA6B2F"/>
    <w:rsid w:val="00AE0035"/>
    <w:rsid w:val="00B005CF"/>
    <w:rsid w:val="00B03BA7"/>
    <w:rsid w:val="00B11B9B"/>
    <w:rsid w:val="00B32A37"/>
    <w:rsid w:val="00B33305"/>
    <w:rsid w:val="00BA6BA9"/>
    <w:rsid w:val="00BC3223"/>
    <w:rsid w:val="00BC5824"/>
    <w:rsid w:val="00BE56CA"/>
    <w:rsid w:val="00BF3ECD"/>
    <w:rsid w:val="00C04CCC"/>
    <w:rsid w:val="00C4747D"/>
    <w:rsid w:val="00C66067"/>
    <w:rsid w:val="00C807CF"/>
    <w:rsid w:val="00CA1142"/>
    <w:rsid w:val="00CD14E6"/>
    <w:rsid w:val="00CF3296"/>
    <w:rsid w:val="00CF5AE9"/>
    <w:rsid w:val="00D042E3"/>
    <w:rsid w:val="00D045E9"/>
    <w:rsid w:val="00D26E80"/>
    <w:rsid w:val="00D3440D"/>
    <w:rsid w:val="00D843BF"/>
    <w:rsid w:val="00DD716D"/>
    <w:rsid w:val="00E42392"/>
    <w:rsid w:val="00E45105"/>
    <w:rsid w:val="00E50670"/>
    <w:rsid w:val="00E507C2"/>
    <w:rsid w:val="00E5304C"/>
    <w:rsid w:val="00E85D9E"/>
    <w:rsid w:val="00ED29C6"/>
    <w:rsid w:val="00F00A58"/>
    <w:rsid w:val="00F243DB"/>
    <w:rsid w:val="00F50093"/>
    <w:rsid w:val="00F53F1F"/>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323</Words>
  <Characters>1779</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15</cp:revision>
  <cp:lastPrinted>2022-12-20T16:37:00Z</cp:lastPrinted>
  <dcterms:created xsi:type="dcterms:W3CDTF">2024-04-03T21:04:00Z</dcterms:created>
  <dcterms:modified xsi:type="dcterms:W3CDTF">2024-04-03T22:27:00Z</dcterms:modified>
</cp:coreProperties>
</file>