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74" w:rsidRDefault="00F01A74" w:rsidP="00F01A74">
      <w:pPr>
        <w:jc w:val="center"/>
        <w:rPr>
          <w:rFonts w:ascii="Verdana" w:hAnsi="Verdana"/>
          <w:b/>
          <w:sz w:val="20"/>
          <w:szCs w:val="20"/>
          <w:u w:val="single"/>
          <w:lang w:val="es-CR"/>
        </w:rPr>
      </w:pPr>
      <w:bookmarkStart w:id="0" w:name="_GoBack"/>
      <w:bookmarkEnd w:id="0"/>
      <w:r w:rsidRPr="00F01A74">
        <w:rPr>
          <w:rFonts w:ascii="Verdana" w:hAnsi="Verdana"/>
          <w:b/>
          <w:sz w:val="20"/>
          <w:szCs w:val="20"/>
          <w:u w:val="single"/>
          <w:lang w:val="es-CR"/>
        </w:rPr>
        <w:t xml:space="preserve">Caso Ruano Torres y otros </w:t>
      </w:r>
      <w:r w:rsidRPr="00F01A74">
        <w:rPr>
          <w:rFonts w:ascii="Verdana" w:hAnsi="Verdana"/>
          <w:b/>
          <w:i/>
          <w:sz w:val="20"/>
          <w:szCs w:val="20"/>
          <w:u w:val="single"/>
          <w:lang w:val="es-CR"/>
        </w:rPr>
        <w:t>Vs.</w:t>
      </w:r>
      <w:r w:rsidRPr="00F01A74">
        <w:rPr>
          <w:rFonts w:ascii="Verdana" w:hAnsi="Verdana"/>
          <w:b/>
          <w:sz w:val="20"/>
          <w:szCs w:val="20"/>
          <w:u w:val="single"/>
          <w:lang w:val="es-CR"/>
        </w:rPr>
        <w:t xml:space="preserve"> El Salvador: reparaciones </w:t>
      </w:r>
      <w:r>
        <w:rPr>
          <w:rFonts w:ascii="Verdana" w:hAnsi="Verdana"/>
          <w:b/>
          <w:sz w:val="20"/>
          <w:szCs w:val="20"/>
          <w:u w:val="single"/>
          <w:lang w:val="es-CR"/>
        </w:rPr>
        <w:t>pendientes de cumplimiento</w:t>
      </w: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Pr>
          <w:rFonts w:ascii="Verdana" w:eastAsia="Calibri" w:hAnsi="Verdana" w:cs="Verdana"/>
          <w:snapToGrid w:val="0"/>
          <w:sz w:val="20"/>
          <w:szCs w:val="20"/>
          <w:lang w:val="es-CR" w:eastAsia="es-ES"/>
        </w:rPr>
        <w:t>I</w:t>
      </w:r>
      <w:r w:rsidRPr="00F01A74">
        <w:rPr>
          <w:rFonts w:ascii="Verdana" w:eastAsia="Calibri" w:hAnsi="Verdana" w:cs="Verdana"/>
          <w:snapToGrid w:val="0"/>
          <w:sz w:val="20"/>
          <w:szCs w:val="20"/>
          <w:lang w:val="es-CR" w:eastAsia="es-ES"/>
        </w:rPr>
        <w:t>niciar y conducir eficazmente, en un plazo razonable, la investigación y proceso penal de los actos violatorios del artículo 5.2 de la Convención cometidos en contra del señor José Agapito Ruano Torres, para determinar las eventuales responsabilidades penales y, en su caso, aplicar efectivamente las sanciones y consecuencias que la ley prevea, en los términos de los párrafos 197 a 199 de la presente sentencia.</w:t>
      </w:r>
    </w:p>
    <w:p w:rsidR="00F01A74" w:rsidRDefault="00F01A74" w:rsidP="00F01A74">
      <w:pPr>
        <w:pStyle w:val="ListParagraph"/>
        <w:autoSpaceDE w:val="0"/>
        <w:autoSpaceDN w:val="0"/>
        <w:adjustRightInd w:val="0"/>
        <w:spacing w:after="0" w:line="240" w:lineRule="auto"/>
        <w:ind w:left="360"/>
        <w:jc w:val="both"/>
        <w:rPr>
          <w:rFonts w:ascii="Verdana" w:eastAsia="Calibri" w:hAnsi="Verdana" w:cs="Verdana"/>
          <w:snapToGrid w:val="0"/>
          <w:sz w:val="20"/>
          <w:szCs w:val="20"/>
          <w:lang w:val="es-CR" w:eastAsia="es-ES"/>
        </w:rPr>
      </w:pP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Determinar, por intermedio de las instituciones públicas competentes, las eventuales responsabilidades de los funcionarios de la defensoría pública que contribuyeron con su actuación a la violación de los derechos en perjuicio de José Agapito Ruano Torres y, en la medida que corresponda, aplicar las consecuencias que la ley prevea, en los términos de los párrafos 203 a 205 de la presente sentencia.</w:t>
      </w:r>
    </w:p>
    <w:p w:rsidR="00F01A74" w:rsidRPr="00F01A74" w:rsidRDefault="00F01A74" w:rsidP="00F01A74">
      <w:pPr>
        <w:autoSpaceDE w:val="0"/>
        <w:autoSpaceDN w:val="0"/>
        <w:adjustRightInd w:val="0"/>
        <w:spacing w:after="0" w:line="240" w:lineRule="auto"/>
        <w:jc w:val="both"/>
        <w:rPr>
          <w:rFonts w:ascii="Verdana" w:eastAsia="Calibri" w:hAnsi="Verdana" w:cs="Verdana"/>
          <w:snapToGrid w:val="0"/>
          <w:sz w:val="20"/>
          <w:szCs w:val="20"/>
          <w:lang w:val="es-CR" w:eastAsia="es-ES"/>
        </w:rPr>
      </w:pP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Adoptar todas las medidas necesarias para hacer efectiva la declaratoria contenida en el párrafo 211 de esta sentencia y, por lo tanto, dejar sin efecto todas las consecuencias que de la sentencia de condena que fue emitida en el proceso penal No. 77-2001-2 en contra de José Agapito Ruano Torres se derivan, así como los antecedentes judiciales o administrativos, penales o policiales, que existan en su contra a raíz de dicho proceso, en los términos de los párrafos 209 a 212 de la presente sentencia.</w:t>
      </w:r>
    </w:p>
    <w:p w:rsidR="00F01A74" w:rsidRPr="00F01A74" w:rsidRDefault="00F01A74" w:rsidP="00F01A74">
      <w:pPr>
        <w:autoSpaceDE w:val="0"/>
        <w:autoSpaceDN w:val="0"/>
        <w:adjustRightInd w:val="0"/>
        <w:spacing w:after="0" w:line="240" w:lineRule="auto"/>
        <w:jc w:val="both"/>
        <w:rPr>
          <w:rFonts w:ascii="Verdana" w:eastAsia="Calibri" w:hAnsi="Verdana" w:cs="Verdana"/>
          <w:snapToGrid w:val="0"/>
          <w:sz w:val="20"/>
          <w:szCs w:val="20"/>
          <w:lang w:val="es-CR" w:eastAsia="es-ES"/>
        </w:rPr>
      </w:pP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Brindar gratuitamente, a través de sus instituciones de salud especializadas, y de forma inmediata, adecuada y efectiva, el tratamiento psicológico y/o psiquiátrico si así lo solicitan, previo consentimiento informado, incluyendo el suministro gratuito de los medicamentos que eventualmente se requieran, en los términos de los párrafos 215 a 216 de la presente sentencia.</w:t>
      </w:r>
    </w:p>
    <w:p w:rsidR="00F01A74" w:rsidRPr="00F01A74" w:rsidRDefault="00F01A74" w:rsidP="00F01A74">
      <w:pPr>
        <w:autoSpaceDE w:val="0"/>
        <w:autoSpaceDN w:val="0"/>
        <w:adjustRightInd w:val="0"/>
        <w:spacing w:after="0" w:line="240" w:lineRule="auto"/>
        <w:jc w:val="both"/>
        <w:rPr>
          <w:rFonts w:ascii="Verdana" w:eastAsia="Calibri" w:hAnsi="Verdana" w:cs="Verdana"/>
          <w:snapToGrid w:val="0"/>
          <w:sz w:val="20"/>
          <w:szCs w:val="20"/>
          <w:lang w:val="es-CR" w:eastAsia="es-ES"/>
        </w:rPr>
      </w:pP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 xml:space="preserve">Otorgar becas en instituciones públicas salvadoreñas, en beneficio de José Agapito Ruano Torres y sus familiares María Maribel Guevara de Ruano, Oscar Manuel Ruano Guevara, </w:t>
      </w:r>
      <w:proofErr w:type="spellStart"/>
      <w:r w:rsidRPr="00F01A74">
        <w:rPr>
          <w:rFonts w:ascii="Verdana" w:eastAsia="Calibri" w:hAnsi="Verdana" w:cs="Verdana"/>
          <w:snapToGrid w:val="0"/>
          <w:sz w:val="20"/>
          <w:szCs w:val="20"/>
          <w:lang w:val="es-CR" w:eastAsia="es-ES"/>
        </w:rPr>
        <w:t>Keily</w:t>
      </w:r>
      <w:proofErr w:type="spellEnd"/>
      <w:r w:rsidRPr="00F01A74">
        <w:rPr>
          <w:rFonts w:ascii="Verdana" w:eastAsia="Calibri" w:hAnsi="Verdana" w:cs="Verdana"/>
          <w:snapToGrid w:val="0"/>
          <w:sz w:val="20"/>
          <w:szCs w:val="20"/>
          <w:lang w:val="es-CR" w:eastAsia="es-ES"/>
        </w:rPr>
        <w:t xml:space="preserve"> Lisbeth Ruano Guevara y Pedro Torres Hércules, que cubran todos los costos de su educación hasta la conclusión de sus estudios superiores, bien sean técnicos o universitarios, en los términos del párrafo 219 de la presente sentencia.</w:t>
      </w:r>
    </w:p>
    <w:p w:rsidR="00F01A74" w:rsidRPr="00F01A74" w:rsidRDefault="00F01A74" w:rsidP="00F01A74">
      <w:pPr>
        <w:autoSpaceDE w:val="0"/>
        <w:autoSpaceDN w:val="0"/>
        <w:adjustRightInd w:val="0"/>
        <w:spacing w:after="0" w:line="240" w:lineRule="auto"/>
        <w:jc w:val="both"/>
        <w:rPr>
          <w:rFonts w:ascii="Verdana" w:eastAsia="Calibri" w:hAnsi="Verdana" w:cs="Verdana"/>
          <w:snapToGrid w:val="0"/>
          <w:sz w:val="20"/>
          <w:szCs w:val="20"/>
          <w:lang w:val="es-CR" w:eastAsia="es-ES"/>
        </w:rPr>
      </w:pP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Implementar, en un plazo razonable y con la respectiva disposición presupuestaria, programas o cursos obligatorios y permanentes sobre los principios y normas de la protección de los derechos humanos, en particular las normas internacionales establecidas en los principios relativos a la investigación y documentación eficaces de la tortura y otros tratos o penas crueles, inhumanos, o degradantes dirigidos al personal de la Policía Nacional Civil y de la Fiscalía General de la República, en los términos de los párrafos 229 a 231 de la presente sentencia.</w:t>
      </w: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Reforzar, en un plazo razonable, los sistemas de selección de defensores públicos que aseguren la designación de personas que cumplan con los requisitos de idoneidad y capacidad técnica comprobada, así como desarrollar controles a través de protocolos para asegurar la eficacia de la gestión de la defensa pública en materia penal, en los términos del párrafo 234 de la presente sentencia.</w:t>
      </w:r>
    </w:p>
    <w:p w:rsidR="00F01A74" w:rsidRDefault="00F01A74" w:rsidP="00F01A74">
      <w:pPr>
        <w:pStyle w:val="ListParagraph"/>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 xml:space="preserve"> </w:t>
      </w: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 xml:space="preserve">Implementar, en un plazo razonable, si no existieran actualmente o, en su caso, fortalecer los programas de capacitación, como sistema de formación continua, dirigidos </w:t>
      </w:r>
      <w:r w:rsidRPr="00F01A74">
        <w:rPr>
          <w:rFonts w:ascii="Verdana" w:eastAsia="Calibri" w:hAnsi="Verdana" w:cs="Verdana"/>
          <w:snapToGrid w:val="0"/>
          <w:sz w:val="20"/>
          <w:szCs w:val="20"/>
          <w:lang w:val="es-CR" w:eastAsia="es-ES"/>
        </w:rPr>
        <w:lastRenderedPageBreak/>
        <w:t>a los defensores públicos, lo cual deberá apoyar con las asignaciones presupuestarias adecuadas, en los términos del párrafo 235 de la presente sentencia.</w:t>
      </w:r>
    </w:p>
    <w:p w:rsidR="00F01A74" w:rsidRPr="00F01A74" w:rsidRDefault="00F01A74" w:rsidP="00F01A74">
      <w:pPr>
        <w:autoSpaceDE w:val="0"/>
        <w:autoSpaceDN w:val="0"/>
        <w:adjustRightInd w:val="0"/>
        <w:spacing w:after="0" w:line="240" w:lineRule="auto"/>
        <w:jc w:val="both"/>
        <w:rPr>
          <w:rFonts w:ascii="Verdana" w:eastAsia="Calibri" w:hAnsi="Verdana" w:cs="Verdana"/>
          <w:snapToGrid w:val="0"/>
          <w:sz w:val="20"/>
          <w:szCs w:val="20"/>
          <w:lang w:val="es-CR" w:eastAsia="es-ES"/>
        </w:rPr>
      </w:pPr>
    </w:p>
    <w:p w:rsidR="00F01A74" w:rsidRDefault="00F01A74" w:rsidP="00F01A74">
      <w:pPr>
        <w:pStyle w:val="ListParagraph"/>
        <w:numPr>
          <w:ilvl w:val="0"/>
          <w:numId w:val="1"/>
        </w:numPr>
        <w:autoSpaceDE w:val="0"/>
        <w:autoSpaceDN w:val="0"/>
        <w:adjustRightInd w:val="0"/>
        <w:spacing w:after="0" w:line="240" w:lineRule="auto"/>
        <w:ind w:left="360"/>
        <w:jc w:val="both"/>
        <w:rPr>
          <w:rFonts w:ascii="Verdana" w:eastAsia="Calibri" w:hAnsi="Verdana" w:cs="Verdana"/>
          <w:snapToGrid w:val="0"/>
          <w:sz w:val="20"/>
          <w:szCs w:val="20"/>
          <w:lang w:val="es-CR" w:eastAsia="es-ES"/>
        </w:rPr>
      </w:pPr>
      <w:r w:rsidRPr="00F01A74">
        <w:rPr>
          <w:rFonts w:ascii="Verdana" w:eastAsia="Calibri" w:hAnsi="Verdana" w:cs="Verdana"/>
          <w:snapToGrid w:val="0"/>
          <w:sz w:val="20"/>
          <w:szCs w:val="20"/>
          <w:lang w:val="es-CR" w:eastAsia="es-ES"/>
        </w:rPr>
        <w:t>Pagar las cantidades fijadas en los párrafos 243, 245 y 251 de la presente sentencia, por concepto de indemnización de los daños materiales e inmateriales, en los términos de los párrafos 260 a 265 de la misma.</w:t>
      </w:r>
    </w:p>
    <w:p w:rsidR="00F01A74" w:rsidRPr="00F01A74" w:rsidRDefault="00F01A74" w:rsidP="00F01A74">
      <w:pPr>
        <w:autoSpaceDE w:val="0"/>
        <w:autoSpaceDN w:val="0"/>
        <w:adjustRightInd w:val="0"/>
        <w:spacing w:after="0" w:line="240" w:lineRule="auto"/>
        <w:jc w:val="both"/>
        <w:rPr>
          <w:rFonts w:ascii="Verdana" w:eastAsia="Calibri" w:hAnsi="Verdana" w:cs="Verdana"/>
          <w:snapToGrid w:val="0"/>
          <w:sz w:val="20"/>
          <w:szCs w:val="20"/>
          <w:lang w:val="es-CR" w:eastAsia="es-ES"/>
        </w:rPr>
      </w:pPr>
    </w:p>
    <w:p w:rsidR="00F01A74" w:rsidRPr="00F01A74" w:rsidRDefault="00F01A74" w:rsidP="00F01A74">
      <w:pPr>
        <w:rPr>
          <w:rFonts w:ascii="Verdana" w:hAnsi="Verdana"/>
          <w:sz w:val="20"/>
          <w:szCs w:val="20"/>
          <w:lang w:val="es-CR"/>
        </w:rPr>
      </w:pPr>
    </w:p>
    <w:sectPr w:rsidR="00F01A74" w:rsidRPr="00F01A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50" w:rsidRDefault="00BF5550" w:rsidP="00F01A74">
      <w:pPr>
        <w:spacing w:after="0" w:line="240" w:lineRule="auto"/>
      </w:pPr>
      <w:r>
        <w:separator/>
      </w:r>
    </w:p>
  </w:endnote>
  <w:endnote w:type="continuationSeparator" w:id="0">
    <w:p w:rsidR="00BF5550" w:rsidRDefault="00BF5550" w:rsidP="00F0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A74" w:rsidRPr="00A950A1" w:rsidRDefault="00F01A74" w:rsidP="00F01A74">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A950A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F01A74" w:rsidRPr="00F01A74" w:rsidRDefault="00F01A74">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50" w:rsidRDefault="00BF5550" w:rsidP="00F01A74">
      <w:pPr>
        <w:spacing w:after="0" w:line="240" w:lineRule="auto"/>
      </w:pPr>
      <w:r>
        <w:separator/>
      </w:r>
    </w:p>
  </w:footnote>
  <w:footnote w:type="continuationSeparator" w:id="0">
    <w:p w:rsidR="00BF5550" w:rsidRDefault="00BF5550" w:rsidP="00F01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82131"/>
      <w:docPartObj>
        <w:docPartGallery w:val="Page Numbers (Top of Page)"/>
        <w:docPartUnique/>
      </w:docPartObj>
    </w:sdtPr>
    <w:sdtEndPr>
      <w:rPr>
        <w:noProof/>
      </w:rPr>
    </w:sdtEndPr>
    <w:sdtContent>
      <w:p w:rsidR="00F01A74" w:rsidRDefault="00F01A74">
        <w:pPr>
          <w:pStyle w:val="Header"/>
          <w:jc w:val="right"/>
        </w:pPr>
        <w:r w:rsidRPr="00F01A74">
          <w:rPr>
            <w:rFonts w:ascii="Verdana" w:hAnsi="Verdana"/>
            <w:sz w:val="20"/>
            <w:szCs w:val="20"/>
          </w:rPr>
          <w:fldChar w:fldCharType="begin"/>
        </w:r>
        <w:r w:rsidRPr="00F01A74">
          <w:rPr>
            <w:rFonts w:ascii="Verdana" w:hAnsi="Verdana"/>
            <w:sz w:val="20"/>
            <w:szCs w:val="20"/>
          </w:rPr>
          <w:instrText xml:space="preserve"> PAGE   \* MERGEFORMAT </w:instrText>
        </w:r>
        <w:r w:rsidRPr="00F01A74">
          <w:rPr>
            <w:rFonts w:ascii="Verdana" w:hAnsi="Verdana"/>
            <w:sz w:val="20"/>
            <w:szCs w:val="20"/>
          </w:rPr>
          <w:fldChar w:fldCharType="separate"/>
        </w:r>
        <w:r w:rsidR="00F332BD">
          <w:rPr>
            <w:rFonts w:ascii="Verdana" w:hAnsi="Verdana"/>
            <w:noProof/>
            <w:sz w:val="20"/>
            <w:szCs w:val="20"/>
          </w:rPr>
          <w:t>2</w:t>
        </w:r>
        <w:r w:rsidRPr="00F01A74">
          <w:rPr>
            <w:rFonts w:ascii="Verdana" w:hAnsi="Verdana"/>
            <w:noProof/>
            <w:sz w:val="20"/>
            <w:szCs w:val="20"/>
          </w:rPr>
          <w:fldChar w:fldCharType="end"/>
        </w:r>
      </w:p>
    </w:sdtContent>
  </w:sdt>
  <w:p w:rsidR="00F01A74" w:rsidRDefault="00F01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16E06"/>
    <w:multiLevelType w:val="hybridMultilevel"/>
    <w:tmpl w:val="029EB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74"/>
    <w:rsid w:val="000326D3"/>
    <w:rsid w:val="003A7E5E"/>
    <w:rsid w:val="009832C0"/>
    <w:rsid w:val="00A356E4"/>
    <w:rsid w:val="00BF5550"/>
    <w:rsid w:val="00F01A74"/>
    <w:rsid w:val="00F3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74"/>
  </w:style>
  <w:style w:type="paragraph" w:styleId="Footer">
    <w:name w:val="footer"/>
    <w:basedOn w:val="Normal"/>
    <w:link w:val="FooterChar"/>
    <w:uiPriority w:val="99"/>
    <w:unhideWhenUsed/>
    <w:rsid w:val="00F0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74"/>
  </w:style>
  <w:style w:type="paragraph" w:styleId="ListParagraph">
    <w:name w:val="List Paragraph"/>
    <w:basedOn w:val="Normal"/>
    <w:uiPriority w:val="34"/>
    <w:qFormat/>
    <w:rsid w:val="00F01A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74"/>
  </w:style>
  <w:style w:type="paragraph" w:styleId="Footer">
    <w:name w:val="footer"/>
    <w:basedOn w:val="Normal"/>
    <w:link w:val="FooterChar"/>
    <w:uiPriority w:val="99"/>
    <w:unhideWhenUsed/>
    <w:rsid w:val="00F0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74"/>
  </w:style>
  <w:style w:type="paragraph" w:styleId="ListParagraph">
    <w:name w:val="List Paragraph"/>
    <w:basedOn w:val="Normal"/>
    <w:uiPriority w:val="34"/>
    <w:qFormat/>
    <w:rsid w:val="00F01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2018-06-26T18:00:00Z</cp:lastPrinted>
  <dcterms:created xsi:type="dcterms:W3CDTF">2018-06-26T18:00:00Z</dcterms:created>
  <dcterms:modified xsi:type="dcterms:W3CDTF">2018-06-26T18:00:00Z</dcterms:modified>
</cp:coreProperties>
</file>