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07AAE" w14:textId="77777777" w:rsidR="00B11CF5" w:rsidRDefault="003E3B23" w:rsidP="00B11CF5">
      <w:pPr>
        <w:spacing w:after="0" w:line="240" w:lineRule="auto"/>
        <w:jc w:val="center"/>
        <w:rPr>
          <w:rFonts w:ascii="Verdana" w:hAnsi="Verdana"/>
          <w:b/>
          <w:sz w:val="20"/>
          <w:szCs w:val="20"/>
          <w:u w:val="single"/>
          <w:lang w:val="es-MX"/>
        </w:rPr>
      </w:pPr>
      <w:r w:rsidRPr="003E3B23">
        <w:rPr>
          <w:rFonts w:ascii="Verdana" w:hAnsi="Verdana"/>
          <w:b/>
          <w:sz w:val="20"/>
          <w:szCs w:val="20"/>
          <w:u w:val="single"/>
          <w:lang w:val="es-MX"/>
        </w:rPr>
        <w:t xml:space="preserve">Caso Bámaca Velásquez </w:t>
      </w:r>
      <w:r w:rsidRPr="003E3B23">
        <w:rPr>
          <w:rFonts w:ascii="Verdana" w:hAnsi="Verdana"/>
          <w:b/>
          <w:i/>
          <w:sz w:val="20"/>
          <w:szCs w:val="20"/>
          <w:u w:val="single"/>
          <w:lang w:val="es-MX"/>
        </w:rPr>
        <w:t>Vs.</w:t>
      </w:r>
      <w:r w:rsidRPr="003E3B23">
        <w:rPr>
          <w:rFonts w:ascii="Verdana" w:hAnsi="Verdana"/>
          <w:b/>
          <w:sz w:val="20"/>
          <w:szCs w:val="20"/>
          <w:u w:val="single"/>
          <w:lang w:val="es-MX"/>
        </w:rPr>
        <w:t xml:space="preserve"> Guatemala: reparaciones declaradas cumplidas</w:t>
      </w:r>
    </w:p>
    <w:p w14:paraId="7DEF153D" w14:textId="77777777" w:rsidR="00B11CF5" w:rsidRDefault="00B11CF5" w:rsidP="00B11CF5">
      <w:pPr>
        <w:spacing w:after="0" w:line="240" w:lineRule="auto"/>
        <w:jc w:val="center"/>
        <w:rPr>
          <w:rFonts w:ascii="Verdana" w:hAnsi="Verdana"/>
          <w:b/>
          <w:sz w:val="20"/>
          <w:szCs w:val="20"/>
          <w:u w:val="single"/>
          <w:lang w:val="es-MX"/>
        </w:rPr>
      </w:pPr>
    </w:p>
    <w:p w14:paraId="580EAF8F" w14:textId="77777777" w:rsidR="00B11CF5" w:rsidRPr="00B11CF5" w:rsidRDefault="00B11CF5" w:rsidP="00B11CF5">
      <w:pPr>
        <w:spacing w:after="0" w:line="240" w:lineRule="auto"/>
        <w:jc w:val="center"/>
        <w:rPr>
          <w:rFonts w:ascii="Verdana" w:hAnsi="Verdana"/>
          <w:b/>
          <w:sz w:val="20"/>
          <w:szCs w:val="20"/>
          <w:u w:val="single"/>
          <w:lang w:val="es-MX"/>
        </w:rPr>
      </w:pPr>
    </w:p>
    <w:p w14:paraId="4671D817" w14:textId="77777777" w:rsidR="00B11CF5" w:rsidRPr="00B11CF5" w:rsidRDefault="00B11CF5" w:rsidP="00B11CF5">
      <w:pPr>
        <w:pStyle w:val="Sangra2detindependiente"/>
        <w:numPr>
          <w:ilvl w:val="0"/>
          <w:numId w:val="2"/>
        </w:numPr>
        <w:spacing w:line="240" w:lineRule="auto"/>
        <w:ind w:left="360"/>
        <w:rPr>
          <w:rFonts w:ascii="Verdana" w:hAnsi="Verdana"/>
          <w:sz w:val="20"/>
        </w:rPr>
      </w:pPr>
      <w:r w:rsidRPr="00B11CF5">
        <w:rPr>
          <w:rFonts w:ascii="Verdana" w:hAnsi="Verdana"/>
          <w:sz w:val="20"/>
        </w:rPr>
        <w:t>Publicar en el Diario Oficial y en otro diario de circulación nacional, por una sola vez, el capítulo que se refiere a hechos probados y la parte resolutiva de la sentencia sobre el fondo dictada el 25 de noviembre de 2000, y realizar un acto público de reconocimiento de su responsabilidad en relación con los hechos de este caso y de desagravio  a las víctimas.</w:t>
      </w:r>
    </w:p>
    <w:p w14:paraId="187BCDB7" w14:textId="77777777" w:rsidR="00B11CF5" w:rsidRDefault="00B11CF5" w:rsidP="00B11CF5">
      <w:pPr>
        <w:pStyle w:val="Sangra2detindependiente"/>
        <w:spacing w:line="240" w:lineRule="auto"/>
        <w:ind w:left="360"/>
        <w:rPr>
          <w:rFonts w:ascii="Verdana" w:hAnsi="Verdana"/>
          <w:sz w:val="20"/>
        </w:rPr>
      </w:pPr>
    </w:p>
    <w:p w14:paraId="608F9369" w14:textId="77777777" w:rsidR="00386BCB" w:rsidRPr="00386BCB" w:rsidRDefault="00386BCB" w:rsidP="00386BCB">
      <w:pPr>
        <w:pStyle w:val="Sangra2detindependiente"/>
        <w:numPr>
          <w:ilvl w:val="0"/>
          <w:numId w:val="2"/>
        </w:numPr>
        <w:spacing w:line="240" w:lineRule="auto"/>
        <w:ind w:left="360"/>
        <w:rPr>
          <w:rFonts w:ascii="Verdana" w:hAnsi="Verdana"/>
          <w:sz w:val="20"/>
        </w:rPr>
      </w:pPr>
      <w:r w:rsidRPr="00386BCB">
        <w:rPr>
          <w:rFonts w:ascii="Verdana" w:hAnsi="Verdana"/>
          <w:sz w:val="20"/>
        </w:rPr>
        <w:t>Pagar por concepto de daño inmaterial:</w:t>
      </w:r>
    </w:p>
    <w:p w14:paraId="7F170A3E" w14:textId="77777777" w:rsidR="00386BCB" w:rsidRPr="00386BCB" w:rsidRDefault="00386BCB" w:rsidP="00386BCB">
      <w:pPr>
        <w:pStyle w:val="Sangra2detindependiente"/>
        <w:spacing w:line="240" w:lineRule="auto"/>
        <w:ind w:left="0"/>
        <w:rPr>
          <w:rFonts w:ascii="Verdana" w:hAnsi="Verdana"/>
          <w:sz w:val="20"/>
        </w:rPr>
      </w:pPr>
    </w:p>
    <w:p w14:paraId="31F0EA54" w14:textId="77777777" w:rsidR="00386BCB" w:rsidRDefault="00386BCB" w:rsidP="00285B68">
      <w:pPr>
        <w:pStyle w:val="Sangra2detindependiente"/>
        <w:numPr>
          <w:ilvl w:val="0"/>
          <w:numId w:val="3"/>
        </w:numPr>
        <w:spacing w:line="240" w:lineRule="auto"/>
        <w:ind w:left="720"/>
        <w:rPr>
          <w:rFonts w:ascii="Verdana" w:hAnsi="Verdana"/>
          <w:sz w:val="20"/>
        </w:rPr>
      </w:pPr>
      <w:r w:rsidRPr="00386BCB">
        <w:rPr>
          <w:rFonts w:ascii="Verdana" w:hAnsi="Verdana"/>
          <w:sz w:val="20"/>
        </w:rPr>
        <w:t>la cantidad de US$</w:t>
      </w:r>
      <w:r w:rsidRPr="00386BCB">
        <w:rPr>
          <w:rFonts w:ascii="Verdana" w:hAnsi="Verdana"/>
          <w:sz w:val="20"/>
          <w:lang w:val="es-CR"/>
        </w:rPr>
        <w:t>100.000,00</w:t>
      </w:r>
      <w:r w:rsidRPr="00386BCB">
        <w:rPr>
          <w:rFonts w:ascii="Verdana" w:hAnsi="Verdana"/>
          <w:sz w:val="20"/>
        </w:rPr>
        <w:t xml:space="preserve"> (cien mil dólares de los Estados Unidos de América) o su equivalente en moneda guatemalteca, para que sea distribuida por partes iguales entre el señor José León Bámaca Hernández y las señoras </w:t>
      </w:r>
      <w:proofErr w:type="spellStart"/>
      <w:r w:rsidRPr="00386BCB">
        <w:rPr>
          <w:rFonts w:ascii="Verdana" w:hAnsi="Verdana"/>
          <w:sz w:val="20"/>
        </w:rPr>
        <w:t>Egidia</w:t>
      </w:r>
      <w:proofErr w:type="spellEnd"/>
      <w:r w:rsidRPr="00386BCB">
        <w:rPr>
          <w:rFonts w:ascii="Verdana" w:hAnsi="Verdana"/>
          <w:sz w:val="20"/>
        </w:rPr>
        <w:t xml:space="preserve"> </w:t>
      </w:r>
      <w:proofErr w:type="spellStart"/>
      <w:r w:rsidRPr="00386BCB">
        <w:rPr>
          <w:rFonts w:ascii="Verdana" w:hAnsi="Verdana"/>
          <w:sz w:val="20"/>
        </w:rPr>
        <w:t>Gebia</w:t>
      </w:r>
      <w:proofErr w:type="spellEnd"/>
      <w:r w:rsidRPr="00386BCB">
        <w:rPr>
          <w:rFonts w:ascii="Verdana" w:hAnsi="Verdana"/>
          <w:sz w:val="20"/>
        </w:rPr>
        <w:t xml:space="preserve"> Bámaca Velásquez, Josefina Bámaca Velásquez y Jennifer </w:t>
      </w:r>
      <w:proofErr w:type="spellStart"/>
      <w:r w:rsidRPr="00386BCB">
        <w:rPr>
          <w:rFonts w:ascii="Verdana" w:hAnsi="Verdana"/>
          <w:sz w:val="20"/>
        </w:rPr>
        <w:t>Harbury</w:t>
      </w:r>
      <w:proofErr w:type="spellEnd"/>
      <w:r w:rsidRPr="00386BCB">
        <w:rPr>
          <w:rFonts w:ascii="Verdana" w:hAnsi="Verdana"/>
          <w:sz w:val="20"/>
        </w:rPr>
        <w:t xml:space="preserve">, en su condición de derechohabientes de Efraín Bámaca Velásquez, en los términos de los párrafos 62, 66, 67 y 53 de la presente Sentencia. </w:t>
      </w:r>
    </w:p>
    <w:p w14:paraId="025A7176" w14:textId="77777777" w:rsidR="00386BCB" w:rsidRDefault="00386BCB" w:rsidP="00285B68">
      <w:pPr>
        <w:pStyle w:val="Sangra2detindependiente"/>
        <w:spacing w:line="240" w:lineRule="auto"/>
        <w:ind w:hanging="360"/>
        <w:rPr>
          <w:rFonts w:ascii="Verdana" w:hAnsi="Verdana"/>
          <w:sz w:val="20"/>
        </w:rPr>
      </w:pPr>
    </w:p>
    <w:p w14:paraId="62BF6048" w14:textId="77777777" w:rsidR="00386BCB" w:rsidRDefault="00386BCB" w:rsidP="00285B68">
      <w:pPr>
        <w:pStyle w:val="Sangra2detindependiente"/>
        <w:numPr>
          <w:ilvl w:val="0"/>
          <w:numId w:val="3"/>
        </w:numPr>
        <w:spacing w:line="240" w:lineRule="auto"/>
        <w:ind w:left="720"/>
        <w:rPr>
          <w:rFonts w:ascii="Verdana" w:hAnsi="Verdana"/>
          <w:sz w:val="20"/>
        </w:rPr>
      </w:pPr>
      <w:r w:rsidRPr="00386BCB">
        <w:rPr>
          <w:rFonts w:ascii="Verdana" w:hAnsi="Verdana"/>
          <w:sz w:val="20"/>
        </w:rPr>
        <w:t xml:space="preserve">a Jennifer </w:t>
      </w:r>
      <w:proofErr w:type="spellStart"/>
      <w:r w:rsidRPr="00386BCB">
        <w:rPr>
          <w:rFonts w:ascii="Verdana" w:hAnsi="Verdana"/>
          <w:sz w:val="20"/>
        </w:rPr>
        <w:t>Harbury</w:t>
      </w:r>
      <w:proofErr w:type="spellEnd"/>
      <w:r w:rsidRPr="00386BCB">
        <w:rPr>
          <w:rFonts w:ascii="Verdana" w:hAnsi="Verdana"/>
          <w:sz w:val="20"/>
        </w:rPr>
        <w:t>, la cantidad de US$80.000,00 (ochenta mil</w:t>
      </w:r>
      <w:r w:rsidRPr="00386BCB">
        <w:rPr>
          <w:rFonts w:ascii="Verdana" w:hAnsi="Verdana"/>
          <w:b/>
          <w:sz w:val="20"/>
        </w:rPr>
        <w:t xml:space="preserve"> </w:t>
      </w:r>
      <w:r w:rsidRPr="00386BCB">
        <w:rPr>
          <w:rFonts w:ascii="Verdana" w:hAnsi="Verdana"/>
          <w:sz w:val="20"/>
        </w:rPr>
        <w:t xml:space="preserve">dólares de los Estados Unidos de América) o su equivalente en moneda guatemalteca, en los términos de los párrafos 65.a) y 66 de la presente Sentencia. </w:t>
      </w:r>
    </w:p>
    <w:p w14:paraId="62DD8EA3" w14:textId="77777777" w:rsidR="00386BCB" w:rsidRPr="00386BCB" w:rsidRDefault="00386BCB" w:rsidP="00285B68">
      <w:pPr>
        <w:pStyle w:val="Sangra2detindependiente"/>
        <w:spacing w:line="240" w:lineRule="auto"/>
        <w:ind w:hanging="360"/>
        <w:rPr>
          <w:rFonts w:ascii="Verdana" w:hAnsi="Verdana"/>
          <w:sz w:val="20"/>
        </w:rPr>
      </w:pPr>
    </w:p>
    <w:p w14:paraId="68B5E3F2" w14:textId="77777777" w:rsidR="00386BCB" w:rsidRDefault="00386BCB" w:rsidP="00285B68">
      <w:pPr>
        <w:pStyle w:val="Sangra2detindependiente"/>
        <w:numPr>
          <w:ilvl w:val="0"/>
          <w:numId w:val="3"/>
        </w:numPr>
        <w:spacing w:line="240" w:lineRule="auto"/>
        <w:ind w:left="720"/>
        <w:rPr>
          <w:rFonts w:ascii="Verdana" w:hAnsi="Verdana"/>
          <w:sz w:val="20"/>
        </w:rPr>
      </w:pPr>
      <w:r w:rsidRPr="00386BCB">
        <w:rPr>
          <w:rFonts w:ascii="Verdana" w:hAnsi="Verdana"/>
          <w:sz w:val="20"/>
        </w:rPr>
        <w:t xml:space="preserve">a José León Bámaca Hernández, la cantidad de US$25.000,00 (veinticinco mil dólares de los Estados Unidos de América) o su equivalente en moneda guatemalteca, en los términos de los párrafos 65.b) y 66 de la presente Sentencia. </w:t>
      </w:r>
    </w:p>
    <w:p w14:paraId="24F6A7DD" w14:textId="77777777" w:rsidR="00386BCB" w:rsidRPr="00386BCB" w:rsidRDefault="00386BCB" w:rsidP="00285B68">
      <w:pPr>
        <w:pStyle w:val="Sangra2detindependiente"/>
        <w:spacing w:line="240" w:lineRule="auto"/>
        <w:ind w:hanging="360"/>
        <w:rPr>
          <w:rFonts w:ascii="Verdana" w:hAnsi="Verdana"/>
          <w:sz w:val="20"/>
        </w:rPr>
      </w:pPr>
    </w:p>
    <w:p w14:paraId="259280CF" w14:textId="77777777" w:rsidR="00386BCB" w:rsidRDefault="00386BCB" w:rsidP="00285B68">
      <w:pPr>
        <w:pStyle w:val="Sangra2detindependiente"/>
        <w:numPr>
          <w:ilvl w:val="0"/>
          <w:numId w:val="3"/>
        </w:numPr>
        <w:spacing w:line="240" w:lineRule="auto"/>
        <w:ind w:left="720"/>
        <w:rPr>
          <w:rFonts w:ascii="Verdana" w:hAnsi="Verdana"/>
          <w:sz w:val="20"/>
        </w:rPr>
      </w:pPr>
      <w:r w:rsidRPr="00386BCB">
        <w:rPr>
          <w:rFonts w:ascii="Verdana" w:hAnsi="Verdana"/>
          <w:sz w:val="20"/>
        </w:rPr>
        <w:t xml:space="preserve">a </w:t>
      </w:r>
      <w:proofErr w:type="spellStart"/>
      <w:r w:rsidRPr="00386BCB">
        <w:rPr>
          <w:rFonts w:ascii="Verdana" w:hAnsi="Verdana"/>
          <w:sz w:val="20"/>
        </w:rPr>
        <w:t>Egidia</w:t>
      </w:r>
      <w:proofErr w:type="spellEnd"/>
      <w:r w:rsidRPr="00386BCB">
        <w:rPr>
          <w:rFonts w:ascii="Verdana" w:hAnsi="Verdana"/>
          <w:sz w:val="20"/>
        </w:rPr>
        <w:t xml:space="preserve"> </w:t>
      </w:r>
      <w:proofErr w:type="spellStart"/>
      <w:r w:rsidRPr="00386BCB">
        <w:rPr>
          <w:rFonts w:ascii="Verdana" w:hAnsi="Verdana"/>
          <w:sz w:val="20"/>
        </w:rPr>
        <w:t>Gebia</w:t>
      </w:r>
      <w:proofErr w:type="spellEnd"/>
      <w:r w:rsidRPr="00386BCB">
        <w:rPr>
          <w:rFonts w:ascii="Verdana" w:hAnsi="Verdana"/>
          <w:sz w:val="20"/>
        </w:rPr>
        <w:t xml:space="preserve"> Bámaca Velásquez, la cantidad de US$20.000,00 (veinte mil</w:t>
      </w:r>
      <w:r w:rsidRPr="00386BCB">
        <w:rPr>
          <w:rFonts w:ascii="Verdana" w:hAnsi="Verdana"/>
          <w:b/>
          <w:sz w:val="20"/>
        </w:rPr>
        <w:t xml:space="preserve"> </w:t>
      </w:r>
      <w:r w:rsidRPr="00386BCB">
        <w:rPr>
          <w:rFonts w:ascii="Verdana" w:hAnsi="Verdana"/>
          <w:sz w:val="20"/>
        </w:rPr>
        <w:t xml:space="preserve">dólares de los Estados Unidos de América) o su equivalente en moneda guatemalteca, en los términos de los párrafos 65.b) y 66 de la presente Sentencia. </w:t>
      </w:r>
    </w:p>
    <w:p w14:paraId="00644F88" w14:textId="77777777" w:rsidR="00386BCB" w:rsidRPr="00386BCB" w:rsidRDefault="00386BCB" w:rsidP="00285B68">
      <w:pPr>
        <w:pStyle w:val="Sangra2detindependiente"/>
        <w:spacing w:line="240" w:lineRule="auto"/>
        <w:ind w:hanging="360"/>
        <w:rPr>
          <w:rFonts w:ascii="Verdana" w:hAnsi="Verdana"/>
          <w:sz w:val="20"/>
        </w:rPr>
      </w:pPr>
    </w:p>
    <w:p w14:paraId="234BCF14" w14:textId="77777777" w:rsidR="00386BCB" w:rsidRDefault="00386BCB" w:rsidP="00285B68">
      <w:pPr>
        <w:pStyle w:val="Sangra2detindependiente"/>
        <w:numPr>
          <w:ilvl w:val="0"/>
          <w:numId w:val="3"/>
        </w:numPr>
        <w:spacing w:line="240" w:lineRule="auto"/>
        <w:ind w:left="720"/>
        <w:rPr>
          <w:rFonts w:ascii="Verdana" w:hAnsi="Verdana"/>
          <w:sz w:val="20"/>
        </w:rPr>
      </w:pPr>
      <w:r w:rsidRPr="00386BCB">
        <w:rPr>
          <w:rFonts w:ascii="Verdana" w:hAnsi="Verdana"/>
          <w:sz w:val="20"/>
        </w:rPr>
        <w:t>a Josefina Bámaca Velásquez, la cantidad de US$20.000,00 (veinte mil</w:t>
      </w:r>
      <w:r w:rsidRPr="00386BCB">
        <w:rPr>
          <w:rFonts w:ascii="Verdana" w:hAnsi="Verdana"/>
          <w:b/>
          <w:sz w:val="20"/>
        </w:rPr>
        <w:t xml:space="preserve"> </w:t>
      </w:r>
      <w:r w:rsidRPr="00386BCB">
        <w:rPr>
          <w:rFonts w:ascii="Verdana" w:hAnsi="Verdana"/>
          <w:sz w:val="20"/>
        </w:rPr>
        <w:t xml:space="preserve">dólares de los Estados Unidos de América) o su equivalente en moneda guatemalteca, en los términos de los párrafos 65.b) y 66 de la presente Sentencia. </w:t>
      </w:r>
    </w:p>
    <w:p w14:paraId="2E53EE5C" w14:textId="77777777" w:rsidR="00386BCB" w:rsidRPr="00386BCB" w:rsidRDefault="00386BCB" w:rsidP="00285B68">
      <w:pPr>
        <w:pStyle w:val="Sangra2detindependiente"/>
        <w:spacing w:line="240" w:lineRule="auto"/>
        <w:ind w:hanging="360"/>
        <w:rPr>
          <w:rFonts w:ascii="Verdana" w:hAnsi="Verdana"/>
          <w:sz w:val="20"/>
        </w:rPr>
      </w:pPr>
    </w:p>
    <w:p w14:paraId="64EC1B35" w14:textId="77777777" w:rsidR="00386BCB" w:rsidRPr="00386BCB" w:rsidRDefault="00386BCB" w:rsidP="00285B68">
      <w:pPr>
        <w:pStyle w:val="Sangra2detindependiente"/>
        <w:numPr>
          <w:ilvl w:val="0"/>
          <w:numId w:val="3"/>
        </w:numPr>
        <w:spacing w:line="240" w:lineRule="auto"/>
        <w:ind w:left="720"/>
        <w:rPr>
          <w:rFonts w:ascii="Verdana" w:hAnsi="Verdana"/>
          <w:sz w:val="20"/>
        </w:rPr>
      </w:pPr>
      <w:r w:rsidRPr="00386BCB">
        <w:rPr>
          <w:rFonts w:ascii="Verdana" w:hAnsi="Verdana"/>
          <w:sz w:val="20"/>
        </w:rPr>
        <w:t>a Alberta Velásquez, la cantidad de US$5.000,00 (cinco mil</w:t>
      </w:r>
      <w:r w:rsidRPr="00386BCB">
        <w:rPr>
          <w:rFonts w:ascii="Verdana" w:hAnsi="Verdana"/>
          <w:b/>
          <w:sz w:val="20"/>
        </w:rPr>
        <w:t xml:space="preserve"> </w:t>
      </w:r>
      <w:r w:rsidRPr="00386BCB">
        <w:rPr>
          <w:rFonts w:ascii="Verdana" w:hAnsi="Verdana"/>
          <w:sz w:val="20"/>
        </w:rPr>
        <w:t xml:space="preserve">dólares de los Estados Unidos de América) o su equivalente en moneda guatemalteca, en los términos de los párrafos 65.c) y 66 de la presente Sentencia. </w:t>
      </w:r>
    </w:p>
    <w:p w14:paraId="50DCADA6" w14:textId="77777777" w:rsidR="00386BCB" w:rsidRPr="00386BCB" w:rsidRDefault="00386BCB" w:rsidP="00386BCB">
      <w:pPr>
        <w:pStyle w:val="Encabezado"/>
        <w:jc w:val="both"/>
        <w:rPr>
          <w:rFonts w:ascii="Verdana" w:hAnsi="Verdana"/>
          <w:sz w:val="20"/>
          <w:lang w:val="es-ES_tradnl"/>
        </w:rPr>
      </w:pPr>
    </w:p>
    <w:p w14:paraId="3CFE9AA3" w14:textId="77777777" w:rsidR="00386BCB" w:rsidRPr="00386BCB" w:rsidRDefault="00386BCB" w:rsidP="00386BCB">
      <w:pPr>
        <w:pStyle w:val="Encabezado"/>
        <w:numPr>
          <w:ilvl w:val="0"/>
          <w:numId w:val="2"/>
        </w:numPr>
        <w:ind w:left="360"/>
        <w:jc w:val="both"/>
        <w:rPr>
          <w:rFonts w:ascii="Verdana" w:hAnsi="Verdana"/>
          <w:sz w:val="20"/>
          <w:lang w:val="es-MX"/>
        </w:rPr>
      </w:pPr>
      <w:r w:rsidRPr="00386BCB">
        <w:rPr>
          <w:rFonts w:ascii="Verdana" w:hAnsi="Verdana"/>
          <w:sz w:val="20"/>
          <w:lang w:val="es-ES_tradnl"/>
        </w:rPr>
        <w:t xml:space="preserve">Pagar </w:t>
      </w:r>
      <w:r w:rsidRPr="00386BCB">
        <w:rPr>
          <w:rFonts w:ascii="Verdana" w:hAnsi="Verdana"/>
          <w:sz w:val="20"/>
          <w:lang w:val="es-MX"/>
        </w:rPr>
        <w:t>por concepto de daño material:</w:t>
      </w:r>
    </w:p>
    <w:p w14:paraId="0E7F372F" w14:textId="77777777" w:rsidR="00386BCB" w:rsidRPr="00386BCB" w:rsidRDefault="00386BCB" w:rsidP="00285B68">
      <w:pPr>
        <w:pStyle w:val="Sangra2detindependiente"/>
        <w:spacing w:line="240" w:lineRule="auto"/>
        <w:ind w:hanging="360"/>
        <w:rPr>
          <w:rFonts w:ascii="Verdana" w:hAnsi="Verdana"/>
          <w:sz w:val="20"/>
        </w:rPr>
      </w:pPr>
    </w:p>
    <w:p w14:paraId="4174C2FE" w14:textId="77777777" w:rsidR="00285B68" w:rsidRDefault="00386BCB" w:rsidP="00285B68">
      <w:pPr>
        <w:pStyle w:val="Sangra2detindependiente"/>
        <w:numPr>
          <w:ilvl w:val="0"/>
          <w:numId w:val="4"/>
        </w:numPr>
        <w:spacing w:line="240" w:lineRule="auto"/>
        <w:ind w:left="720"/>
        <w:rPr>
          <w:rFonts w:ascii="Verdana" w:hAnsi="Verdana"/>
          <w:sz w:val="20"/>
        </w:rPr>
      </w:pPr>
      <w:r w:rsidRPr="00386BCB">
        <w:rPr>
          <w:rFonts w:ascii="Verdana" w:hAnsi="Verdana"/>
          <w:sz w:val="20"/>
        </w:rPr>
        <w:t xml:space="preserve">la cantidad de US$100.000,00 (cien mil dólares de los Estados Unidos de América) o su equivalente en moneda guatemalteca, para que sea distribuida por partes iguales entre el señor José León Bámaca Hernández y las señoras </w:t>
      </w:r>
      <w:proofErr w:type="spellStart"/>
      <w:r w:rsidRPr="00386BCB">
        <w:rPr>
          <w:rFonts w:ascii="Verdana" w:hAnsi="Verdana"/>
          <w:sz w:val="20"/>
        </w:rPr>
        <w:t>Egidia</w:t>
      </w:r>
      <w:proofErr w:type="spellEnd"/>
      <w:r w:rsidRPr="00386BCB">
        <w:rPr>
          <w:rFonts w:ascii="Verdana" w:hAnsi="Verdana"/>
          <w:sz w:val="20"/>
        </w:rPr>
        <w:t xml:space="preserve"> </w:t>
      </w:r>
      <w:proofErr w:type="spellStart"/>
      <w:r w:rsidRPr="00386BCB">
        <w:rPr>
          <w:rFonts w:ascii="Verdana" w:hAnsi="Verdana"/>
          <w:sz w:val="20"/>
        </w:rPr>
        <w:t>Gebia</w:t>
      </w:r>
      <w:proofErr w:type="spellEnd"/>
      <w:r w:rsidRPr="00386BCB">
        <w:rPr>
          <w:rFonts w:ascii="Verdana" w:hAnsi="Verdana"/>
          <w:sz w:val="20"/>
        </w:rPr>
        <w:t xml:space="preserve"> Bámaca Velásquez, Josefina Bámaca Velásquez y Jennifer </w:t>
      </w:r>
      <w:proofErr w:type="spellStart"/>
      <w:r w:rsidRPr="00386BCB">
        <w:rPr>
          <w:rFonts w:ascii="Verdana" w:hAnsi="Verdana"/>
          <w:sz w:val="20"/>
        </w:rPr>
        <w:t>Harbury</w:t>
      </w:r>
      <w:proofErr w:type="spellEnd"/>
      <w:r w:rsidRPr="00386BCB">
        <w:rPr>
          <w:rFonts w:ascii="Verdana" w:hAnsi="Verdana"/>
          <w:sz w:val="20"/>
        </w:rPr>
        <w:t xml:space="preserve">, en su condición de derechohabientes de Efraín Bámaca Velásquez, en los términos de los párrafos 51, 53 y 55 de la presente Sentencia. </w:t>
      </w:r>
    </w:p>
    <w:p w14:paraId="3769579A" w14:textId="77777777" w:rsidR="00285B68" w:rsidRDefault="00285B68" w:rsidP="00285B68">
      <w:pPr>
        <w:pStyle w:val="Sangra2detindependiente"/>
        <w:spacing w:line="240" w:lineRule="auto"/>
        <w:rPr>
          <w:rFonts w:ascii="Verdana" w:hAnsi="Verdana"/>
          <w:sz w:val="20"/>
        </w:rPr>
      </w:pPr>
    </w:p>
    <w:p w14:paraId="5F5273CE" w14:textId="77777777" w:rsidR="00386BCB" w:rsidRPr="00285B68" w:rsidRDefault="00386BCB" w:rsidP="00285B68">
      <w:pPr>
        <w:pStyle w:val="Sangra2detindependiente"/>
        <w:numPr>
          <w:ilvl w:val="0"/>
          <w:numId w:val="4"/>
        </w:numPr>
        <w:spacing w:line="240" w:lineRule="auto"/>
        <w:ind w:left="720"/>
        <w:rPr>
          <w:rFonts w:ascii="Verdana" w:hAnsi="Verdana"/>
          <w:sz w:val="20"/>
        </w:rPr>
      </w:pPr>
      <w:r w:rsidRPr="00285B68">
        <w:rPr>
          <w:rFonts w:ascii="Verdana" w:hAnsi="Verdana"/>
          <w:sz w:val="20"/>
        </w:rPr>
        <w:t xml:space="preserve">a Jennifer </w:t>
      </w:r>
      <w:proofErr w:type="spellStart"/>
      <w:r w:rsidRPr="00285B68">
        <w:rPr>
          <w:rFonts w:ascii="Verdana" w:hAnsi="Verdana"/>
          <w:sz w:val="20"/>
        </w:rPr>
        <w:t>Harbury</w:t>
      </w:r>
      <w:proofErr w:type="spellEnd"/>
      <w:r w:rsidRPr="00285B68">
        <w:rPr>
          <w:rFonts w:ascii="Verdana" w:hAnsi="Verdana"/>
          <w:sz w:val="20"/>
        </w:rPr>
        <w:t xml:space="preserve"> la cantidad de US$125.000,00 (ciento veinticinco mil  dólares de los Estados Unidos de América) o su equivalente en moneda guatemalteca, correspondientes a los ingresos que dejó de percibir durante el período que medió </w:t>
      </w:r>
      <w:r w:rsidRPr="00285B68">
        <w:rPr>
          <w:rFonts w:ascii="Verdana" w:hAnsi="Verdana"/>
          <w:sz w:val="20"/>
        </w:rPr>
        <w:lastRenderedPageBreak/>
        <w:t xml:space="preserve">entre el 12 de marzo de 1992 y enero de </w:t>
      </w:r>
      <w:smartTag w:uri="urn:schemas-microsoft-com:office:smarttags" w:element="metricconverter">
        <w:smartTagPr>
          <w:attr w:name="ProductID" w:val="1997, a"/>
        </w:smartTagPr>
        <w:r w:rsidRPr="00285B68">
          <w:rPr>
            <w:rFonts w:ascii="Verdana" w:hAnsi="Verdana"/>
            <w:sz w:val="20"/>
          </w:rPr>
          <w:t>1997, a</w:t>
        </w:r>
      </w:smartTag>
      <w:r w:rsidRPr="00285B68">
        <w:rPr>
          <w:rFonts w:ascii="Verdana" w:hAnsi="Verdana"/>
          <w:sz w:val="20"/>
        </w:rPr>
        <w:t xml:space="preserve"> los gastos ocasionados por daños en su salud causados por los hechos del caso y a las erogaciones en que incurrió para tratar de determinar el paradero de Efraín Bámaca Velásquez, en los términos de los párrafos 54 y 55 de la presente Sentencia. </w:t>
      </w:r>
    </w:p>
    <w:p w14:paraId="79317CE6" w14:textId="77777777" w:rsidR="00386BCB" w:rsidRPr="00386BCB" w:rsidRDefault="00386BCB" w:rsidP="00386BCB">
      <w:pPr>
        <w:pStyle w:val="Sangra2detindependiente"/>
        <w:spacing w:line="240" w:lineRule="auto"/>
        <w:ind w:left="0"/>
        <w:rPr>
          <w:rFonts w:ascii="Verdana" w:hAnsi="Verdana"/>
          <w:sz w:val="20"/>
        </w:rPr>
      </w:pPr>
    </w:p>
    <w:p w14:paraId="7A91864D" w14:textId="77777777" w:rsidR="00386BCB" w:rsidRPr="00386BCB" w:rsidRDefault="00386BCB" w:rsidP="00386BCB">
      <w:pPr>
        <w:pStyle w:val="Sangra2detindependiente"/>
        <w:numPr>
          <w:ilvl w:val="0"/>
          <w:numId w:val="2"/>
        </w:numPr>
        <w:spacing w:line="240" w:lineRule="auto"/>
        <w:ind w:left="360"/>
        <w:rPr>
          <w:rFonts w:ascii="Verdana" w:hAnsi="Verdana"/>
          <w:sz w:val="20"/>
        </w:rPr>
      </w:pPr>
      <w:r w:rsidRPr="00386BCB">
        <w:rPr>
          <w:rFonts w:ascii="Verdana" w:hAnsi="Verdana"/>
          <w:sz w:val="20"/>
        </w:rPr>
        <w:t xml:space="preserve">Pagar por concepto de costas y gastos, la cantidad de US$23.000,00 (veintitrés mil dólares de los Estados Unidos de América) o su equivalente en moneda guatemalteca, a los familiares y los representantes de las víctimas, en los términos del párrafo 91 de la presente Sentencia. </w:t>
      </w:r>
    </w:p>
    <w:p w14:paraId="3BDA36D4" w14:textId="77777777" w:rsidR="00285B68" w:rsidRDefault="00285B68">
      <w:pPr>
        <w:rPr>
          <w:lang w:val="es-ES_tradnl"/>
        </w:rPr>
      </w:pPr>
    </w:p>
    <w:p w14:paraId="3D762A6C" w14:textId="77777777" w:rsidR="003E3B23" w:rsidRPr="003E3B23" w:rsidRDefault="003E3B23">
      <w:pPr>
        <w:rPr>
          <w:rFonts w:ascii="Verdana" w:hAnsi="Verdana"/>
          <w:b/>
          <w:sz w:val="20"/>
          <w:szCs w:val="20"/>
          <w:lang w:val="es-MX"/>
        </w:rPr>
      </w:pPr>
      <w:r w:rsidRPr="003E3B23">
        <w:rPr>
          <w:rFonts w:ascii="Verdana" w:hAnsi="Verdana"/>
          <w:b/>
          <w:sz w:val="20"/>
          <w:szCs w:val="20"/>
          <w:lang w:val="es-MX"/>
        </w:rPr>
        <w:t>Cumplimiento parcial:</w:t>
      </w:r>
    </w:p>
    <w:p w14:paraId="79464F0B" w14:textId="77777777" w:rsidR="003E3B23" w:rsidRPr="00B11CF5" w:rsidRDefault="003E3B23" w:rsidP="00B11CF5">
      <w:pPr>
        <w:pStyle w:val="Prrafodelista"/>
        <w:numPr>
          <w:ilvl w:val="0"/>
          <w:numId w:val="2"/>
        </w:numPr>
        <w:ind w:left="360"/>
        <w:jc w:val="both"/>
        <w:rPr>
          <w:rFonts w:ascii="Verdana" w:hAnsi="Verdana"/>
          <w:sz w:val="20"/>
          <w:szCs w:val="20"/>
          <w:lang w:val="es-MX"/>
        </w:rPr>
      </w:pPr>
      <w:r w:rsidRPr="00B11CF5">
        <w:rPr>
          <w:rFonts w:ascii="Verdana" w:hAnsi="Verdana"/>
          <w:sz w:val="20"/>
          <w:szCs w:val="20"/>
          <w:lang w:val="es-MX"/>
        </w:rPr>
        <w:t xml:space="preserve">Adoptar las medidas legislativas y de cualquier otra índole que sean necesarias para adecuar el ordenamiento jurídico guatemalteco a las normas internacionales de derechos humanos y de derecho humanitario, y para darle plena efectividad a dichas normas en el ámbito interno, de acuerdo con el artículo 2 de </w:t>
      </w:r>
      <w:smartTag w:uri="urn:schemas-microsoft-com:office:smarttags" w:element="PersonName">
        <w:smartTagPr>
          <w:attr w:name="ProductID" w:val="la Convenci￳n Americana"/>
        </w:smartTagPr>
        <w:r w:rsidRPr="00B11CF5">
          <w:rPr>
            <w:rFonts w:ascii="Verdana" w:hAnsi="Verdana"/>
            <w:sz w:val="20"/>
            <w:szCs w:val="20"/>
            <w:lang w:val="es-MX"/>
          </w:rPr>
          <w:t>la Convención Americana</w:t>
        </w:r>
      </w:smartTag>
      <w:r w:rsidRPr="00B11CF5">
        <w:rPr>
          <w:rFonts w:ascii="Verdana" w:hAnsi="Verdana"/>
          <w:sz w:val="20"/>
          <w:szCs w:val="20"/>
          <w:lang w:val="es-MX"/>
        </w:rPr>
        <w:t xml:space="preserve"> sobre Derechos Humanos.</w:t>
      </w:r>
    </w:p>
    <w:p w14:paraId="195342B9" w14:textId="77777777" w:rsidR="003E3B23" w:rsidRPr="003E3B23" w:rsidRDefault="003E3B23" w:rsidP="003E3B23">
      <w:pPr>
        <w:jc w:val="both"/>
        <w:rPr>
          <w:rFonts w:ascii="Verdana" w:hAnsi="Verdana"/>
          <w:sz w:val="20"/>
          <w:lang w:val="es-MX"/>
        </w:rPr>
      </w:pPr>
      <w:r w:rsidRPr="003E3B23">
        <w:rPr>
          <w:rFonts w:ascii="Verdana" w:hAnsi="Verdana"/>
          <w:sz w:val="20"/>
          <w:lang w:val="es-MX"/>
        </w:rPr>
        <w:t xml:space="preserve">En el Considerando </w:t>
      </w:r>
      <w:r>
        <w:rPr>
          <w:rFonts w:ascii="Verdana" w:hAnsi="Verdana"/>
          <w:sz w:val="20"/>
          <w:lang w:val="es-MX"/>
        </w:rPr>
        <w:t>4</w:t>
      </w:r>
      <w:r w:rsidRPr="003E3B23">
        <w:rPr>
          <w:rFonts w:ascii="Verdana" w:hAnsi="Verdana"/>
          <w:sz w:val="20"/>
          <w:lang w:val="es-MX"/>
        </w:rPr>
        <w:t>1 de la resolución de la Cor</w:t>
      </w:r>
      <w:r>
        <w:rPr>
          <w:rFonts w:ascii="Verdana" w:hAnsi="Verdana"/>
          <w:sz w:val="20"/>
          <w:lang w:val="es-MX"/>
        </w:rPr>
        <w:t>te de 27</w:t>
      </w:r>
      <w:r w:rsidRPr="003E3B23">
        <w:rPr>
          <w:rFonts w:ascii="Verdana" w:hAnsi="Verdana"/>
          <w:sz w:val="20"/>
          <w:lang w:val="es-MX"/>
        </w:rPr>
        <w:t xml:space="preserve"> de </w:t>
      </w:r>
      <w:r>
        <w:rPr>
          <w:rFonts w:ascii="Verdana" w:hAnsi="Verdana"/>
          <w:sz w:val="20"/>
          <w:lang w:val="es-MX"/>
        </w:rPr>
        <w:t>enero de 2009</w:t>
      </w:r>
      <w:r w:rsidRPr="003E3B23">
        <w:rPr>
          <w:rFonts w:ascii="Verdana" w:hAnsi="Verdana"/>
          <w:sz w:val="20"/>
          <w:lang w:val="es-MX"/>
        </w:rPr>
        <w:t xml:space="preserve"> se explica lo que continúa pendiente de cumplimiento respecto a la presente medida de reparación:</w:t>
      </w:r>
    </w:p>
    <w:p w14:paraId="2A337213" w14:textId="03123259" w:rsidR="003E3B23" w:rsidRDefault="003E3B23" w:rsidP="003E3B23">
      <w:pPr>
        <w:spacing w:after="0" w:line="240" w:lineRule="auto"/>
        <w:ind w:left="360" w:right="720"/>
        <w:jc w:val="both"/>
        <w:rPr>
          <w:rFonts w:ascii="Verdana" w:hAnsi="Verdana"/>
          <w:sz w:val="18"/>
          <w:szCs w:val="18"/>
          <w:lang w:val="es-ES_tradnl"/>
        </w:rPr>
      </w:pPr>
      <w:r w:rsidRPr="003E3B23">
        <w:rPr>
          <w:rFonts w:ascii="Verdana" w:hAnsi="Verdana"/>
          <w:sz w:val="18"/>
          <w:szCs w:val="18"/>
          <w:lang w:val="es-ES_tradnl"/>
        </w:rPr>
        <w:t>41.</w:t>
      </w:r>
      <w:r w:rsidRPr="003E3B23">
        <w:rPr>
          <w:rFonts w:ascii="Verdana" w:hAnsi="Verdana"/>
          <w:sz w:val="18"/>
          <w:szCs w:val="18"/>
          <w:lang w:val="es-ES_tradnl"/>
        </w:rPr>
        <w:tab/>
        <w:t xml:space="preserve">Que la Corte valora los esfuerzos realizados por el Estado para dar cumplimiento a este punto de la Sentencia. Sin embargo, considera que requiere más información en relación con: </w:t>
      </w:r>
    </w:p>
    <w:p w14:paraId="6C222066" w14:textId="77777777" w:rsidR="00AE77DC" w:rsidRPr="003E3B23" w:rsidRDefault="00AE77DC" w:rsidP="003E3B23">
      <w:pPr>
        <w:spacing w:after="0" w:line="240" w:lineRule="auto"/>
        <w:ind w:left="360" w:right="720"/>
        <w:jc w:val="both"/>
        <w:rPr>
          <w:rFonts w:ascii="Verdana" w:hAnsi="Verdana"/>
          <w:sz w:val="18"/>
          <w:szCs w:val="18"/>
          <w:lang w:val="es-ES_tradnl"/>
        </w:rPr>
      </w:pPr>
    </w:p>
    <w:p w14:paraId="12AC0597" w14:textId="77777777" w:rsidR="003E3B23" w:rsidRPr="003E3B23" w:rsidRDefault="003E3B23" w:rsidP="003E3B23">
      <w:pPr>
        <w:spacing w:after="0" w:line="240" w:lineRule="auto"/>
        <w:ind w:left="360" w:right="720"/>
        <w:jc w:val="both"/>
        <w:rPr>
          <w:rFonts w:ascii="Verdana" w:hAnsi="Verdana"/>
          <w:sz w:val="18"/>
          <w:szCs w:val="18"/>
          <w:lang w:val="es-ES_tradnl"/>
        </w:rPr>
      </w:pPr>
      <w:r w:rsidRPr="003E3B23">
        <w:rPr>
          <w:rFonts w:ascii="Verdana" w:hAnsi="Verdana"/>
          <w:sz w:val="18"/>
          <w:szCs w:val="18"/>
          <w:lang w:val="es-ES_tradnl"/>
        </w:rPr>
        <w:t>a)</w:t>
      </w:r>
      <w:r w:rsidRPr="003E3B23">
        <w:rPr>
          <w:rFonts w:ascii="Verdana" w:hAnsi="Verdana"/>
          <w:sz w:val="18"/>
          <w:szCs w:val="18"/>
          <w:lang w:val="es-ES_tradnl"/>
        </w:rPr>
        <w:tab/>
        <w:t xml:space="preserve">la Iniciativa de Ley de la Comisión Nacional de Búsqueda de Personas Víctimas de Desaparición Forzada y Otras Formas de Desaparición, en específico si ha sido aprobada por el Congreso y cuáles han sido los resultados concretos de la aplicación de esta ley al caso del señor Bámaca Velásquez, </w:t>
      </w:r>
    </w:p>
    <w:p w14:paraId="6C5F3EA8" w14:textId="77777777" w:rsidR="003E3B23" w:rsidRPr="003E3B23" w:rsidRDefault="003E3B23" w:rsidP="003E3B23">
      <w:pPr>
        <w:spacing w:after="0" w:line="240" w:lineRule="auto"/>
        <w:ind w:left="360" w:right="720"/>
        <w:jc w:val="both"/>
        <w:rPr>
          <w:rFonts w:ascii="Verdana" w:hAnsi="Verdana"/>
          <w:sz w:val="18"/>
          <w:szCs w:val="18"/>
          <w:lang w:val="es-ES_tradnl"/>
        </w:rPr>
      </w:pPr>
      <w:r w:rsidRPr="003E3B23">
        <w:rPr>
          <w:rFonts w:ascii="Verdana" w:hAnsi="Verdana"/>
          <w:sz w:val="18"/>
          <w:szCs w:val="18"/>
          <w:lang w:val="es-ES_tradnl"/>
        </w:rPr>
        <w:t>b)</w:t>
      </w:r>
      <w:r w:rsidRPr="003E3B23">
        <w:rPr>
          <w:rFonts w:ascii="Verdana" w:hAnsi="Verdana"/>
          <w:sz w:val="18"/>
          <w:szCs w:val="18"/>
          <w:lang w:val="es-ES_tradnl"/>
        </w:rPr>
        <w:tab/>
        <w:t>la Ley de Acceso a la Información Pública, específicamente si permite el acceso a expedientes confidenciales en poder de las fuerzas de seguridad, y</w:t>
      </w:r>
    </w:p>
    <w:p w14:paraId="1CF393D7" w14:textId="77777777" w:rsidR="003E3B23" w:rsidRPr="003E3B23" w:rsidRDefault="003E3B23" w:rsidP="003E3B23">
      <w:pPr>
        <w:spacing w:after="0" w:line="240" w:lineRule="auto"/>
        <w:ind w:left="360" w:right="720"/>
        <w:jc w:val="both"/>
        <w:rPr>
          <w:rFonts w:ascii="Verdana" w:hAnsi="Verdana"/>
          <w:sz w:val="18"/>
          <w:szCs w:val="18"/>
          <w:lang w:val="es-ES_tradnl"/>
        </w:rPr>
      </w:pPr>
      <w:r w:rsidRPr="003E3B23">
        <w:rPr>
          <w:rFonts w:ascii="Verdana" w:hAnsi="Verdana"/>
          <w:sz w:val="18"/>
          <w:szCs w:val="18"/>
          <w:lang w:val="es-ES_tradnl"/>
        </w:rPr>
        <w:t>c)</w:t>
      </w:r>
      <w:r w:rsidRPr="003E3B23">
        <w:rPr>
          <w:rFonts w:ascii="Verdana" w:hAnsi="Verdana"/>
          <w:sz w:val="18"/>
          <w:szCs w:val="18"/>
          <w:lang w:val="es-ES_tradnl"/>
        </w:rPr>
        <w:tab/>
        <w:t>la Ley para la Protección de Sujetos Procesales y Personas Vinculadas a la Administración de Justicia Penal, específicamente si dicha ley está siendo aplicada, y si no ha sido aplicada en este sentido, si existe una ley específica o algún otro mecanismo que asegure la protección de testigos.</w:t>
      </w:r>
    </w:p>
    <w:sectPr w:rsidR="003E3B23" w:rsidRPr="003E3B2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171C1" w14:textId="77777777" w:rsidR="003E3B23" w:rsidRDefault="003E3B23" w:rsidP="003E3B23">
      <w:pPr>
        <w:spacing w:after="0" w:line="240" w:lineRule="auto"/>
      </w:pPr>
      <w:r>
        <w:separator/>
      </w:r>
    </w:p>
  </w:endnote>
  <w:endnote w:type="continuationSeparator" w:id="0">
    <w:p w14:paraId="4D955E8C" w14:textId="77777777" w:rsidR="003E3B23" w:rsidRDefault="003E3B23" w:rsidP="003E3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E3AA" w14:textId="77777777" w:rsidR="003E3B23" w:rsidRPr="00A950A1" w:rsidRDefault="003E3B23" w:rsidP="003E3B23">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 xml:space="preserve">realizada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6A77CC2B" w14:textId="77777777" w:rsidR="003E3B23" w:rsidRPr="003E3B23" w:rsidRDefault="003E3B23">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B6CA8" w14:textId="77777777" w:rsidR="003E3B23" w:rsidRDefault="003E3B23" w:rsidP="003E3B23">
      <w:pPr>
        <w:spacing w:after="0" w:line="240" w:lineRule="auto"/>
      </w:pPr>
      <w:r>
        <w:separator/>
      </w:r>
    </w:p>
  </w:footnote>
  <w:footnote w:type="continuationSeparator" w:id="0">
    <w:p w14:paraId="6F8356CF" w14:textId="77777777" w:rsidR="003E3B23" w:rsidRDefault="003E3B23" w:rsidP="003E3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982933"/>
      <w:docPartObj>
        <w:docPartGallery w:val="Page Numbers (Top of Page)"/>
        <w:docPartUnique/>
      </w:docPartObj>
    </w:sdtPr>
    <w:sdtEndPr>
      <w:rPr>
        <w:noProof/>
      </w:rPr>
    </w:sdtEndPr>
    <w:sdtContent>
      <w:p w14:paraId="4F5FADA5" w14:textId="77777777" w:rsidR="003E3B23" w:rsidRDefault="003E3B23">
        <w:pPr>
          <w:pStyle w:val="Encabezado"/>
          <w:jc w:val="right"/>
        </w:pPr>
        <w:r w:rsidRPr="003E3B23">
          <w:rPr>
            <w:rFonts w:ascii="Verdana" w:hAnsi="Verdana"/>
            <w:sz w:val="20"/>
            <w:szCs w:val="20"/>
          </w:rPr>
          <w:fldChar w:fldCharType="begin"/>
        </w:r>
        <w:r w:rsidRPr="003E3B23">
          <w:rPr>
            <w:rFonts w:ascii="Verdana" w:hAnsi="Verdana"/>
            <w:sz w:val="20"/>
            <w:szCs w:val="20"/>
          </w:rPr>
          <w:instrText xml:space="preserve"> PAGE   \* MERGEFORMAT </w:instrText>
        </w:r>
        <w:r w:rsidRPr="003E3B23">
          <w:rPr>
            <w:rFonts w:ascii="Verdana" w:hAnsi="Verdana"/>
            <w:sz w:val="20"/>
            <w:szCs w:val="20"/>
          </w:rPr>
          <w:fldChar w:fldCharType="separate"/>
        </w:r>
        <w:r w:rsidR="00B11CF5">
          <w:rPr>
            <w:rFonts w:ascii="Verdana" w:hAnsi="Verdana"/>
            <w:noProof/>
            <w:sz w:val="20"/>
            <w:szCs w:val="20"/>
          </w:rPr>
          <w:t>2</w:t>
        </w:r>
        <w:r w:rsidRPr="003E3B23">
          <w:rPr>
            <w:rFonts w:ascii="Verdana" w:hAnsi="Verdana"/>
            <w:noProof/>
            <w:sz w:val="20"/>
            <w:szCs w:val="20"/>
          </w:rPr>
          <w:fldChar w:fldCharType="end"/>
        </w:r>
      </w:p>
    </w:sdtContent>
  </w:sdt>
  <w:p w14:paraId="24957EC4" w14:textId="77777777" w:rsidR="003E3B23" w:rsidRDefault="003E3B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56290"/>
    <w:multiLevelType w:val="hybridMultilevel"/>
    <w:tmpl w:val="E9A04C7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51103B"/>
    <w:multiLevelType w:val="hybridMultilevel"/>
    <w:tmpl w:val="AE6E1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D424B8"/>
    <w:multiLevelType w:val="hybridMultilevel"/>
    <w:tmpl w:val="AC246BEC"/>
    <w:lvl w:ilvl="0" w:tplc="B47691EC">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8240FA"/>
    <w:multiLevelType w:val="hybridMultilevel"/>
    <w:tmpl w:val="FE8ABB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B23"/>
    <w:rsid w:val="00285B68"/>
    <w:rsid w:val="00386BCB"/>
    <w:rsid w:val="003A7E5E"/>
    <w:rsid w:val="003E3B23"/>
    <w:rsid w:val="009832C0"/>
    <w:rsid w:val="00AE77DC"/>
    <w:rsid w:val="00B11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4175EF5B"/>
  <w15:docId w15:val="{F91B335E-F34B-429B-9AA0-2DA57995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3B23"/>
    <w:pPr>
      <w:ind w:left="720"/>
      <w:contextualSpacing/>
    </w:pPr>
  </w:style>
  <w:style w:type="paragraph" w:styleId="Encabezado">
    <w:name w:val="header"/>
    <w:basedOn w:val="Normal"/>
    <w:link w:val="EncabezadoCar"/>
    <w:unhideWhenUsed/>
    <w:rsid w:val="003E3B23"/>
    <w:pPr>
      <w:tabs>
        <w:tab w:val="center" w:pos="4680"/>
        <w:tab w:val="right" w:pos="9360"/>
      </w:tabs>
      <w:spacing w:after="0" w:line="240" w:lineRule="auto"/>
    </w:pPr>
  </w:style>
  <w:style w:type="character" w:customStyle="1" w:styleId="EncabezadoCar">
    <w:name w:val="Encabezado Car"/>
    <w:basedOn w:val="Fuentedeprrafopredeter"/>
    <w:link w:val="Encabezado"/>
    <w:rsid w:val="003E3B23"/>
  </w:style>
  <w:style w:type="paragraph" w:styleId="Piedepgina">
    <w:name w:val="footer"/>
    <w:basedOn w:val="Normal"/>
    <w:link w:val="PiedepginaCar"/>
    <w:uiPriority w:val="99"/>
    <w:unhideWhenUsed/>
    <w:rsid w:val="003E3B2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E3B23"/>
  </w:style>
  <w:style w:type="paragraph" w:customStyle="1" w:styleId="Sangra2detindependiente">
    <w:name w:val="Sangr’a 2 de t. independiente"/>
    <w:basedOn w:val="Normal"/>
    <w:rsid w:val="00386BCB"/>
    <w:pPr>
      <w:overflowPunct w:val="0"/>
      <w:autoSpaceDE w:val="0"/>
      <w:autoSpaceDN w:val="0"/>
      <w:adjustRightInd w:val="0"/>
      <w:spacing w:after="0" w:line="360" w:lineRule="atLeast"/>
      <w:ind w:left="720"/>
      <w:jc w:val="both"/>
      <w:textAlignment w:val="baseline"/>
    </w:pPr>
    <w:rPr>
      <w:rFonts w:ascii="Garamond" w:eastAsia="Times New Roman" w:hAnsi="Garamond"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91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4054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Shashira Douglas</cp:lastModifiedBy>
  <cp:revision>2</cp:revision>
  <dcterms:created xsi:type="dcterms:W3CDTF">2021-12-31T00:08:00Z</dcterms:created>
  <dcterms:modified xsi:type="dcterms:W3CDTF">2021-12-31T00:08:00Z</dcterms:modified>
</cp:coreProperties>
</file>