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CAF6" w14:textId="1AB1F8D2" w:rsidR="009736E9" w:rsidRPr="00B46F72" w:rsidRDefault="00F17AEF" w:rsidP="009736E9">
      <w:pPr>
        <w:jc w:val="center"/>
        <w:rPr>
          <w:rFonts w:ascii="Verdana" w:hAnsi="Verdana"/>
          <w:b/>
          <w:sz w:val="20"/>
          <w:szCs w:val="20"/>
          <w:u w:val="single"/>
          <w:lang w:val="es-ES"/>
        </w:rPr>
      </w:pPr>
      <w:r w:rsidRPr="00B46F72">
        <w:rPr>
          <w:rFonts w:ascii="Verdana" w:eastAsia="MS Mincho" w:hAnsi="Verdana"/>
          <w:b/>
          <w:sz w:val="20"/>
          <w:szCs w:val="20"/>
          <w:u w:val="single"/>
        </w:rPr>
        <w:t xml:space="preserve">Caso </w:t>
      </w:r>
      <w:proofErr w:type="spellStart"/>
      <w:r w:rsidRPr="00B46F72">
        <w:rPr>
          <w:rFonts w:ascii="Verdana" w:eastAsia="MS Mincho" w:hAnsi="Verdana"/>
          <w:b/>
          <w:sz w:val="20"/>
          <w:szCs w:val="20"/>
          <w:u w:val="single"/>
        </w:rPr>
        <w:t>Coc</w:t>
      </w:r>
      <w:proofErr w:type="spellEnd"/>
      <w:r w:rsidRPr="00B46F72">
        <w:rPr>
          <w:rFonts w:ascii="Verdana" w:eastAsia="MS Mincho" w:hAnsi="Verdana"/>
          <w:b/>
          <w:sz w:val="20"/>
          <w:szCs w:val="20"/>
          <w:u w:val="single"/>
        </w:rPr>
        <w:t xml:space="preserve"> Max y otros (Masacre de </w:t>
      </w:r>
      <w:proofErr w:type="spellStart"/>
      <w:r w:rsidRPr="00B46F72">
        <w:rPr>
          <w:rFonts w:ascii="Verdana" w:eastAsia="MS Mincho" w:hAnsi="Verdana"/>
          <w:b/>
          <w:sz w:val="20"/>
          <w:szCs w:val="20"/>
          <w:u w:val="single"/>
        </w:rPr>
        <w:t>Xamán</w:t>
      </w:r>
      <w:proofErr w:type="spellEnd"/>
      <w:r w:rsidRPr="00B46F72">
        <w:rPr>
          <w:rFonts w:ascii="Verdana" w:eastAsia="MS Mincho" w:hAnsi="Verdana"/>
          <w:b/>
          <w:sz w:val="20"/>
          <w:szCs w:val="20"/>
          <w:u w:val="single"/>
        </w:rPr>
        <w:t xml:space="preserve">) </w:t>
      </w:r>
      <w:r w:rsidRPr="004103F2">
        <w:rPr>
          <w:rFonts w:ascii="Verdana" w:eastAsia="MS Mincho" w:hAnsi="Verdana"/>
          <w:b/>
          <w:i/>
          <w:iCs/>
          <w:sz w:val="20"/>
          <w:szCs w:val="20"/>
          <w:u w:val="single"/>
        </w:rPr>
        <w:t>Vs</w:t>
      </w:r>
      <w:r w:rsidR="006C45D6" w:rsidRPr="00B46F72">
        <w:rPr>
          <w:rFonts w:ascii="Verdana" w:eastAsia="MS Mincho" w:hAnsi="Verdana"/>
          <w:b/>
          <w:sz w:val="20"/>
          <w:szCs w:val="20"/>
          <w:u w:val="single"/>
        </w:rPr>
        <w:t>. Guatemala</w:t>
      </w:r>
      <w:r w:rsidR="009736E9" w:rsidRPr="00B46F72">
        <w:rPr>
          <w:rFonts w:ascii="Verdana" w:eastAsia="MS Mincho" w:hAnsi="Verdana"/>
          <w:b/>
          <w:sz w:val="20"/>
          <w:szCs w:val="20"/>
          <w:u w:val="single"/>
        </w:rPr>
        <w:t xml:space="preserve">: </w:t>
      </w:r>
      <w:r w:rsidR="009736E9" w:rsidRPr="00B46F72">
        <w:rPr>
          <w:rFonts w:ascii="Verdana" w:hAnsi="Verdana"/>
          <w:b/>
          <w:sz w:val="20"/>
          <w:szCs w:val="20"/>
          <w:u w:val="single"/>
          <w:lang w:val="es-ES"/>
        </w:rPr>
        <w:t>reparaciones declaradas cumplidas</w:t>
      </w:r>
    </w:p>
    <w:p w14:paraId="31E41264" w14:textId="77777777" w:rsidR="005B21EE" w:rsidRPr="00B46F72" w:rsidRDefault="005B21EE" w:rsidP="009736E9">
      <w:pPr>
        <w:jc w:val="center"/>
        <w:rPr>
          <w:rFonts w:ascii="Verdana" w:hAnsi="Verdana"/>
          <w:b/>
          <w:sz w:val="20"/>
          <w:szCs w:val="20"/>
          <w:u w:val="single"/>
          <w:lang w:val="es-ES"/>
        </w:rPr>
      </w:pPr>
    </w:p>
    <w:p w14:paraId="36D47565" w14:textId="5C79FF6B" w:rsidR="00F17AEF" w:rsidRPr="00B46F72" w:rsidRDefault="00F17AEF" w:rsidP="00F17AEF">
      <w:pPr>
        <w:pStyle w:val="Prrafodelista"/>
        <w:widowControl w:val="0"/>
        <w:numPr>
          <w:ilvl w:val="0"/>
          <w:numId w:val="3"/>
        </w:numPr>
        <w:tabs>
          <w:tab w:val="left" w:pos="840"/>
        </w:tabs>
        <w:autoSpaceDE w:val="0"/>
        <w:autoSpaceDN w:val="0"/>
        <w:ind w:left="119" w:right="119" w:firstLine="0"/>
        <w:contextualSpacing w:val="0"/>
        <w:jc w:val="both"/>
        <w:rPr>
          <w:szCs w:val="20"/>
        </w:rPr>
      </w:pPr>
      <w:r w:rsidRPr="00B46F72">
        <w:rPr>
          <w:szCs w:val="20"/>
        </w:rPr>
        <w:t>Realizar las publicaciones indicadas en el párrafo 158 de la Sentencia, de conformidad con lo establecido en dicho</w:t>
      </w:r>
      <w:r w:rsidRPr="00B46F72">
        <w:rPr>
          <w:spacing w:val="-19"/>
          <w:szCs w:val="20"/>
        </w:rPr>
        <w:t xml:space="preserve"> </w:t>
      </w:r>
      <w:r w:rsidRPr="00B46F72">
        <w:rPr>
          <w:szCs w:val="20"/>
        </w:rPr>
        <w:t>párrafo.</w:t>
      </w:r>
    </w:p>
    <w:p w14:paraId="2D1B5529" w14:textId="77777777" w:rsidR="00F17AEF" w:rsidRPr="00B46F72" w:rsidRDefault="00F17AEF" w:rsidP="00F17AEF">
      <w:pPr>
        <w:pStyle w:val="Prrafodelista"/>
        <w:widowControl w:val="0"/>
        <w:tabs>
          <w:tab w:val="left" w:pos="840"/>
        </w:tabs>
        <w:autoSpaceDE w:val="0"/>
        <w:autoSpaceDN w:val="0"/>
        <w:ind w:left="119" w:right="119"/>
        <w:contextualSpacing w:val="0"/>
        <w:jc w:val="left"/>
        <w:rPr>
          <w:szCs w:val="20"/>
        </w:rPr>
      </w:pPr>
    </w:p>
    <w:p w14:paraId="1F9931CC" w14:textId="14C07962" w:rsidR="006C45D6" w:rsidRPr="00B46F72" w:rsidRDefault="00F17AEF" w:rsidP="006C45D6">
      <w:pPr>
        <w:pStyle w:val="Prrafodelista"/>
        <w:widowControl w:val="0"/>
        <w:numPr>
          <w:ilvl w:val="0"/>
          <w:numId w:val="3"/>
        </w:numPr>
        <w:tabs>
          <w:tab w:val="left" w:pos="840"/>
        </w:tabs>
        <w:autoSpaceDE w:val="0"/>
        <w:autoSpaceDN w:val="0"/>
        <w:ind w:left="119" w:right="115" w:firstLine="0"/>
        <w:contextualSpacing w:val="0"/>
        <w:jc w:val="both"/>
        <w:rPr>
          <w:szCs w:val="20"/>
        </w:rPr>
      </w:pPr>
      <w:r w:rsidRPr="00B46F72">
        <w:rPr>
          <w:szCs w:val="20"/>
        </w:rPr>
        <w:t>Pagar la cantidad fijada en el párrafo 195 de la Sentencia por el reintegro de costas y gastos.</w:t>
      </w:r>
    </w:p>
    <w:p w14:paraId="2AD2D7CF" w14:textId="30375E64" w:rsidR="006C45D6" w:rsidRPr="00B46F72" w:rsidRDefault="006C45D6" w:rsidP="006C45D6">
      <w:pPr>
        <w:rPr>
          <w:rFonts w:ascii="Verdana" w:eastAsia="MS Mincho" w:hAnsi="Verdana"/>
          <w:sz w:val="20"/>
          <w:szCs w:val="20"/>
          <w:u w:val="single"/>
        </w:rPr>
      </w:pPr>
    </w:p>
    <w:p w14:paraId="28EA88AC" w14:textId="5B3A5303" w:rsidR="00B46F72" w:rsidRDefault="00B46F72" w:rsidP="00441F37">
      <w:pPr>
        <w:jc w:val="both"/>
        <w:rPr>
          <w:rFonts w:ascii="Verdana" w:eastAsia="MS Mincho" w:hAnsi="Verdana"/>
          <w:b/>
          <w:bCs/>
          <w:sz w:val="20"/>
          <w:szCs w:val="20"/>
          <w:u w:val="single"/>
        </w:rPr>
      </w:pPr>
      <w:bookmarkStart w:id="0" w:name="_Hlk206060297"/>
      <w:r w:rsidRPr="00B46F72">
        <w:rPr>
          <w:rFonts w:ascii="Verdana" w:eastAsia="MS Mincho" w:hAnsi="Verdana"/>
          <w:b/>
          <w:bCs/>
          <w:sz w:val="20"/>
          <w:szCs w:val="20"/>
          <w:u w:val="single"/>
        </w:rPr>
        <w:t>Cumplimiento parcial</w:t>
      </w:r>
    </w:p>
    <w:p w14:paraId="3426A8CF" w14:textId="328D0D64" w:rsidR="00B46F72" w:rsidRDefault="00B46F72" w:rsidP="00441F37">
      <w:pPr>
        <w:pStyle w:val="Prrafodelista"/>
        <w:numPr>
          <w:ilvl w:val="0"/>
          <w:numId w:val="3"/>
        </w:numPr>
        <w:ind w:firstLine="22"/>
        <w:jc w:val="both"/>
        <w:rPr>
          <w:rFonts w:eastAsia="MS Mincho"/>
          <w:szCs w:val="20"/>
        </w:rPr>
      </w:pPr>
      <w:r>
        <w:rPr>
          <w:rFonts w:eastAsia="MS Mincho"/>
          <w:szCs w:val="20"/>
        </w:rPr>
        <w:t xml:space="preserve"> </w:t>
      </w:r>
      <w:r w:rsidRPr="00B46F72">
        <w:rPr>
          <w:rFonts w:eastAsia="MS Mincho"/>
          <w:szCs w:val="20"/>
        </w:rPr>
        <w:t>Pagar las cantidades fijadas en los párrafos 186 y 190 de la presente Sentencia por daños materiales e inmateriales.</w:t>
      </w:r>
    </w:p>
    <w:p w14:paraId="1250D715" w14:textId="42580364" w:rsidR="00B46F72" w:rsidRDefault="00B46F72" w:rsidP="00441F37">
      <w:pPr>
        <w:pStyle w:val="Prrafodelista"/>
        <w:ind w:left="142"/>
        <w:rPr>
          <w:rFonts w:eastAsia="MS Mincho"/>
          <w:szCs w:val="20"/>
        </w:rPr>
      </w:pPr>
    </w:p>
    <w:p w14:paraId="4586E719" w14:textId="3BEE90D3" w:rsidR="00B46F72" w:rsidRDefault="00B46F72" w:rsidP="00441F37">
      <w:pPr>
        <w:pStyle w:val="Prrafodelista"/>
        <w:ind w:left="142"/>
        <w:rPr>
          <w:rFonts w:eastAsia="MS Mincho"/>
          <w:szCs w:val="20"/>
        </w:rPr>
      </w:pPr>
      <w:bookmarkStart w:id="1" w:name="_Hlk206062105"/>
      <w:r>
        <w:rPr>
          <w:rFonts w:eastAsia="MS Mincho"/>
          <w:szCs w:val="20"/>
        </w:rPr>
        <w:t xml:space="preserve">En </w:t>
      </w:r>
      <w:r w:rsidR="007E56EE">
        <w:rPr>
          <w:rFonts w:eastAsia="MS Mincho"/>
          <w:szCs w:val="20"/>
        </w:rPr>
        <w:t>el</w:t>
      </w:r>
      <w:r w:rsidR="004103F2">
        <w:rPr>
          <w:rFonts w:eastAsia="MS Mincho"/>
          <w:szCs w:val="20"/>
        </w:rPr>
        <w:t xml:space="preserve"> Considerando 11 de la</w:t>
      </w:r>
      <w:r>
        <w:rPr>
          <w:rFonts w:eastAsia="MS Mincho"/>
          <w:szCs w:val="20"/>
        </w:rPr>
        <w:t xml:space="preserve"> Resolución de </w:t>
      </w:r>
      <w:r w:rsidR="00441F37">
        <w:rPr>
          <w:rFonts w:eastAsia="MS Mincho"/>
          <w:szCs w:val="20"/>
        </w:rPr>
        <w:t xml:space="preserve">27 de marzo de 2025, </w:t>
      </w:r>
      <w:r w:rsidR="004103F2" w:rsidRPr="004103F2">
        <w:rPr>
          <w:rFonts w:eastAsia="MS Mincho"/>
          <w:szCs w:val="20"/>
        </w:rPr>
        <w:t>se explica lo que continúa pendiente de cumplimiento respecto a la presente medida de reparación</w:t>
      </w:r>
      <w:bookmarkEnd w:id="1"/>
      <w:r w:rsidR="00441F37">
        <w:rPr>
          <w:rFonts w:eastAsia="MS Mincho"/>
          <w:szCs w:val="20"/>
        </w:rPr>
        <w:t>:</w:t>
      </w:r>
    </w:p>
    <w:p w14:paraId="2440EB90" w14:textId="6999C1E9" w:rsidR="00B46F72" w:rsidRDefault="00B46F72" w:rsidP="00441F37">
      <w:pPr>
        <w:pStyle w:val="Prrafodelista"/>
        <w:ind w:left="142"/>
        <w:rPr>
          <w:rFonts w:eastAsia="MS Mincho"/>
          <w:szCs w:val="20"/>
        </w:rPr>
      </w:pPr>
    </w:p>
    <w:p w14:paraId="3D582CFF" w14:textId="694D969F" w:rsidR="00B46F72" w:rsidRPr="004103F2" w:rsidRDefault="004103F2" w:rsidP="004103F2">
      <w:pPr>
        <w:pStyle w:val="Prrafodelista"/>
        <w:ind w:left="706"/>
        <w:rPr>
          <w:sz w:val="18"/>
          <w:szCs w:val="22"/>
        </w:rPr>
      </w:pPr>
      <w:r>
        <w:rPr>
          <w:rFonts w:eastAsia="MS Mincho"/>
          <w:sz w:val="18"/>
          <w:szCs w:val="18"/>
        </w:rPr>
        <w:t>11</w:t>
      </w:r>
      <w:r w:rsidR="00B46F72" w:rsidRPr="00441F37">
        <w:rPr>
          <w:rFonts w:eastAsia="MS Mincho"/>
          <w:sz w:val="18"/>
          <w:szCs w:val="18"/>
        </w:rPr>
        <w:t xml:space="preserve">. </w:t>
      </w:r>
      <w:bookmarkStart w:id="2" w:name="_Hlk206062081"/>
      <w:r w:rsidRPr="004103F2">
        <w:rPr>
          <w:rFonts w:eastAsia="MS Mincho"/>
          <w:sz w:val="18"/>
          <w:szCs w:val="18"/>
          <w:lang w:val="es-CR"/>
        </w:rPr>
        <w:t>Por todo lo anterior, la Corte concluye que el Estado ha dado cumplimiento parcial a la medida ordenada en el punto resolutivo decimocuarto y en los párrafos 186 y 190 de la Sentencia, ya que realizó los siguientes pagos: (i) la indemnización de los daños materiales e inmateriales sufridos por siete personas fallecidas y a casi la totalidad de los familiares de dos de personas más fallecidas (víctimas de la violación al derecho a la vida) (supra Considerando 7); (ii) la indemnización de los daños materiales e inmateriales sufridos por 23 personas (víctimas de la violación al derecho a la integridad personal por heridas sufridas) (supra Considerando 8); (iii) la indemnización de los daños inmateriales sufridos por 42 personas familiares directos de las víctimas fallecidas (víctimas de la violación del derecho a la integridad personal) (supra Considerando 9); y (iv) la indemnización de los daños inmateriales sufridos por seis personas (víctimas de la violación a los derechos a las garantías judiciales y a la protección judicial) (supra Considerando 10). Se encuentra pendiente que el Estado efectúe, a la mayor brevedad posible, los pagos indicados en los Considerandos 7 a 10 de la presente Resolución</w:t>
      </w:r>
      <w:bookmarkEnd w:id="2"/>
      <w:r w:rsidR="00B46F72" w:rsidRPr="00441F37">
        <w:rPr>
          <w:sz w:val="18"/>
          <w:szCs w:val="22"/>
        </w:rPr>
        <w:t xml:space="preserve">. </w:t>
      </w:r>
      <w:bookmarkEnd w:id="0"/>
    </w:p>
    <w:sectPr w:rsidR="00B46F72" w:rsidRPr="004103F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9B88A" w14:textId="77777777" w:rsidR="00670488" w:rsidRDefault="00670488" w:rsidP="003B6C00">
      <w:pPr>
        <w:spacing w:after="0" w:line="240" w:lineRule="auto"/>
      </w:pPr>
      <w:r>
        <w:separator/>
      </w:r>
    </w:p>
  </w:endnote>
  <w:endnote w:type="continuationSeparator" w:id="0">
    <w:p w14:paraId="52770BDB" w14:textId="77777777" w:rsidR="00670488" w:rsidRDefault="00670488" w:rsidP="003B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F4E6" w14:textId="77777777" w:rsidR="003B6C00" w:rsidRPr="00A950A1" w:rsidRDefault="003B6C00" w:rsidP="003B6C00">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69EDD57" w14:textId="77777777" w:rsidR="003B6C00" w:rsidRDefault="003B6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EC2AC" w14:textId="77777777" w:rsidR="00670488" w:rsidRDefault="00670488" w:rsidP="003B6C00">
      <w:pPr>
        <w:spacing w:after="0" w:line="240" w:lineRule="auto"/>
      </w:pPr>
      <w:r>
        <w:separator/>
      </w:r>
    </w:p>
  </w:footnote>
  <w:footnote w:type="continuationSeparator" w:id="0">
    <w:p w14:paraId="62855076" w14:textId="77777777" w:rsidR="00670488" w:rsidRDefault="00670488" w:rsidP="003B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490F310"/>
    <w:lvl w:ilvl="0" w:tplc="6980CF7E">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3D1877"/>
    <w:multiLevelType w:val="hybridMultilevel"/>
    <w:tmpl w:val="7BFE2006"/>
    <w:lvl w:ilvl="0" w:tplc="E9F4F222">
      <w:start w:val="1"/>
      <w:numFmt w:val="decimal"/>
      <w:lvlText w:val="%1."/>
      <w:lvlJc w:val="left"/>
      <w:pPr>
        <w:ind w:left="120" w:hanging="720"/>
        <w:jc w:val="left"/>
      </w:pPr>
      <w:rPr>
        <w:rFonts w:ascii="Verdana" w:eastAsia="Verdana" w:hAnsi="Verdana" w:cs="Verdana" w:hint="default"/>
        <w:w w:val="99"/>
        <w:sz w:val="20"/>
        <w:szCs w:val="20"/>
      </w:rPr>
    </w:lvl>
    <w:lvl w:ilvl="1" w:tplc="CBD2AEBE">
      <w:numFmt w:val="bullet"/>
      <w:lvlText w:val="•"/>
      <w:lvlJc w:val="left"/>
      <w:pPr>
        <w:ind w:left="1068" w:hanging="720"/>
      </w:pPr>
      <w:rPr>
        <w:rFonts w:hint="default"/>
      </w:rPr>
    </w:lvl>
    <w:lvl w:ilvl="2" w:tplc="1A50EF3A">
      <w:numFmt w:val="bullet"/>
      <w:lvlText w:val="•"/>
      <w:lvlJc w:val="left"/>
      <w:pPr>
        <w:ind w:left="2016" w:hanging="720"/>
      </w:pPr>
      <w:rPr>
        <w:rFonts w:hint="default"/>
      </w:rPr>
    </w:lvl>
    <w:lvl w:ilvl="3" w:tplc="2CE8374C">
      <w:numFmt w:val="bullet"/>
      <w:lvlText w:val="•"/>
      <w:lvlJc w:val="left"/>
      <w:pPr>
        <w:ind w:left="2964" w:hanging="720"/>
      </w:pPr>
      <w:rPr>
        <w:rFonts w:hint="default"/>
      </w:rPr>
    </w:lvl>
    <w:lvl w:ilvl="4" w:tplc="E60C029E">
      <w:numFmt w:val="bullet"/>
      <w:lvlText w:val="•"/>
      <w:lvlJc w:val="left"/>
      <w:pPr>
        <w:ind w:left="3912" w:hanging="720"/>
      </w:pPr>
      <w:rPr>
        <w:rFonts w:hint="default"/>
      </w:rPr>
    </w:lvl>
    <w:lvl w:ilvl="5" w:tplc="B7027468">
      <w:numFmt w:val="bullet"/>
      <w:lvlText w:val="•"/>
      <w:lvlJc w:val="left"/>
      <w:pPr>
        <w:ind w:left="4860" w:hanging="720"/>
      </w:pPr>
      <w:rPr>
        <w:rFonts w:hint="default"/>
      </w:rPr>
    </w:lvl>
    <w:lvl w:ilvl="6" w:tplc="2ED64774">
      <w:numFmt w:val="bullet"/>
      <w:lvlText w:val="•"/>
      <w:lvlJc w:val="left"/>
      <w:pPr>
        <w:ind w:left="5808" w:hanging="720"/>
      </w:pPr>
      <w:rPr>
        <w:rFonts w:hint="default"/>
      </w:rPr>
    </w:lvl>
    <w:lvl w:ilvl="7" w:tplc="9DAC500A">
      <w:numFmt w:val="bullet"/>
      <w:lvlText w:val="•"/>
      <w:lvlJc w:val="left"/>
      <w:pPr>
        <w:ind w:left="6756" w:hanging="720"/>
      </w:pPr>
      <w:rPr>
        <w:rFonts w:hint="default"/>
      </w:rPr>
    </w:lvl>
    <w:lvl w:ilvl="8" w:tplc="067C0642">
      <w:numFmt w:val="bullet"/>
      <w:lvlText w:val="•"/>
      <w:lvlJc w:val="left"/>
      <w:pPr>
        <w:ind w:left="7704" w:hanging="720"/>
      </w:pPr>
      <w:rPr>
        <w:rFonts w:hint="default"/>
      </w:rPr>
    </w:lvl>
  </w:abstractNum>
  <w:num w:numId="1" w16cid:durableId="1549995544">
    <w:abstractNumId w:val="1"/>
  </w:num>
  <w:num w:numId="2" w16cid:durableId="1572232251">
    <w:abstractNumId w:val="0"/>
  </w:num>
  <w:num w:numId="3" w16cid:durableId="839657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E9"/>
    <w:rsid w:val="00005D36"/>
    <w:rsid w:val="00175D4D"/>
    <w:rsid w:val="002C482D"/>
    <w:rsid w:val="003B6C00"/>
    <w:rsid w:val="004103F2"/>
    <w:rsid w:val="00441F37"/>
    <w:rsid w:val="0050628A"/>
    <w:rsid w:val="005B21EE"/>
    <w:rsid w:val="00670488"/>
    <w:rsid w:val="006C45D6"/>
    <w:rsid w:val="007C1288"/>
    <w:rsid w:val="007E56EE"/>
    <w:rsid w:val="008A7C8F"/>
    <w:rsid w:val="008F0C49"/>
    <w:rsid w:val="009736E9"/>
    <w:rsid w:val="00B13E36"/>
    <w:rsid w:val="00B46F72"/>
    <w:rsid w:val="00DF7DE4"/>
    <w:rsid w:val="00F17A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3BB5"/>
  <w15:chartTrackingRefBased/>
  <w15:docId w15:val="{035BA445-6885-46E4-9E67-7AA69999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21EE"/>
    <w:pPr>
      <w:autoSpaceDE w:val="0"/>
      <w:autoSpaceDN w:val="0"/>
      <w:adjustRightInd w:val="0"/>
      <w:spacing w:after="0" w:line="240" w:lineRule="auto"/>
    </w:pPr>
    <w:rPr>
      <w:rFonts w:ascii="Verdana" w:eastAsia="Calibri" w:hAnsi="Verdana" w:cs="Verdana"/>
      <w:color w:val="000000"/>
      <w:sz w:val="24"/>
      <w:szCs w:val="24"/>
      <w:lang w:val="en-US"/>
    </w:rPr>
  </w:style>
  <w:style w:type="paragraph" w:styleId="Prrafodelista">
    <w:name w:val="List Paragraph"/>
    <w:aliases w:val="Footnote,List Paragraph1,Párrafo de lista1,Colorful List - Accent 11,List Paragraph2,Lista vistosa - Énfasis 11"/>
    <w:basedOn w:val="Normal"/>
    <w:link w:val="PrrafodelistaCar"/>
    <w:uiPriority w:val="1"/>
    <w:qFormat/>
    <w:rsid w:val="005B21EE"/>
    <w:pPr>
      <w:spacing w:after="0" w:line="240" w:lineRule="auto"/>
      <w:ind w:left="720"/>
      <w:contextualSpacing/>
      <w:jc w:val="both"/>
    </w:pPr>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3B6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C00"/>
  </w:style>
  <w:style w:type="paragraph" w:styleId="Piedepgina">
    <w:name w:val="footer"/>
    <w:basedOn w:val="Normal"/>
    <w:link w:val="PiedepginaCar"/>
    <w:uiPriority w:val="99"/>
    <w:unhideWhenUsed/>
    <w:rsid w:val="003B6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C00"/>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6C45D6"/>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2</cp:revision>
  <dcterms:created xsi:type="dcterms:W3CDTF">2025-08-14T22:22:00Z</dcterms:created>
  <dcterms:modified xsi:type="dcterms:W3CDTF">2025-08-14T22:22:00Z</dcterms:modified>
</cp:coreProperties>
</file>