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5FD1" w14:textId="77777777" w:rsidR="00BB0AF9" w:rsidRPr="003B5D8D" w:rsidRDefault="00EF36C5" w:rsidP="003B5D8D">
      <w:pPr>
        <w:spacing w:before="80"/>
        <w:ind w:right="187"/>
        <w:jc w:val="center"/>
        <w:rPr>
          <w:b/>
          <w:sz w:val="20"/>
        </w:rPr>
      </w:pPr>
      <w:bookmarkStart w:id="0" w:name="_Hlk123136380"/>
      <w:r w:rsidRPr="003B5D8D">
        <w:rPr>
          <w:b/>
          <w:sz w:val="20"/>
          <w:u w:val="thick"/>
        </w:rPr>
        <w:t xml:space="preserve">Caso Coc Max y otros (Masacre de Xamán) </w:t>
      </w:r>
      <w:r w:rsidR="003B5D8D">
        <w:rPr>
          <w:b/>
          <w:sz w:val="20"/>
          <w:u w:val="thick"/>
        </w:rPr>
        <w:t>Vs</w:t>
      </w:r>
      <w:r w:rsidR="003B5D8D" w:rsidRPr="003B5D8D">
        <w:rPr>
          <w:b/>
          <w:sz w:val="20"/>
          <w:u w:val="thick"/>
        </w:rPr>
        <w:t xml:space="preserve">. </w:t>
      </w:r>
      <w:bookmarkEnd w:id="0"/>
      <w:r w:rsidR="003B5D8D" w:rsidRPr="003B5D8D">
        <w:rPr>
          <w:b/>
          <w:sz w:val="20"/>
          <w:u w:val="thick"/>
        </w:rPr>
        <w:t>Guatemala: reparacio</w:t>
      </w:r>
      <w:r w:rsidRPr="003B5D8D">
        <w:rPr>
          <w:b/>
          <w:sz w:val="20"/>
          <w:u w:val="thick"/>
        </w:rPr>
        <w:t>n</w:t>
      </w:r>
      <w:r w:rsidR="003B5D8D" w:rsidRPr="003B5D8D">
        <w:rPr>
          <w:b/>
          <w:sz w:val="20"/>
          <w:u w:val="thick"/>
        </w:rPr>
        <w:t xml:space="preserve">es </w:t>
      </w:r>
      <w:r w:rsidRPr="003B5D8D">
        <w:rPr>
          <w:b/>
          <w:sz w:val="20"/>
          <w:u w:val="thick"/>
        </w:rPr>
        <w:t>pendientes de cumplimiento</w:t>
      </w:r>
    </w:p>
    <w:p w14:paraId="6B378E2B" w14:textId="77777777" w:rsidR="00BB0AF9" w:rsidRDefault="00BB0AF9" w:rsidP="003B5D8D">
      <w:pPr>
        <w:pStyle w:val="Textoindependiente"/>
        <w:jc w:val="center"/>
        <w:rPr>
          <w:b/>
        </w:rPr>
      </w:pPr>
    </w:p>
    <w:p w14:paraId="4D55FF22" w14:textId="77777777" w:rsidR="00BB0AF9" w:rsidRDefault="00BB0AF9">
      <w:pPr>
        <w:pStyle w:val="Textoindependiente"/>
        <w:spacing w:before="12"/>
        <w:rPr>
          <w:b/>
          <w:sz w:val="19"/>
        </w:rPr>
      </w:pPr>
    </w:p>
    <w:p w14:paraId="77298A66" w14:textId="3A69A80F" w:rsidR="00BB0AF9" w:rsidRDefault="00EF36C5">
      <w:pPr>
        <w:pStyle w:val="Prrafodelista"/>
        <w:numPr>
          <w:ilvl w:val="0"/>
          <w:numId w:val="1"/>
        </w:numPr>
        <w:tabs>
          <w:tab w:val="left" w:pos="840"/>
        </w:tabs>
        <w:ind w:firstLine="0"/>
        <w:jc w:val="both"/>
        <w:rPr>
          <w:sz w:val="20"/>
        </w:rPr>
      </w:pPr>
      <w:r>
        <w:rPr>
          <w:sz w:val="20"/>
        </w:rPr>
        <w:t>Adoptar las medidas necesarias para continuar la investigación sobre los hechos, de conformidad con lo establecido en el párrafo 152 de la</w:t>
      </w:r>
      <w:r>
        <w:rPr>
          <w:spacing w:val="-28"/>
          <w:sz w:val="20"/>
        </w:rPr>
        <w:t xml:space="preserve"> </w:t>
      </w:r>
      <w:r>
        <w:rPr>
          <w:sz w:val="20"/>
        </w:rPr>
        <w:t>Sentencia.</w:t>
      </w:r>
    </w:p>
    <w:p w14:paraId="0FAF5D19" w14:textId="77777777" w:rsidR="00BB0AF9" w:rsidRDefault="00BB0AF9">
      <w:pPr>
        <w:pStyle w:val="Textoindependiente"/>
        <w:spacing w:before="1"/>
      </w:pPr>
    </w:p>
    <w:p w14:paraId="0F07101A" w14:textId="397562C7" w:rsidR="00BB0AF9" w:rsidRPr="00BC783F" w:rsidRDefault="00EF36C5" w:rsidP="00BC783F">
      <w:pPr>
        <w:pStyle w:val="Prrafodelista"/>
        <w:numPr>
          <w:ilvl w:val="0"/>
          <w:numId w:val="1"/>
        </w:numPr>
        <w:tabs>
          <w:tab w:val="left" w:pos="840"/>
        </w:tabs>
        <w:ind w:left="119" w:right="119" w:firstLine="0"/>
        <w:jc w:val="both"/>
        <w:rPr>
          <w:sz w:val="20"/>
        </w:rPr>
      </w:pPr>
      <w:r>
        <w:rPr>
          <w:sz w:val="20"/>
        </w:rPr>
        <w:t>Brindar el tratamiento psiquiátrico o psicológico a las víctimas nombradas en los Anexos</w:t>
      </w:r>
      <w:r>
        <w:rPr>
          <w:spacing w:val="-10"/>
          <w:sz w:val="20"/>
        </w:rPr>
        <w:t xml:space="preserve"> </w:t>
      </w:r>
      <w:r>
        <w:rPr>
          <w:sz w:val="20"/>
        </w:rPr>
        <w:t>B.3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B.5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Sentencia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así</w:t>
      </w:r>
      <w:r>
        <w:rPr>
          <w:spacing w:val="-6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soliciten,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términos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párrafos 155 y 156 de la</w:t>
      </w:r>
      <w:r>
        <w:rPr>
          <w:spacing w:val="-12"/>
          <w:sz w:val="20"/>
        </w:rPr>
        <w:t xml:space="preserve"> </w:t>
      </w:r>
      <w:r>
        <w:rPr>
          <w:sz w:val="20"/>
        </w:rPr>
        <w:t>Sentencia.</w:t>
      </w:r>
    </w:p>
    <w:p w14:paraId="5DCC0D3F" w14:textId="77777777" w:rsidR="00BB0AF9" w:rsidRDefault="00BB0AF9">
      <w:pPr>
        <w:pStyle w:val="Textoindependiente"/>
        <w:spacing w:before="1"/>
      </w:pPr>
    </w:p>
    <w:p w14:paraId="78250286" w14:textId="512074EE" w:rsidR="00BB0AF9" w:rsidRDefault="00EF36C5">
      <w:pPr>
        <w:pStyle w:val="Prrafodelista"/>
        <w:numPr>
          <w:ilvl w:val="0"/>
          <w:numId w:val="1"/>
        </w:numPr>
        <w:tabs>
          <w:tab w:val="left" w:pos="840"/>
        </w:tabs>
        <w:ind w:left="119" w:firstLine="0"/>
        <w:jc w:val="both"/>
        <w:rPr>
          <w:sz w:val="20"/>
        </w:rPr>
      </w:pPr>
      <w:r>
        <w:rPr>
          <w:sz w:val="20"/>
        </w:rPr>
        <w:t xml:space="preserve">Realizar un acto público de reconocimiento de responsabilidad internacional, en relación con los hechos de este caso, en los términos del párrafo 163 de </w:t>
      </w:r>
      <w:r w:rsidR="00D97B90">
        <w:rPr>
          <w:sz w:val="20"/>
        </w:rPr>
        <w:t>la</w:t>
      </w:r>
      <w:r>
        <w:rPr>
          <w:spacing w:val="-32"/>
          <w:sz w:val="20"/>
        </w:rPr>
        <w:t xml:space="preserve"> </w:t>
      </w:r>
      <w:r>
        <w:rPr>
          <w:sz w:val="20"/>
        </w:rPr>
        <w:t>Sentencia.</w:t>
      </w:r>
    </w:p>
    <w:p w14:paraId="3EDECA50" w14:textId="77777777" w:rsidR="00BB0AF9" w:rsidRDefault="00BB0AF9">
      <w:pPr>
        <w:pStyle w:val="Textoindependiente"/>
        <w:spacing w:before="1"/>
      </w:pPr>
    </w:p>
    <w:p w14:paraId="04042DD1" w14:textId="6D7C60C4" w:rsidR="00BB0AF9" w:rsidRDefault="00EF36C5">
      <w:pPr>
        <w:pStyle w:val="Prrafodelista"/>
        <w:numPr>
          <w:ilvl w:val="0"/>
          <w:numId w:val="1"/>
        </w:numPr>
        <w:tabs>
          <w:tab w:val="left" w:pos="840"/>
        </w:tabs>
        <w:ind w:left="119" w:firstLine="0"/>
        <w:jc w:val="both"/>
        <w:rPr>
          <w:sz w:val="20"/>
        </w:rPr>
      </w:pPr>
      <w:r>
        <w:rPr>
          <w:sz w:val="20"/>
        </w:rPr>
        <w:t>Establecer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7"/>
          <w:sz w:val="20"/>
        </w:rPr>
        <w:t xml:space="preserve"> </w:t>
      </w:r>
      <w:r>
        <w:rPr>
          <w:sz w:val="20"/>
        </w:rPr>
        <w:t>Centro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Salud</w:t>
      </w:r>
      <w:r>
        <w:rPr>
          <w:spacing w:val="-7"/>
          <w:sz w:val="20"/>
        </w:rPr>
        <w:t xml:space="preserve"> </w:t>
      </w:r>
      <w:r>
        <w:rPr>
          <w:sz w:val="20"/>
        </w:rPr>
        <w:t>ubicado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Comunidad</w:t>
      </w:r>
      <w:r>
        <w:rPr>
          <w:spacing w:val="-7"/>
          <w:sz w:val="20"/>
        </w:rPr>
        <w:t xml:space="preserve"> </w:t>
      </w:r>
      <w:r>
        <w:rPr>
          <w:sz w:val="20"/>
        </w:rPr>
        <w:t>“Aurora</w:t>
      </w:r>
      <w:r>
        <w:rPr>
          <w:spacing w:val="-5"/>
          <w:sz w:val="20"/>
        </w:rPr>
        <w:t xml:space="preserve"> </w:t>
      </w:r>
      <w:r>
        <w:rPr>
          <w:sz w:val="20"/>
        </w:rPr>
        <w:t>8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Octubre”,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los términos del párrafo 167 de la</w:t>
      </w:r>
      <w:r>
        <w:rPr>
          <w:spacing w:val="-19"/>
          <w:sz w:val="20"/>
        </w:rPr>
        <w:t xml:space="preserve"> </w:t>
      </w:r>
      <w:r>
        <w:rPr>
          <w:sz w:val="20"/>
        </w:rPr>
        <w:t>Sentencia.</w:t>
      </w:r>
    </w:p>
    <w:p w14:paraId="2F5E5ABB" w14:textId="77777777" w:rsidR="00BB0AF9" w:rsidRDefault="00BB0AF9">
      <w:pPr>
        <w:pStyle w:val="Textoindependiente"/>
        <w:spacing w:before="1"/>
      </w:pPr>
    </w:p>
    <w:p w14:paraId="51CB8D6D" w14:textId="1575566F" w:rsidR="00BB0AF9" w:rsidRDefault="00EF36C5">
      <w:pPr>
        <w:pStyle w:val="Prrafodelista"/>
        <w:numPr>
          <w:ilvl w:val="0"/>
          <w:numId w:val="1"/>
        </w:numPr>
        <w:tabs>
          <w:tab w:val="left" w:pos="840"/>
        </w:tabs>
        <w:ind w:left="119" w:right="115" w:firstLine="0"/>
        <w:jc w:val="both"/>
        <w:rPr>
          <w:sz w:val="20"/>
        </w:rPr>
      </w:pPr>
      <w:r>
        <w:rPr>
          <w:sz w:val="20"/>
        </w:rPr>
        <w:t>Ampliar y asfaltar la carretera que se dirige de la autopista denominada Franja Transversal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Norte</w:t>
      </w:r>
      <w:r>
        <w:rPr>
          <w:spacing w:val="-17"/>
          <w:sz w:val="20"/>
        </w:rPr>
        <w:t xml:space="preserve"> </w:t>
      </w:r>
      <w:r>
        <w:rPr>
          <w:sz w:val="20"/>
        </w:rPr>
        <w:t>hacia</w:t>
      </w:r>
      <w:r>
        <w:rPr>
          <w:spacing w:val="-16"/>
          <w:sz w:val="20"/>
        </w:rPr>
        <w:t xml:space="preserve"> </w:t>
      </w:r>
      <w:r>
        <w:rPr>
          <w:sz w:val="20"/>
        </w:rPr>
        <w:t>el</w:t>
      </w:r>
      <w:r>
        <w:rPr>
          <w:spacing w:val="-16"/>
          <w:sz w:val="20"/>
        </w:rPr>
        <w:t xml:space="preserve"> </w:t>
      </w:r>
      <w:r>
        <w:rPr>
          <w:sz w:val="20"/>
        </w:rPr>
        <w:t>interior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la</w:t>
      </w:r>
      <w:r>
        <w:rPr>
          <w:spacing w:val="-16"/>
          <w:sz w:val="20"/>
        </w:rPr>
        <w:t xml:space="preserve"> </w:t>
      </w:r>
      <w:r>
        <w:rPr>
          <w:sz w:val="20"/>
        </w:rPr>
        <w:t>Comunidad</w:t>
      </w:r>
      <w:r>
        <w:rPr>
          <w:spacing w:val="-15"/>
          <w:sz w:val="20"/>
        </w:rPr>
        <w:t xml:space="preserve"> </w:t>
      </w:r>
      <w:r>
        <w:rPr>
          <w:sz w:val="20"/>
        </w:rPr>
        <w:t>“Aurora</w:t>
      </w:r>
      <w:r>
        <w:rPr>
          <w:spacing w:val="-16"/>
          <w:sz w:val="20"/>
        </w:rPr>
        <w:t xml:space="preserve"> </w:t>
      </w:r>
      <w:r>
        <w:rPr>
          <w:sz w:val="20"/>
        </w:rPr>
        <w:t>8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Octubre”,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5"/>
          <w:sz w:val="20"/>
        </w:rPr>
        <w:t xml:space="preserve"> </w:t>
      </w:r>
      <w:r>
        <w:rPr>
          <w:sz w:val="20"/>
        </w:rPr>
        <w:t>los</w:t>
      </w:r>
      <w:r>
        <w:rPr>
          <w:spacing w:val="-17"/>
          <w:sz w:val="20"/>
        </w:rPr>
        <w:t xml:space="preserve"> </w:t>
      </w:r>
      <w:r>
        <w:rPr>
          <w:sz w:val="20"/>
        </w:rPr>
        <w:t>términos del párrafo 171 de la</w:t>
      </w:r>
      <w:r>
        <w:rPr>
          <w:spacing w:val="-17"/>
          <w:sz w:val="20"/>
        </w:rPr>
        <w:t xml:space="preserve"> </w:t>
      </w:r>
      <w:r>
        <w:rPr>
          <w:sz w:val="20"/>
        </w:rPr>
        <w:t>Sentencia.</w:t>
      </w:r>
    </w:p>
    <w:p w14:paraId="08FD721B" w14:textId="77777777" w:rsidR="00BB0AF9" w:rsidRDefault="00BB0AF9">
      <w:pPr>
        <w:pStyle w:val="Textoindependiente"/>
        <w:spacing w:before="1"/>
      </w:pPr>
    </w:p>
    <w:p w14:paraId="7E0F31AC" w14:textId="06841EBD" w:rsidR="00BB0AF9" w:rsidRDefault="00EF36C5">
      <w:pPr>
        <w:pStyle w:val="Prrafodelista"/>
        <w:numPr>
          <w:ilvl w:val="0"/>
          <w:numId w:val="1"/>
        </w:numPr>
        <w:tabs>
          <w:tab w:val="left" w:pos="840"/>
        </w:tabs>
        <w:ind w:left="119" w:right="115" w:firstLine="0"/>
        <w:jc w:val="both"/>
        <w:rPr>
          <w:sz w:val="20"/>
        </w:rPr>
      </w:pPr>
      <w:bookmarkStart w:id="1" w:name="_Hlk123136741"/>
      <w:r>
        <w:rPr>
          <w:sz w:val="20"/>
        </w:rPr>
        <w:t>Pagar las cantidades fijadas en los párrafos 186</w:t>
      </w:r>
      <w:r w:rsidR="00582792">
        <w:rPr>
          <w:sz w:val="20"/>
        </w:rPr>
        <w:t xml:space="preserve"> y</w:t>
      </w:r>
      <w:r>
        <w:rPr>
          <w:sz w:val="20"/>
        </w:rPr>
        <w:t xml:space="preserve"> 190 de la presente Sentencia por daños materiales e inmateriales</w:t>
      </w:r>
      <w:r w:rsidR="00582792">
        <w:rPr>
          <w:sz w:val="20"/>
        </w:rPr>
        <w:t xml:space="preserve">. </w:t>
      </w:r>
      <w:r>
        <w:rPr>
          <w:sz w:val="20"/>
        </w:rPr>
        <w:t xml:space="preserve">Esos pagos deben efectuarse en los términos de los párrafos 196 a 200 de </w:t>
      </w:r>
      <w:r w:rsidR="00D97B90">
        <w:rPr>
          <w:sz w:val="20"/>
        </w:rPr>
        <w:t>la</w:t>
      </w:r>
      <w:r>
        <w:rPr>
          <w:spacing w:val="-29"/>
          <w:sz w:val="20"/>
        </w:rPr>
        <w:t xml:space="preserve"> </w:t>
      </w:r>
      <w:r>
        <w:rPr>
          <w:sz w:val="20"/>
        </w:rPr>
        <w:t>Sentencia.</w:t>
      </w:r>
    </w:p>
    <w:bookmarkEnd w:id="1"/>
    <w:p w14:paraId="27F198B5" w14:textId="77777777" w:rsidR="00BB0AF9" w:rsidRDefault="00BB0AF9">
      <w:pPr>
        <w:pStyle w:val="Textoindependiente"/>
      </w:pPr>
    </w:p>
    <w:p w14:paraId="7A7C3017" w14:textId="77777777" w:rsidR="00BB0AF9" w:rsidRDefault="00BB0AF9">
      <w:pPr>
        <w:pStyle w:val="Textoindependiente"/>
      </w:pPr>
    </w:p>
    <w:p w14:paraId="094DE87B" w14:textId="77777777" w:rsidR="00BB0AF9" w:rsidRDefault="00BB0AF9">
      <w:pPr>
        <w:pStyle w:val="Textoindependiente"/>
      </w:pPr>
    </w:p>
    <w:p w14:paraId="0CDC6F8F" w14:textId="77777777" w:rsidR="00BB0AF9" w:rsidRDefault="00BB0AF9">
      <w:pPr>
        <w:pStyle w:val="Textoindependiente"/>
      </w:pPr>
    </w:p>
    <w:p w14:paraId="7FB06F40" w14:textId="77777777" w:rsidR="00BB0AF9" w:rsidRDefault="00BB0AF9">
      <w:pPr>
        <w:pStyle w:val="Textoindependiente"/>
      </w:pPr>
    </w:p>
    <w:p w14:paraId="2EA8F432" w14:textId="77777777" w:rsidR="00BB0AF9" w:rsidRDefault="00BB0AF9">
      <w:pPr>
        <w:pStyle w:val="Textoindependiente"/>
      </w:pPr>
    </w:p>
    <w:p w14:paraId="22ACE514" w14:textId="77777777" w:rsidR="00BB0AF9" w:rsidRDefault="00BB0AF9">
      <w:pPr>
        <w:pStyle w:val="Textoindependiente"/>
      </w:pPr>
    </w:p>
    <w:p w14:paraId="5DDCEB9B" w14:textId="77777777" w:rsidR="00BB0AF9" w:rsidRDefault="00BB0AF9">
      <w:pPr>
        <w:pStyle w:val="Textoindependiente"/>
      </w:pPr>
    </w:p>
    <w:p w14:paraId="7F47941D" w14:textId="77777777" w:rsidR="00BB0AF9" w:rsidRDefault="00BB0AF9">
      <w:pPr>
        <w:pStyle w:val="Textoindependiente"/>
      </w:pPr>
    </w:p>
    <w:p w14:paraId="780A1192" w14:textId="77777777" w:rsidR="00BB0AF9" w:rsidRDefault="00BB0AF9">
      <w:pPr>
        <w:pStyle w:val="Textoindependiente"/>
      </w:pPr>
    </w:p>
    <w:p w14:paraId="355103C1" w14:textId="77777777" w:rsidR="00BB0AF9" w:rsidRDefault="00BB0AF9">
      <w:pPr>
        <w:pStyle w:val="Textoindependiente"/>
      </w:pPr>
    </w:p>
    <w:p w14:paraId="0009C461" w14:textId="77777777" w:rsidR="00BB0AF9" w:rsidRDefault="00BB0AF9">
      <w:pPr>
        <w:pStyle w:val="Textoindependiente"/>
      </w:pPr>
    </w:p>
    <w:p w14:paraId="11BF78BC" w14:textId="77777777" w:rsidR="00BB0AF9" w:rsidRDefault="00BB0AF9">
      <w:pPr>
        <w:pStyle w:val="Textoindependiente"/>
      </w:pPr>
    </w:p>
    <w:p w14:paraId="79878050" w14:textId="77777777" w:rsidR="00BB0AF9" w:rsidRDefault="00BB0AF9">
      <w:pPr>
        <w:pStyle w:val="Textoindependiente"/>
      </w:pPr>
    </w:p>
    <w:p w14:paraId="5E527783" w14:textId="77777777" w:rsidR="00BB0AF9" w:rsidRDefault="00BB0AF9">
      <w:pPr>
        <w:pStyle w:val="Textoindependiente"/>
      </w:pPr>
    </w:p>
    <w:p w14:paraId="1CBFCD5C" w14:textId="77777777" w:rsidR="00BB0AF9" w:rsidRDefault="00BB0AF9">
      <w:pPr>
        <w:pStyle w:val="Textoindependiente"/>
      </w:pPr>
    </w:p>
    <w:p w14:paraId="05360410" w14:textId="77777777" w:rsidR="00BB0AF9" w:rsidRDefault="00BB0AF9">
      <w:pPr>
        <w:pStyle w:val="Textoindependiente"/>
      </w:pPr>
    </w:p>
    <w:p w14:paraId="044691CA" w14:textId="77777777" w:rsidR="00BB0AF9" w:rsidRDefault="00BB0AF9">
      <w:pPr>
        <w:pStyle w:val="Textoindependiente"/>
      </w:pPr>
    </w:p>
    <w:p w14:paraId="225399CC" w14:textId="77777777" w:rsidR="00BB0AF9" w:rsidRDefault="00BB0AF9">
      <w:pPr>
        <w:pStyle w:val="Textoindependiente"/>
      </w:pPr>
    </w:p>
    <w:p w14:paraId="7C3FEF69" w14:textId="77777777" w:rsidR="00BB0AF9" w:rsidRDefault="00BB0AF9">
      <w:pPr>
        <w:pStyle w:val="Textoindependiente"/>
      </w:pPr>
    </w:p>
    <w:p w14:paraId="3BD09A36" w14:textId="77777777" w:rsidR="00BB0AF9" w:rsidRDefault="00BB0AF9">
      <w:pPr>
        <w:pStyle w:val="Textoindependiente"/>
        <w:spacing w:before="10"/>
        <w:rPr>
          <w:sz w:val="21"/>
        </w:rPr>
      </w:pPr>
    </w:p>
    <w:sectPr w:rsidR="00BB0AF9">
      <w:footerReference w:type="default" r:id="rId7"/>
      <w:type w:val="continuous"/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CBB3" w14:textId="77777777" w:rsidR="00EF36C5" w:rsidRDefault="00EF36C5" w:rsidP="003B5D8D">
      <w:r>
        <w:separator/>
      </w:r>
    </w:p>
  </w:endnote>
  <w:endnote w:type="continuationSeparator" w:id="0">
    <w:p w14:paraId="12F5A8D6" w14:textId="77777777" w:rsidR="00EF36C5" w:rsidRDefault="00EF36C5" w:rsidP="003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FDE" w14:textId="77777777" w:rsidR="003B5D8D" w:rsidRDefault="003B5D8D" w:rsidP="003B5D8D">
    <w:pPr>
      <w:ind w:left="119" w:right="113"/>
      <w:jc w:val="both"/>
      <w:rPr>
        <w:sz w:val="16"/>
      </w:rPr>
    </w:pPr>
    <w:r>
      <w:rPr>
        <w:sz w:val="16"/>
      </w:rPr>
      <w:t>La presente sistematización de información fue realizada por la Secretaría de la Corte Interamericana de Derechos Humanos,</w:t>
    </w:r>
    <w:r>
      <w:rPr>
        <w:spacing w:val="-16"/>
        <w:sz w:val="16"/>
      </w:rPr>
      <w:t xml:space="preserve"> </w:t>
    </w:r>
    <w:r>
      <w:rPr>
        <w:sz w:val="16"/>
      </w:rPr>
      <w:t>por</w:t>
    </w:r>
    <w:r>
      <w:rPr>
        <w:spacing w:val="-17"/>
        <w:sz w:val="16"/>
      </w:rPr>
      <w:t xml:space="preserve"> </w:t>
    </w:r>
    <w:r>
      <w:rPr>
        <w:sz w:val="16"/>
      </w:rPr>
      <w:t>lo</w:t>
    </w:r>
    <w:r>
      <w:rPr>
        <w:spacing w:val="-17"/>
        <w:sz w:val="16"/>
      </w:rPr>
      <w:t xml:space="preserve"> </w:t>
    </w:r>
    <w:r>
      <w:rPr>
        <w:sz w:val="16"/>
      </w:rPr>
      <w:t>que</w:t>
    </w:r>
    <w:r>
      <w:rPr>
        <w:spacing w:val="-15"/>
        <w:sz w:val="16"/>
      </w:rPr>
      <w:t xml:space="preserve"> </w:t>
    </w:r>
    <w:r>
      <w:rPr>
        <w:sz w:val="16"/>
      </w:rPr>
      <w:t>es</w:t>
    </w:r>
    <w:r>
      <w:rPr>
        <w:spacing w:val="-18"/>
        <w:sz w:val="16"/>
      </w:rPr>
      <w:t xml:space="preserve"> </w:t>
    </w:r>
    <w:r>
      <w:rPr>
        <w:sz w:val="16"/>
      </w:rPr>
      <w:t>responsabilidad</w:t>
    </w:r>
    <w:r>
      <w:rPr>
        <w:spacing w:val="-15"/>
        <w:sz w:val="16"/>
      </w:rPr>
      <w:t xml:space="preserve"> </w:t>
    </w:r>
    <w:r>
      <w:rPr>
        <w:sz w:val="16"/>
      </w:rPr>
      <w:t>exclusiva</w:t>
    </w:r>
    <w:r>
      <w:rPr>
        <w:spacing w:val="-18"/>
        <w:sz w:val="16"/>
      </w:rPr>
      <w:t xml:space="preserve"> </w:t>
    </w:r>
    <w:r>
      <w:rPr>
        <w:sz w:val="16"/>
      </w:rPr>
      <w:t>de</w:t>
    </w:r>
    <w:r>
      <w:rPr>
        <w:spacing w:val="-18"/>
        <w:sz w:val="16"/>
      </w:rPr>
      <w:t xml:space="preserve"> </w:t>
    </w:r>
    <w:r>
      <w:rPr>
        <w:sz w:val="16"/>
      </w:rPr>
      <w:t>la</w:t>
    </w:r>
    <w:r>
      <w:rPr>
        <w:spacing w:val="-16"/>
        <w:sz w:val="16"/>
      </w:rPr>
      <w:t xml:space="preserve"> </w:t>
    </w:r>
    <w:r>
      <w:rPr>
        <w:sz w:val="16"/>
      </w:rPr>
      <w:t>misma.</w:t>
    </w:r>
    <w:r>
      <w:rPr>
        <w:spacing w:val="-16"/>
        <w:sz w:val="16"/>
      </w:rPr>
      <w:t xml:space="preserve"> </w:t>
    </w:r>
    <w:r>
      <w:rPr>
        <w:sz w:val="16"/>
      </w:rPr>
      <w:t>La</w:t>
    </w:r>
    <w:r>
      <w:rPr>
        <w:spacing w:val="-16"/>
        <w:sz w:val="16"/>
      </w:rPr>
      <w:t xml:space="preserve"> </w:t>
    </w:r>
    <w:r>
      <w:rPr>
        <w:sz w:val="16"/>
      </w:rPr>
      <w:t>información</w:t>
    </w:r>
    <w:r>
      <w:rPr>
        <w:spacing w:val="-19"/>
        <w:sz w:val="16"/>
      </w:rPr>
      <w:t xml:space="preserve"> </w:t>
    </w:r>
    <w:r>
      <w:rPr>
        <w:sz w:val="16"/>
      </w:rPr>
      <w:t>se</w:t>
    </w:r>
    <w:r>
      <w:rPr>
        <w:spacing w:val="-18"/>
        <w:sz w:val="16"/>
      </w:rPr>
      <w:t xml:space="preserve"> </w:t>
    </w:r>
    <w:r>
      <w:rPr>
        <w:sz w:val="16"/>
      </w:rPr>
      <w:t>basa</w:t>
    </w:r>
    <w:r>
      <w:rPr>
        <w:spacing w:val="-18"/>
        <w:sz w:val="16"/>
      </w:rPr>
      <w:t xml:space="preserve"> </w:t>
    </w:r>
    <w:r>
      <w:rPr>
        <w:sz w:val="16"/>
      </w:rPr>
      <w:t>en</w:t>
    </w:r>
    <w:r>
      <w:rPr>
        <w:spacing w:val="-16"/>
        <w:sz w:val="16"/>
      </w:rPr>
      <w:t xml:space="preserve"> </w:t>
    </w:r>
    <w:r>
      <w:rPr>
        <w:sz w:val="16"/>
      </w:rPr>
      <w:t>lo</w:t>
    </w:r>
    <w:r>
      <w:rPr>
        <w:spacing w:val="-17"/>
        <w:sz w:val="16"/>
      </w:rPr>
      <w:t xml:space="preserve"> </w:t>
    </w:r>
    <w:r>
      <w:rPr>
        <w:sz w:val="16"/>
      </w:rPr>
      <w:t>declarado</w:t>
    </w:r>
    <w:r>
      <w:rPr>
        <w:spacing w:val="-15"/>
        <w:sz w:val="16"/>
      </w:rPr>
      <w:t xml:space="preserve"> </w:t>
    </w:r>
    <w:r>
      <w:rPr>
        <w:sz w:val="16"/>
      </w:rPr>
      <w:t>en</w:t>
    </w:r>
    <w:r>
      <w:rPr>
        <w:spacing w:val="-19"/>
        <w:sz w:val="16"/>
      </w:rPr>
      <w:t xml:space="preserve"> </w:t>
    </w:r>
    <w:r>
      <w:rPr>
        <w:sz w:val="16"/>
      </w:rPr>
      <w:t>resoluciones emitidas por esta Corte. Por tanto, en los expedientes puede haber información aportada por las partes que aún no haya sido evaluada por el</w:t>
    </w:r>
    <w:r>
      <w:rPr>
        <w:spacing w:val="-14"/>
        <w:sz w:val="16"/>
      </w:rPr>
      <w:t xml:space="preserve"> </w:t>
    </w:r>
    <w:r>
      <w:rPr>
        <w:sz w:val="16"/>
      </w:rPr>
      <w:t>Tribunal.</w:t>
    </w:r>
  </w:p>
  <w:p w14:paraId="4F0083E2" w14:textId="77777777" w:rsidR="003B5D8D" w:rsidRDefault="003B5D8D">
    <w:pPr>
      <w:pStyle w:val="Piedepgina"/>
    </w:pPr>
  </w:p>
  <w:p w14:paraId="61D065F1" w14:textId="77777777" w:rsidR="003B5D8D" w:rsidRDefault="003B5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8E840" w14:textId="77777777" w:rsidR="00EF36C5" w:rsidRDefault="00EF36C5" w:rsidP="003B5D8D">
      <w:r>
        <w:separator/>
      </w:r>
    </w:p>
  </w:footnote>
  <w:footnote w:type="continuationSeparator" w:id="0">
    <w:p w14:paraId="21D1FDBE" w14:textId="77777777" w:rsidR="00EF36C5" w:rsidRDefault="00EF36C5" w:rsidP="003B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D1877"/>
    <w:multiLevelType w:val="hybridMultilevel"/>
    <w:tmpl w:val="7BFE2006"/>
    <w:lvl w:ilvl="0" w:tplc="E9F4F222">
      <w:start w:val="1"/>
      <w:numFmt w:val="decimal"/>
      <w:lvlText w:val="%1."/>
      <w:lvlJc w:val="left"/>
      <w:pPr>
        <w:ind w:left="120" w:hanging="720"/>
        <w:jc w:val="left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CBD2AEBE">
      <w:numFmt w:val="bullet"/>
      <w:lvlText w:val="•"/>
      <w:lvlJc w:val="left"/>
      <w:pPr>
        <w:ind w:left="1068" w:hanging="720"/>
      </w:pPr>
      <w:rPr>
        <w:rFonts w:hint="default"/>
      </w:rPr>
    </w:lvl>
    <w:lvl w:ilvl="2" w:tplc="1A50EF3A">
      <w:numFmt w:val="bullet"/>
      <w:lvlText w:val="•"/>
      <w:lvlJc w:val="left"/>
      <w:pPr>
        <w:ind w:left="2016" w:hanging="720"/>
      </w:pPr>
      <w:rPr>
        <w:rFonts w:hint="default"/>
      </w:rPr>
    </w:lvl>
    <w:lvl w:ilvl="3" w:tplc="2CE8374C">
      <w:numFmt w:val="bullet"/>
      <w:lvlText w:val="•"/>
      <w:lvlJc w:val="left"/>
      <w:pPr>
        <w:ind w:left="2964" w:hanging="720"/>
      </w:pPr>
      <w:rPr>
        <w:rFonts w:hint="default"/>
      </w:rPr>
    </w:lvl>
    <w:lvl w:ilvl="4" w:tplc="E60C029E">
      <w:numFmt w:val="bullet"/>
      <w:lvlText w:val="•"/>
      <w:lvlJc w:val="left"/>
      <w:pPr>
        <w:ind w:left="3912" w:hanging="720"/>
      </w:pPr>
      <w:rPr>
        <w:rFonts w:hint="default"/>
      </w:rPr>
    </w:lvl>
    <w:lvl w:ilvl="5" w:tplc="B7027468">
      <w:numFmt w:val="bullet"/>
      <w:lvlText w:val="•"/>
      <w:lvlJc w:val="left"/>
      <w:pPr>
        <w:ind w:left="4860" w:hanging="720"/>
      </w:pPr>
      <w:rPr>
        <w:rFonts w:hint="default"/>
      </w:rPr>
    </w:lvl>
    <w:lvl w:ilvl="6" w:tplc="2ED64774">
      <w:numFmt w:val="bullet"/>
      <w:lvlText w:val="•"/>
      <w:lvlJc w:val="left"/>
      <w:pPr>
        <w:ind w:left="5808" w:hanging="720"/>
      </w:pPr>
      <w:rPr>
        <w:rFonts w:hint="default"/>
      </w:rPr>
    </w:lvl>
    <w:lvl w:ilvl="7" w:tplc="9DAC500A">
      <w:numFmt w:val="bullet"/>
      <w:lvlText w:val="•"/>
      <w:lvlJc w:val="left"/>
      <w:pPr>
        <w:ind w:left="6756" w:hanging="720"/>
      </w:pPr>
      <w:rPr>
        <w:rFonts w:hint="default"/>
      </w:rPr>
    </w:lvl>
    <w:lvl w:ilvl="8" w:tplc="067C0642">
      <w:numFmt w:val="bullet"/>
      <w:lvlText w:val="•"/>
      <w:lvlJc w:val="left"/>
      <w:pPr>
        <w:ind w:left="7704" w:hanging="720"/>
      </w:pPr>
      <w:rPr>
        <w:rFonts w:hint="default"/>
      </w:rPr>
    </w:lvl>
  </w:abstractNum>
  <w:num w:numId="1" w16cid:durableId="116162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AF9"/>
    <w:rsid w:val="003B5D8D"/>
    <w:rsid w:val="00582792"/>
    <w:rsid w:val="00BB0AF9"/>
    <w:rsid w:val="00BC783F"/>
    <w:rsid w:val="00D97B90"/>
    <w:rsid w:val="00E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FEBC"/>
  <w15:docId w15:val="{AF61AE3C-BF7E-44E4-BE5B-5EAC9016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9" w:right="11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B5D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5D8D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3B5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D8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  IDH</dc:creator>
  <cp:lastModifiedBy>Shashira Douglas</cp:lastModifiedBy>
  <cp:revision>4</cp:revision>
  <dcterms:created xsi:type="dcterms:W3CDTF">2022-01-06T15:46:00Z</dcterms:created>
  <dcterms:modified xsi:type="dcterms:W3CDTF">2022-12-28T22:28:00Z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2022-01-06T00:00:00Z</vt:filetime>
  </property>
</Properties>
</file>