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83" w:rsidRDefault="00654E83" w:rsidP="00654E83">
      <w:pPr>
        <w:jc w:val="center"/>
        <w:rPr>
          <w:rFonts w:ascii="Verdana" w:hAnsi="Verdana"/>
          <w:b/>
          <w:sz w:val="22"/>
          <w:szCs w:val="22"/>
        </w:rPr>
      </w:pPr>
      <w:bookmarkStart w:id="0" w:name="_GoBack"/>
      <w:bookmarkEnd w:id="0"/>
    </w:p>
    <w:p w:rsidR="00654E83" w:rsidRPr="00654E83" w:rsidRDefault="00654E83" w:rsidP="00654E83">
      <w:pPr>
        <w:jc w:val="center"/>
        <w:rPr>
          <w:rFonts w:ascii="Verdana" w:hAnsi="Verdana"/>
          <w:b/>
          <w:sz w:val="20"/>
          <w:u w:val="single"/>
        </w:rPr>
      </w:pPr>
      <w:r w:rsidRPr="00654E83">
        <w:rPr>
          <w:rFonts w:ascii="Verdana" w:hAnsi="Verdana"/>
          <w:b/>
          <w:sz w:val="20"/>
          <w:u w:val="single"/>
        </w:rPr>
        <w:t xml:space="preserve">Caso Fermín Ramírez </w:t>
      </w:r>
      <w:r w:rsidRPr="00654E83">
        <w:rPr>
          <w:rFonts w:ascii="Verdana" w:hAnsi="Verdana"/>
          <w:b/>
          <w:i/>
          <w:sz w:val="20"/>
          <w:u w:val="single"/>
        </w:rPr>
        <w:t>Vs.</w:t>
      </w:r>
      <w:r w:rsidRPr="00654E83">
        <w:rPr>
          <w:rFonts w:ascii="Verdana" w:hAnsi="Verdana"/>
          <w:b/>
          <w:sz w:val="20"/>
          <w:u w:val="single"/>
        </w:rPr>
        <w:t xml:space="preserve"> Guatemala: reparaciones declaradas cumplidas</w:t>
      </w:r>
    </w:p>
    <w:p w:rsidR="00654E83" w:rsidRDefault="00654E83"/>
    <w:p w:rsidR="001B3F1C" w:rsidRDefault="001B3F1C"/>
    <w:p w:rsidR="00654E83" w:rsidRPr="00654E83" w:rsidRDefault="00654E83" w:rsidP="00654E83">
      <w:pPr>
        <w:pStyle w:val="Textoindependiente3"/>
        <w:numPr>
          <w:ilvl w:val="0"/>
          <w:numId w:val="1"/>
        </w:numPr>
        <w:ind w:left="360"/>
        <w:rPr>
          <w:rFonts w:ascii="Verdana" w:hAnsi="Verdana"/>
          <w:i w:val="0"/>
          <w:sz w:val="20"/>
          <w:lang w:val="es-ES_tradnl"/>
        </w:rPr>
      </w:pPr>
      <w:r>
        <w:rPr>
          <w:rFonts w:ascii="Verdana" w:hAnsi="Verdana"/>
          <w:i w:val="0"/>
          <w:sz w:val="20"/>
          <w:lang w:val="es-ES_tradnl"/>
        </w:rPr>
        <w:t>L</w:t>
      </w:r>
      <w:r w:rsidRPr="00654E83">
        <w:rPr>
          <w:rFonts w:ascii="Verdana" w:hAnsi="Verdana"/>
          <w:i w:val="0"/>
          <w:sz w:val="20"/>
          <w:lang w:val="es-ES_tradnl"/>
        </w:rPr>
        <w:t xml:space="preserve">levar a cabo, en un plazo razonable, un nuevo enjuiciamiento en contra del señor Fermín Ramírez, que satisfaga las exigencias del debido proceso legal, con plenas garantías de audiencia y defensa para el inculpado.  En caso de que se le impute la comisión del delito de asesinato, cuya tipificación estaba en vigor al momento de los hechos que se le imputaron, deberá aplicarse la legislación penal vigente entonces con exclusión de la referencia a la peligrosidad, en los términos del punto resolutivo siguiente. </w:t>
      </w:r>
    </w:p>
    <w:p w:rsidR="00654E83" w:rsidRPr="00654E83" w:rsidRDefault="00654E83" w:rsidP="00654E83">
      <w:pPr>
        <w:pStyle w:val="Textoindependiente3"/>
        <w:ind w:left="360" w:hanging="360"/>
        <w:rPr>
          <w:rFonts w:ascii="Verdana" w:hAnsi="Verdana"/>
          <w:i w:val="0"/>
          <w:sz w:val="20"/>
          <w:lang w:val="es-ES_tradnl"/>
        </w:rPr>
      </w:pPr>
    </w:p>
    <w:p w:rsidR="00654E83" w:rsidRPr="00654E83" w:rsidRDefault="00654E83" w:rsidP="00654E83">
      <w:pPr>
        <w:pStyle w:val="Textoindependiente3"/>
        <w:numPr>
          <w:ilvl w:val="0"/>
          <w:numId w:val="1"/>
        </w:numPr>
        <w:ind w:left="360"/>
        <w:rPr>
          <w:rFonts w:ascii="Verdana" w:hAnsi="Verdana"/>
          <w:i w:val="0"/>
          <w:sz w:val="20"/>
          <w:lang w:val="es-ES_tradnl"/>
        </w:rPr>
      </w:pPr>
      <w:r>
        <w:rPr>
          <w:rFonts w:ascii="Verdana" w:hAnsi="Verdana"/>
          <w:i w:val="0"/>
          <w:sz w:val="20"/>
          <w:lang w:val="es-ES_tradnl"/>
        </w:rPr>
        <w:t>A</w:t>
      </w:r>
      <w:r w:rsidRPr="00654E83">
        <w:rPr>
          <w:rFonts w:ascii="Verdana" w:hAnsi="Verdana"/>
          <w:i w:val="0"/>
          <w:sz w:val="20"/>
          <w:lang w:val="es-ES_tradnl"/>
        </w:rPr>
        <w:t>bstenerse de ejecutar al señor Fermín Ramírez, cualquiera que sea el resultado del juicio al que se refiere el Punto Resolutivo séptimo.</w:t>
      </w:r>
    </w:p>
    <w:p w:rsidR="00654E83" w:rsidRPr="00654E83" w:rsidRDefault="00654E83" w:rsidP="00654E83">
      <w:pPr>
        <w:pStyle w:val="Prrafodelista"/>
        <w:ind w:left="360" w:hanging="360"/>
        <w:rPr>
          <w:rFonts w:ascii="Verdana" w:hAnsi="Verdana"/>
          <w:sz w:val="20"/>
          <w:lang w:val="es-MX"/>
        </w:rPr>
      </w:pPr>
    </w:p>
    <w:p w:rsidR="00D96C01" w:rsidRPr="00D96C01" w:rsidRDefault="00654E83" w:rsidP="00D96C01">
      <w:pPr>
        <w:pStyle w:val="Textoindependiente3"/>
        <w:numPr>
          <w:ilvl w:val="0"/>
          <w:numId w:val="1"/>
        </w:numPr>
        <w:ind w:left="360"/>
        <w:rPr>
          <w:rFonts w:ascii="Verdana" w:hAnsi="Verdana"/>
          <w:i w:val="0"/>
          <w:sz w:val="20"/>
          <w:lang w:val="es-ES_tradnl"/>
        </w:rPr>
      </w:pPr>
      <w:r>
        <w:rPr>
          <w:rFonts w:ascii="Verdana" w:hAnsi="Verdana"/>
          <w:i w:val="0"/>
          <w:sz w:val="20"/>
          <w:lang w:val="es-MX"/>
        </w:rPr>
        <w:t>E</w:t>
      </w:r>
      <w:r w:rsidRPr="00654E83">
        <w:rPr>
          <w:rFonts w:ascii="Verdana" w:hAnsi="Verdana"/>
          <w:i w:val="0"/>
          <w:sz w:val="20"/>
          <w:lang w:val="es-MX"/>
        </w:rPr>
        <w:t>fectuar el pago por concepto de reintegro de gastos dentro del plazo de un año, contado a partir de la notificación del presente fallo, en los términos de los párrafos 131 a 137 de esta Sentencia.</w:t>
      </w:r>
    </w:p>
    <w:p w:rsidR="00D96C01" w:rsidRPr="00D96C01" w:rsidRDefault="00D96C01" w:rsidP="00D96C01">
      <w:pPr>
        <w:pStyle w:val="Textoindependiente3"/>
        <w:rPr>
          <w:rFonts w:ascii="Verdana" w:hAnsi="Verdana"/>
          <w:i w:val="0"/>
          <w:sz w:val="20"/>
          <w:lang w:val="es-ES_tradnl"/>
        </w:rPr>
      </w:pPr>
    </w:p>
    <w:p w:rsidR="00D96C01" w:rsidRPr="00D96C01" w:rsidRDefault="00D96C01" w:rsidP="00D96C01">
      <w:pPr>
        <w:pStyle w:val="Textoindependiente3"/>
        <w:numPr>
          <w:ilvl w:val="0"/>
          <w:numId w:val="1"/>
        </w:numPr>
        <w:ind w:left="360"/>
        <w:rPr>
          <w:rFonts w:ascii="Verdana" w:hAnsi="Verdana"/>
          <w:i w:val="0"/>
          <w:sz w:val="20"/>
          <w:lang w:val="es-ES_tradnl"/>
        </w:rPr>
      </w:pPr>
      <w:r w:rsidRPr="00D96C01">
        <w:rPr>
          <w:rFonts w:ascii="Verdana" w:hAnsi="Verdana"/>
          <w:i w:val="0"/>
          <w:sz w:val="20"/>
          <w:lang w:val="es-CR"/>
        </w:rPr>
        <w:t xml:space="preserve">Abstenerse de aplicar la parte del artículo 132 del Código Penal de Guatemala que se refiere a la peligrosidad del agente, y modificar dicha disposición dentro de un plazo razonable, adecuándola a la Convención Americana, conforme a lo estipulado en su artículo 2, de manera que se garantice el respeto al principio de legalidad, consagrado en el artículo 9 del mismo instrumento internacional.  </w:t>
      </w:r>
      <w:r w:rsidRPr="00181D43">
        <w:rPr>
          <w:rFonts w:ascii="Verdana" w:hAnsi="Verdana"/>
          <w:i w:val="0"/>
          <w:sz w:val="20"/>
          <w:lang w:val="es-CR"/>
        </w:rPr>
        <w:t>Se debe suprimir la referencia a la peligrosidad del agente contemplada en ese precepto.</w:t>
      </w:r>
    </w:p>
    <w:p w:rsidR="00D96C01" w:rsidRPr="00181D43" w:rsidRDefault="00D96C01" w:rsidP="00D96C01">
      <w:pPr>
        <w:pStyle w:val="Textoindependiente3"/>
        <w:rPr>
          <w:rFonts w:ascii="Verdana" w:hAnsi="Verdana"/>
          <w:i w:val="0"/>
          <w:sz w:val="20"/>
          <w:lang w:val="es-CR"/>
        </w:rPr>
      </w:pPr>
    </w:p>
    <w:p w:rsidR="00D96C01" w:rsidRPr="00D96C01" w:rsidRDefault="007A7C86" w:rsidP="00D96C01">
      <w:pPr>
        <w:pStyle w:val="Textoindependiente3"/>
        <w:rPr>
          <w:rFonts w:ascii="Verdana" w:hAnsi="Verdana"/>
          <w:b/>
          <w:i w:val="0"/>
          <w:sz w:val="20"/>
        </w:rPr>
      </w:pPr>
      <w:r>
        <w:rPr>
          <w:rFonts w:ascii="Verdana" w:hAnsi="Verdana"/>
          <w:b/>
          <w:i w:val="0"/>
          <w:sz w:val="20"/>
        </w:rPr>
        <w:t xml:space="preserve">Dando </w:t>
      </w:r>
      <w:proofErr w:type="spellStart"/>
      <w:r>
        <w:rPr>
          <w:rFonts w:ascii="Verdana" w:hAnsi="Verdana"/>
          <w:b/>
          <w:i w:val="0"/>
          <w:sz w:val="20"/>
        </w:rPr>
        <w:t>Cumplimiento</w:t>
      </w:r>
      <w:proofErr w:type="spellEnd"/>
      <w:r>
        <w:rPr>
          <w:rFonts w:ascii="Verdana" w:hAnsi="Verdana"/>
          <w:b/>
          <w:i w:val="0"/>
          <w:sz w:val="20"/>
        </w:rPr>
        <w:t xml:space="preserve"> </w:t>
      </w:r>
    </w:p>
    <w:p w:rsidR="00D96C01" w:rsidRPr="00D96C01" w:rsidRDefault="00D96C01" w:rsidP="00D96C01">
      <w:pPr>
        <w:pStyle w:val="Textoindependiente3"/>
        <w:rPr>
          <w:rFonts w:ascii="Verdana" w:hAnsi="Verdana"/>
          <w:i w:val="0"/>
          <w:sz w:val="20"/>
          <w:lang w:val="es-ES_tradnl"/>
        </w:rPr>
      </w:pPr>
    </w:p>
    <w:p w:rsidR="00D96C01" w:rsidRPr="00D96C01" w:rsidRDefault="00D96C01" w:rsidP="00181D43">
      <w:pPr>
        <w:pStyle w:val="Prrafodelista"/>
        <w:numPr>
          <w:ilvl w:val="0"/>
          <w:numId w:val="1"/>
        </w:numPr>
        <w:ind w:left="426" w:hanging="426"/>
        <w:jc w:val="both"/>
        <w:rPr>
          <w:rFonts w:ascii="Verdana" w:eastAsia="Batang" w:hAnsi="Verdana"/>
          <w:sz w:val="20"/>
          <w:lang w:eastAsia="es-ES"/>
        </w:rPr>
      </w:pPr>
      <w:r w:rsidRPr="00D96C01">
        <w:rPr>
          <w:rFonts w:ascii="Verdana" w:eastAsia="Batang" w:hAnsi="Verdana"/>
          <w:sz w:val="20"/>
          <w:lang w:eastAsia="es-ES"/>
        </w:rPr>
        <w:t>Adoptar, en un plazo razonable, las medidas legislativas y administrativas necesarias para establecer un procedimiento que garantice que toda persona condenada a muerte tenga derecho a solicitar indulto o conmutación de la pena, conforme a una regulación que establezca la autoridad facultada para concederlo, los supuestos de procedencia y el trámite respectivo; en estos casos no debe ejecutarse la sentencia mientras se encuentre pendiente la decisión sobre el indulto o la conmutación solicitados.</w:t>
      </w:r>
    </w:p>
    <w:p w:rsidR="00D96C01" w:rsidRPr="00654E83" w:rsidRDefault="00D96C01" w:rsidP="00D96C01">
      <w:pPr>
        <w:pStyle w:val="Textoindependiente3"/>
        <w:rPr>
          <w:rFonts w:ascii="Verdana" w:hAnsi="Verdana"/>
          <w:i w:val="0"/>
          <w:sz w:val="20"/>
          <w:lang w:val="es-ES_tradnl"/>
        </w:rPr>
      </w:pPr>
    </w:p>
    <w:p w:rsidR="00654E83" w:rsidRDefault="00654E83"/>
    <w:sectPr w:rsidR="00654E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A31" w:rsidRDefault="00D74A31" w:rsidP="00654E83">
      <w:r>
        <w:separator/>
      </w:r>
    </w:p>
  </w:endnote>
  <w:endnote w:type="continuationSeparator" w:id="0">
    <w:p w:rsidR="00D74A31" w:rsidRDefault="00D74A31" w:rsidP="0065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E83" w:rsidRPr="00A950A1" w:rsidRDefault="00654E83" w:rsidP="00654E83">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654E83" w:rsidRPr="00654E83" w:rsidRDefault="00654E8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A31" w:rsidRDefault="00D74A31" w:rsidP="00654E83">
      <w:r>
        <w:separator/>
      </w:r>
    </w:p>
  </w:footnote>
  <w:footnote w:type="continuationSeparator" w:id="0">
    <w:p w:rsidR="00D74A31" w:rsidRDefault="00D74A31" w:rsidP="0065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193188"/>
      <w:docPartObj>
        <w:docPartGallery w:val="Page Numbers (Top of Page)"/>
        <w:docPartUnique/>
      </w:docPartObj>
    </w:sdtPr>
    <w:sdtEndPr>
      <w:rPr>
        <w:rFonts w:ascii="Verdana" w:hAnsi="Verdana"/>
        <w:noProof/>
        <w:sz w:val="20"/>
        <w:szCs w:val="20"/>
      </w:rPr>
    </w:sdtEndPr>
    <w:sdtContent>
      <w:p w:rsidR="00654E83" w:rsidRPr="00654E83" w:rsidRDefault="00654E83">
        <w:pPr>
          <w:pStyle w:val="Encabezado"/>
          <w:jc w:val="right"/>
          <w:rPr>
            <w:rFonts w:ascii="Verdana" w:hAnsi="Verdana"/>
            <w:sz w:val="20"/>
            <w:szCs w:val="20"/>
          </w:rPr>
        </w:pPr>
        <w:r w:rsidRPr="00654E83">
          <w:rPr>
            <w:rFonts w:ascii="Verdana" w:hAnsi="Verdana"/>
            <w:sz w:val="20"/>
            <w:szCs w:val="20"/>
          </w:rPr>
          <w:fldChar w:fldCharType="begin"/>
        </w:r>
        <w:r w:rsidRPr="00654E83">
          <w:rPr>
            <w:rFonts w:ascii="Verdana" w:hAnsi="Verdana"/>
            <w:sz w:val="20"/>
            <w:szCs w:val="20"/>
          </w:rPr>
          <w:instrText xml:space="preserve"> PAGE   \* MERGEFORMAT </w:instrText>
        </w:r>
        <w:r w:rsidRPr="00654E83">
          <w:rPr>
            <w:rFonts w:ascii="Verdana" w:hAnsi="Verdana"/>
            <w:sz w:val="20"/>
            <w:szCs w:val="20"/>
          </w:rPr>
          <w:fldChar w:fldCharType="separate"/>
        </w:r>
        <w:r w:rsidR="007A7C86">
          <w:rPr>
            <w:rFonts w:ascii="Verdana" w:hAnsi="Verdana"/>
            <w:noProof/>
            <w:sz w:val="20"/>
            <w:szCs w:val="20"/>
          </w:rPr>
          <w:t>1</w:t>
        </w:r>
        <w:r w:rsidRPr="00654E83">
          <w:rPr>
            <w:rFonts w:ascii="Verdana" w:hAnsi="Verdana"/>
            <w:noProof/>
            <w:sz w:val="20"/>
            <w:szCs w:val="20"/>
          </w:rPr>
          <w:fldChar w:fldCharType="end"/>
        </w:r>
      </w:p>
    </w:sdtContent>
  </w:sdt>
  <w:p w:rsidR="00654E83" w:rsidRDefault="00654E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707C"/>
    <w:multiLevelType w:val="hybridMultilevel"/>
    <w:tmpl w:val="1DD4CE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BC45979"/>
    <w:multiLevelType w:val="hybridMultilevel"/>
    <w:tmpl w:val="1400A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C656F"/>
    <w:multiLevelType w:val="hybridMultilevel"/>
    <w:tmpl w:val="D2A0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3"/>
    <w:rsid w:val="00181D43"/>
    <w:rsid w:val="001B3F1C"/>
    <w:rsid w:val="00276486"/>
    <w:rsid w:val="003A7E5E"/>
    <w:rsid w:val="00654E83"/>
    <w:rsid w:val="007A7C86"/>
    <w:rsid w:val="009832C0"/>
    <w:rsid w:val="00D74A31"/>
    <w:rsid w:val="00D9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E8028-C5B8-4CCD-B541-EDD01446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83"/>
    <w:pPr>
      <w:spacing w:after="0" w:line="240" w:lineRule="auto"/>
    </w:pPr>
    <w:rPr>
      <w:rFonts w:ascii="Times" w:eastAsia="Times" w:hAnsi="Times"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4E83"/>
    <w:pPr>
      <w:tabs>
        <w:tab w:val="center" w:pos="4680"/>
        <w:tab w:val="right" w:pos="9360"/>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654E83"/>
  </w:style>
  <w:style w:type="paragraph" w:styleId="Piedepgina">
    <w:name w:val="footer"/>
    <w:basedOn w:val="Normal"/>
    <w:link w:val="PiedepginaCar"/>
    <w:uiPriority w:val="99"/>
    <w:unhideWhenUsed/>
    <w:rsid w:val="00654E83"/>
    <w:pPr>
      <w:tabs>
        <w:tab w:val="center" w:pos="4680"/>
        <w:tab w:val="right" w:pos="9360"/>
      </w:tabs>
    </w:pPr>
    <w:rPr>
      <w:rFonts w:asciiTheme="minorHAnsi" w:eastAsiaTheme="minorHAnsi" w:hAnsiTheme="minorHAnsi" w:cstheme="minorBidi"/>
      <w:sz w:val="22"/>
      <w:szCs w:val="22"/>
      <w:lang w:val="en-US"/>
    </w:rPr>
  </w:style>
  <w:style w:type="character" w:customStyle="1" w:styleId="PiedepginaCar">
    <w:name w:val="Pie de página Car"/>
    <w:basedOn w:val="Fuentedeprrafopredeter"/>
    <w:link w:val="Piedepgina"/>
    <w:uiPriority w:val="99"/>
    <w:rsid w:val="00654E83"/>
  </w:style>
  <w:style w:type="paragraph" w:styleId="Textoindependiente2">
    <w:name w:val="Body Text 2"/>
    <w:basedOn w:val="Normal"/>
    <w:link w:val="Textoindependiente2Car"/>
    <w:rsid w:val="00654E83"/>
    <w:pPr>
      <w:jc w:val="both"/>
    </w:pPr>
    <w:rPr>
      <w:rFonts w:ascii="Garamond" w:hAnsi="Garamond"/>
    </w:rPr>
  </w:style>
  <w:style w:type="character" w:customStyle="1" w:styleId="Textoindependiente2Car">
    <w:name w:val="Texto independiente 2 Car"/>
    <w:basedOn w:val="Fuentedeprrafopredeter"/>
    <w:link w:val="Textoindependiente2"/>
    <w:rsid w:val="00654E83"/>
    <w:rPr>
      <w:rFonts w:ascii="Garamond" w:eastAsia="Times" w:hAnsi="Garamond" w:cs="Times New Roman"/>
      <w:sz w:val="24"/>
      <w:szCs w:val="20"/>
      <w:lang w:val="es-ES_tradnl"/>
    </w:rPr>
  </w:style>
  <w:style w:type="paragraph" w:styleId="Textoindependiente">
    <w:name w:val="Body Text"/>
    <w:basedOn w:val="Normal"/>
    <w:link w:val="TextoindependienteCar"/>
    <w:rsid w:val="00654E83"/>
    <w:pPr>
      <w:jc w:val="both"/>
    </w:pPr>
    <w:rPr>
      <w:rFonts w:ascii="Garamond" w:eastAsia="Times New Roman" w:hAnsi="Garamond"/>
      <w:lang w:val="en-GB"/>
    </w:rPr>
  </w:style>
  <w:style w:type="character" w:customStyle="1" w:styleId="TextoindependienteCar">
    <w:name w:val="Texto independiente Car"/>
    <w:basedOn w:val="Fuentedeprrafopredeter"/>
    <w:link w:val="Textoindependiente"/>
    <w:rsid w:val="00654E83"/>
    <w:rPr>
      <w:rFonts w:ascii="Garamond" w:eastAsia="Times New Roman" w:hAnsi="Garamond" w:cs="Times New Roman"/>
      <w:sz w:val="24"/>
      <w:szCs w:val="20"/>
      <w:lang w:val="en-GB"/>
    </w:rPr>
  </w:style>
  <w:style w:type="paragraph" w:styleId="Textoindependiente3">
    <w:name w:val="Body Text 3"/>
    <w:basedOn w:val="Normal"/>
    <w:link w:val="Textoindependiente3Car"/>
    <w:rsid w:val="00654E83"/>
    <w:pPr>
      <w:jc w:val="both"/>
    </w:pPr>
    <w:rPr>
      <w:rFonts w:ascii="Arial" w:eastAsia="Batang" w:hAnsi="Arial"/>
      <w:i/>
      <w:lang w:val="en-GB" w:eastAsia="es-ES"/>
    </w:rPr>
  </w:style>
  <w:style w:type="character" w:customStyle="1" w:styleId="Textoindependiente3Car">
    <w:name w:val="Texto independiente 3 Car"/>
    <w:basedOn w:val="Fuentedeprrafopredeter"/>
    <w:link w:val="Textoindependiente3"/>
    <w:rsid w:val="00654E83"/>
    <w:rPr>
      <w:rFonts w:ascii="Arial" w:eastAsia="Batang" w:hAnsi="Arial" w:cs="Times New Roman"/>
      <w:i/>
      <w:sz w:val="24"/>
      <w:szCs w:val="20"/>
      <w:lang w:val="en-GB" w:eastAsia="es-ES"/>
    </w:rPr>
  </w:style>
  <w:style w:type="paragraph" w:styleId="Prrafodelista">
    <w:name w:val="List Paragraph"/>
    <w:basedOn w:val="Normal"/>
    <w:uiPriority w:val="34"/>
    <w:qFormat/>
    <w:rsid w:val="00654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1640</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2019-04-09T19:43:00Z</dcterms:created>
  <dcterms:modified xsi:type="dcterms:W3CDTF">2019-04-09T19:43:00Z</dcterms:modified>
</cp:coreProperties>
</file>