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F8F" w:rsidRPr="00BF6D71" w:rsidRDefault="00CB3F8F" w:rsidP="00CB3F8F">
      <w:pPr>
        <w:pStyle w:val="Ttulo"/>
        <w:ind w:left="-142" w:right="-138"/>
        <w:rPr>
          <w:rFonts w:eastAsia="MS Mincho"/>
          <w:noProof w:val="0"/>
          <w:u w:val="single"/>
        </w:rPr>
      </w:pPr>
      <w:r w:rsidRPr="00BF6D71">
        <w:rPr>
          <w:rFonts w:eastAsia="MS Mincho"/>
          <w:noProof w:val="0"/>
          <w:u w:val="single"/>
        </w:rPr>
        <w:t xml:space="preserve">Caso Gutiérrez Hernández y otros </w:t>
      </w:r>
      <w:r w:rsidRPr="00BF6D71">
        <w:rPr>
          <w:rFonts w:eastAsia="MS Mincho"/>
          <w:i/>
          <w:noProof w:val="0"/>
          <w:u w:val="single"/>
        </w:rPr>
        <w:t>VS</w:t>
      </w:r>
      <w:r w:rsidRPr="00BF6D71">
        <w:rPr>
          <w:rFonts w:eastAsia="MS Mincho"/>
          <w:noProof w:val="0"/>
          <w:u w:val="single"/>
        </w:rPr>
        <w:t>. Guatemala: medidas de reparación declaradas cumplidas</w:t>
      </w:r>
    </w:p>
    <w:p w:rsidR="00CB3F8F" w:rsidRPr="00BF6D71" w:rsidRDefault="00CB3F8F" w:rsidP="00CB3F8F">
      <w:pPr>
        <w:ind w:left="-142" w:right="-138"/>
        <w:rPr>
          <w:noProof w:val="0"/>
          <w:szCs w:val="20"/>
        </w:rPr>
      </w:pPr>
    </w:p>
    <w:p w:rsidR="00CB3F8F" w:rsidRPr="00BF6D71" w:rsidRDefault="00CB3F8F" w:rsidP="00CB3F8F">
      <w:pPr>
        <w:rPr>
          <w:szCs w:val="20"/>
        </w:rPr>
      </w:pPr>
    </w:p>
    <w:p w:rsidR="00CB3F8F" w:rsidRPr="00BF6D71" w:rsidRDefault="00CB3F8F" w:rsidP="00CB3F8F">
      <w:pPr>
        <w:pStyle w:val="Default"/>
        <w:tabs>
          <w:tab w:val="left" w:pos="0"/>
        </w:tabs>
        <w:jc w:val="both"/>
        <w:rPr>
          <w:color w:val="auto"/>
          <w:spacing w:val="-2"/>
          <w:sz w:val="20"/>
          <w:szCs w:val="20"/>
          <w:lang w:val="es-PR"/>
        </w:rPr>
      </w:pPr>
    </w:p>
    <w:p w:rsidR="00CB3F8F" w:rsidRPr="00BF6D71" w:rsidRDefault="00BF6D71" w:rsidP="00CB3F8F">
      <w:pPr>
        <w:pStyle w:val="Default"/>
        <w:numPr>
          <w:ilvl w:val="0"/>
          <w:numId w:val="1"/>
        </w:numPr>
        <w:tabs>
          <w:tab w:val="left" w:pos="0"/>
        </w:tabs>
        <w:ind w:left="0" w:firstLine="0"/>
        <w:jc w:val="both"/>
        <w:rPr>
          <w:color w:val="auto"/>
          <w:spacing w:val="-2"/>
          <w:sz w:val="20"/>
          <w:szCs w:val="20"/>
          <w:lang w:val="es-PR"/>
        </w:rPr>
      </w:pPr>
      <w:r w:rsidRPr="00BF6D71">
        <w:rPr>
          <w:color w:val="auto"/>
          <w:spacing w:val="-2"/>
          <w:sz w:val="20"/>
          <w:szCs w:val="20"/>
          <w:lang w:val="es-PR"/>
        </w:rPr>
        <w:t>P</w:t>
      </w:r>
      <w:r w:rsidR="00CB3F8F" w:rsidRPr="00BF6D71">
        <w:rPr>
          <w:color w:val="auto"/>
          <w:spacing w:val="-2"/>
          <w:sz w:val="20"/>
          <w:szCs w:val="20"/>
          <w:lang w:val="es-PR"/>
        </w:rPr>
        <w:t>ublicar, en un tamaño de letra legible y en un plazo de seis meses, contado a partir de la notificación de la presente Sentencia: a) el resumen oficial de la Sentencia elaborado por la Corte, por una sola vez, en el Diario Oficial y en un diario nacional de amplia circulación, y b) la presente Sentencia en su integridad, disponible al menos por un período de un año, en un el sitio web oficial del Estado, de conformidad con el párrafo 212 de esta Sentencia.</w:t>
      </w:r>
    </w:p>
    <w:p w:rsidR="00BF6D71" w:rsidRPr="00BF6D71" w:rsidRDefault="00BF6D71" w:rsidP="00BF6D71">
      <w:pPr>
        <w:pStyle w:val="Default"/>
        <w:tabs>
          <w:tab w:val="left" w:pos="0"/>
        </w:tabs>
        <w:jc w:val="both"/>
        <w:rPr>
          <w:color w:val="auto"/>
          <w:spacing w:val="-2"/>
          <w:sz w:val="20"/>
          <w:szCs w:val="20"/>
          <w:lang w:val="es-PR"/>
        </w:rPr>
      </w:pPr>
    </w:p>
    <w:p w:rsidR="00BF6D71" w:rsidRPr="00BF6D71" w:rsidRDefault="00BF6D71" w:rsidP="00CB3F8F">
      <w:pPr>
        <w:pStyle w:val="Default"/>
        <w:numPr>
          <w:ilvl w:val="0"/>
          <w:numId w:val="1"/>
        </w:numPr>
        <w:tabs>
          <w:tab w:val="left" w:pos="0"/>
        </w:tabs>
        <w:ind w:left="0" w:firstLine="0"/>
        <w:jc w:val="both"/>
        <w:rPr>
          <w:color w:val="auto"/>
          <w:spacing w:val="-2"/>
          <w:sz w:val="20"/>
          <w:szCs w:val="20"/>
          <w:lang w:val="es-PR"/>
        </w:rPr>
      </w:pPr>
      <w:proofErr w:type="spellStart"/>
      <w:r w:rsidRPr="00BF6D71">
        <w:rPr>
          <w:sz w:val="20"/>
          <w:szCs w:val="20"/>
        </w:rPr>
        <w:t>Pagar</w:t>
      </w:r>
      <w:proofErr w:type="spellEnd"/>
      <w:r w:rsidRPr="00BF6D71">
        <w:rPr>
          <w:sz w:val="20"/>
          <w:szCs w:val="20"/>
        </w:rPr>
        <w:t xml:space="preserve"> la </w:t>
      </w:r>
      <w:proofErr w:type="spellStart"/>
      <w:r w:rsidRPr="00BF6D71">
        <w:rPr>
          <w:sz w:val="20"/>
          <w:szCs w:val="20"/>
        </w:rPr>
        <w:t>cantidad</w:t>
      </w:r>
      <w:proofErr w:type="spellEnd"/>
      <w:r w:rsidRPr="00BF6D71">
        <w:rPr>
          <w:sz w:val="20"/>
          <w:szCs w:val="20"/>
        </w:rPr>
        <w:t xml:space="preserve"> </w:t>
      </w:r>
      <w:proofErr w:type="spellStart"/>
      <w:r w:rsidRPr="00BF6D71">
        <w:rPr>
          <w:sz w:val="20"/>
          <w:szCs w:val="20"/>
        </w:rPr>
        <w:t>fijad</w:t>
      </w:r>
      <w:r w:rsidRPr="00BF6D71">
        <w:rPr>
          <w:sz w:val="20"/>
          <w:szCs w:val="20"/>
        </w:rPr>
        <w:t>a</w:t>
      </w:r>
      <w:proofErr w:type="spellEnd"/>
      <w:r w:rsidRPr="00BF6D71">
        <w:rPr>
          <w:sz w:val="20"/>
          <w:szCs w:val="20"/>
        </w:rPr>
        <w:t xml:space="preserve"> </w:t>
      </w:r>
      <w:proofErr w:type="spellStart"/>
      <w:r w:rsidRPr="00BF6D71">
        <w:rPr>
          <w:sz w:val="20"/>
          <w:szCs w:val="20"/>
        </w:rPr>
        <w:t>en</w:t>
      </w:r>
      <w:proofErr w:type="spellEnd"/>
      <w:r w:rsidRPr="00BF6D71">
        <w:rPr>
          <w:sz w:val="20"/>
          <w:szCs w:val="20"/>
        </w:rPr>
        <w:t xml:space="preserve"> el </w:t>
      </w:r>
      <w:proofErr w:type="spellStart"/>
      <w:r w:rsidRPr="00BF6D71">
        <w:rPr>
          <w:sz w:val="20"/>
          <w:szCs w:val="20"/>
        </w:rPr>
        <w:t>párrafo</w:t>
      </w:r>
      <w:proofErr w:type="spellEnd"/>
      <w:r w:rsidRPr="00BF6D71">
        <w:rPr>
          <w:sz w:val="20"/>
          <w:szCs w:val="20"/>
        </w:rPr>
        <w:t xml:space="preserve"> 226 de la </w:t>
      </w:r>
      <w:proofErr w:type="spellStart"/>
      <w:r w:rsidRPr="00BF6D71">
        <w:rPr>
          <w:sz w:val="20"/>
          <w:szCs w:val="20"/>
        </w:rPr>
        <w:t>pre</w:t>
      </w:r>
      <w:r w:rsidRPr="00BF6D71">
        <w:rPr>
          <w:sz w:val="20"/>
          <w:szCs w:val="20"/>
        </w:rPr>
        <w:t>sente</w:t>
      </w:r>
      <w:proofErr w:type="spellEnd"/>
      <w:r w:rsidRPr="00BF6D71">
        <w:rPr>
          <w:sz w:val="20"/>
          <w:szCs w:val="20"/>
        </w:rPr>
        <w:t xml:space="preserve"> </w:t>
      </w:r>
      <w:proofErr w:type="spellStart"/>
      <w:r w:rsidRPr="00BF6D71">
        <w:rPr>
          <w:sz w:val="20"/>
          <w:szCs w:val="20"/>
        </w:rPr>
        <w:t>Sentencia</w:t>
      </w:r>
      <w:proofErr w:type="spellEnd"/>
      <w:r w:rsidRPr="00BF6D71">
        <w:rPr>
          <w:sz w:val="20"/>
          <w:szCs w:val="20"/>
        </w:rPr>
        <w:t xml:space="preserve"> </w:t>
      </w:r>
      <w:proofErr w:type="spellStart"/>
      <w:r w:rsidRPr="00BF6D71">
        <w:rPr>
          <w:sz w:val="20"/>
          <w:szCs w:val="20"/>
        </w:rPr>
        <w:t>por</w:t>
      </w:r>
      <w:proofErr w:type="spellEnd"/>
      <w:r w:rsidRPr="00BF6D71">
        <w:rPr>
          <w:sz w:val="20"/>
          <w:szCs w:val="20"/>
        </w:rPr>
        <w:t xml:space="preserve"> </w:t>
      </w:r>
      <w:proofErr w:type="spellStart"/>
      <w:r w:rsidRPr="00BF6D71">
        <w:rPr>
          <w:sz w:val="20"/>
          <w:szCs w:val="20"/>
        </w:rPr>
        <w:t>concepto</w:t>
      </w:r>
      <w:proofErr w:type="spellEnd"/>
      <w:r w:rsidRPr="00BF6D71">
        <w:rPr>
          <w:sz w:val="20"/>
          <w:szCs w:val="20"/>
        </w:rPr>
        <w:t xml:space="preserve"> de</w:t>
      </w:r>
      <w:r w:rsidRPr="00BF6D71">
        <w:rPr>
          <w:sz w:val="20"/>
          <w:szCs w:val="20"/>
        </w:rPr>
        <w:t xml:space="preserve"> </w:t>
      </w:r>
      <w:proofErr w:type="spellStart"/>
      <w:r w:rsidRPr="00BF6D71">
        <w:rPr>
          <w:sz w:val="20"/>
          <w:szCs w:val="20"/>
        </w:rPr>
        <w:t>reintegro</w:t>
      </w:r>
      <w:proofErr w:type="spellEnd"/>
      <w:r w:rsidRPr="00BF6D71">
        <w:rPr>
          <w:sz w:val="20"/>
          <w:szCs w:val="20"/>
        </w:rPr>
        <w:t xml:space="preserve"> de </w:t>
      </w:r>
      <w:proofErr w:type="spellStart"/>
      <w:r w:rsidRPr="00BF6D71">
        <w:rPr>
          <w:sz w:val="20"/>
          <w:szCs w:val="20"/>
        </w:rPr>
        <w:t>costas</w:t>
      </w:r>
      <w:proofErr w:type="spellEnd"/>
      <w:r w:rsidRPr="00BF6D71">
        <w:rPr>
          <w:sz w:val="20"/>
          <w:szCs w:val="20"/>
        </w:rPr>
        <w:t xml:space="preserve"> y </w:t>
      </w:r>
      <w:proofErr w:type="spellStart"/>
      <w:r w:rsidRPr="00BF6D71">
        <w:rPr>
          <w:sz w:val="20"/>
          <w:szCs w:val="20"/>
        </w:rPr>
        <w:t>gastos</w:t>
      </w:r>
      <w:proofErr w:type="spellEnd"/>
      <w:r w:rsidRPr="00BF6D71">
        <w:rPr>
          <w:sz w:val="20"/>
          <w:szCs w:val="20"/>
        </w:rPr>
        <w:t>.</w:t>
      </w:r>
    </w:p>
    <w:p w:rsidR="00CB3F8F" w:rsidRPr="00BF6D71" w:rsidRDefault="00CB3F8F" w:rsidP="00CB3F8F">
      <w:pPr>
        <w:pStyle w:val="Default"/>
        <w:tabs>
          <w:tab w:val="left" w:pos="0"/>
        </w:tabs>
        <w:jc w:val="both"/>
        <w:rPr>
          <w:color w:val="auto"/>
          <w:spacing w:val="-2"/>
          <w:sz w:val="20"/>
          <w:szCs w:val="20"/>
          <w:lang w:val="es-PR"/>
        </w:rPr>
      </w:pPr>
    </w:p>
    <w:p w:rsidR="00A4580A" w:rsidRPr="00BF6D71" w:rsidRDefault="00A4580A" w:rsidP="00A4580A">
      <w:pPr>
        <w:rPr>
          <w:b/>
          <w:szCs w:val="20"/>
        </w:rPr>
      </w:pPr>
      <w:r w:rsidRPr="00BF6D71">
        <w:rPr>
          <w:b/>
          <w:szCs w:val="20"/>
        </w:rPr>
        <w:t>Cumplimiento parcial:</w:t>
      </w:r>
    </w:p>
    <w:p w:rsidR="00A4580A" w:rsidRPr="00BF6D71" w:rsidRDefault="00A4580A" w:rsidP="00A4580A">
      <w:pPr>
        <w:rPr>
          <w:b/>
          <w:szCs w:val="20"/>
        </w:rPr>
      </w:pPr>
    </w:p>
    <w:p w:rsidR="00A4580A" w:rsidRPr="00BF6D71" w:rsidRDefault="00BF6D71" w:rsidP="00A4580A">
      <w:pPr>
        <w:pStyle w:val="Default"/>
        <w:numPr>
          <w:ilvl w:val="0"/>
          <w:numId w:val="1"/>
        </w:numPr>
        <w:tabs>
          <w:tab w:val="left" w:pos="0"/>
        </w:tabs>
        <w:ind w:left="0" w:firstLine="0"/>
        <w:jc w:val="both"/>
        <w:rPr>
          <w:color w:val="auto"/>
          <w:spacing w:val="-2"/>
          <w:sz w:val="20"/>
          <w:szCs w:val="20"/>
          <w:lang w:val="es-PR"/>
        </w:rPr>
      </w:pPr>
      <w:r w:rsidRPr="00BF6D71">
        <w:rPr>
          <w:color w:val="auto"/>
          <w:spacing w:val="-2"/>
          <w:sz w:val="20"/>
          <w:szCs w:val="20"/>
          <w:lang w:val="es-PR"/>
        </w:rPr>
        <w:t>Pagar la cantidad</w:t>
      </w:r>
      <w:r w:rsidR="00A4580A" w:rsidRPr="00BF6D71">
        <w:rPr>
          <w:color w:val="auto"/>
          <w:spacing w:val="-2"/>
          <w:sz w:val="20"/>
          <w:szCs w:val="20"/>
          <w:lang w:val="es-PR"/>
        </w:rPr>
        <w:t xml:space="preserve"> f</w:t>
      </w:r>
      <w:r w:rsidRPr="00BF6D71">
        <w:rPr>
          <w:color w:val="auto"/>
          <w:spacing w:val="-2"/>
          <w:sz w:val="20"/>
          <w:szCs w:val="20"/>
          <w:lang w:val="es-PR"/>
        </w:rPr>
        <w:t>ijada en el párrafo 219</w:t>
      </w:r>
      <w:r w:rsidR="00A4580A" w:rsidRPr="00BF6D71">
        <w:rPr>
          <w:color w:val="auto"/>
          <w:spacing w:val="-2"/>
          <w:sz w:val="20"/>
          <w:szCs w:val="20"/>
          <w:lang w:val="es-PR"/>
        </w:rPr>
        <w:t xml:space="preserve"> de la presente Sentencia por concepto de indemni</w:t>
      </w:r>
      <w:r w:rsidRPr="00BF6D71">
        <w:rPr>
          <w:color w:val="auto"/>
          <w:spacing w:val="-2"/>
          <w:sz w:val="20"/>
          <w:szCs w:val="20"/>
          <w:lang w:val="es-PR"/>
        </w:rPr>
        <w:t>zaciones por daños inmateriales</w:t>
      </w:r>
      <w:r w:rsidR="00A4580A" w:rsidRPr="00BF6D71">
        <w:rPr>
          <w:color w:val="auto"/>
          <w:spacing w:val="-2"/>
          <w:sz w:val="20"/>
          <w:szCs w:val="20"/>
          <w:lang w:val="es-PR"/>
        </w:rPr>
        <w:t>.</w:t>
      </w:r>
    </w:p>
    <w:p w:rsidR="00A4580A" w:rsidRPr="00BF6D71" w:rsidRDefault="00A4580A" w:rsidP="00A4580A">
      <w:pPr>
        <w:rPr>
          <w:szCs w:val="20"/>
          <w:lang w:val="es-PR"/>
        </w:rPr>
      </w:pPr>
    </w:p>
    <w:p w:rsidR="00A4580A" w:rsidRPr="00BF6D71" w:rsidRDefault="00A4580A" w:rsidP="00A4580A">
      <w:pPr>
        <w:rPr>
          <w:szCs w:val="20"/>
          <w:lang w:val="es-MX"/>
        </w:rPr>
      </w:pPr>
      <w:r w:rsidRPr="00BF6D71">
        <w:rPr>
          <w:szCs w:val="20"/>
          <w:lang w:val="es-MX"/>
        </w:rPr>
        <w:t xml:space="preserve">En los Considerandos 10, 11 y 12 de la resolución de 26 de septiembre de 2018 se explica </w:t>
      </w:r>
      <w:r w:rsidRPr="00BF6D71">
        <w:rPr>
          <w:snapToGrid w:val="0"/>
          <w:szCs w:val="20"/>
          <w:lang w:val="es-MX"/>
        </w:rPr>
        <w:t>lo que continúa pendiente de cumplimiento respecto a la presente medida de reparación:</w:t>
      </w:r>
      <w:r w:rsidRPr="00BF6D71">
        <w:rPr>
          <w:szCs w:val="20"/>
          <w:lang w:val="es-MX"/>
        </w:rPr>
        <w:t xml:space="preserve"> </w:t>
      </w:r>
    </w:p>
    <w:p w:rsidR="00A4580A" w:rsidRPr="00BF6D71" w:rsidRDefault="00A4580A" w:rsidP="00A4580A">
      <w:pPr>
        <w:rPr>
          <w:szCs w:val="20"/>
          <w:lang w:val="es-MX"/>
        </w:rPr>
      </w:pPr>
    </w:p>
    <w:p w:rsidR="00A4580A" w:rsidRPr="00BF6D71" w:rsidRDefault="00A4580A" w:rsidP="00A4580A">
      <w:pPr>
        <w:pStyle w:val="Prrafodelista"/>
        <w:rPr>
          <w:sz w:val="18"/>
          <w:szCs w:val="20"/>
        </w:rPr>
      </w:pPr>
      <w:r w:rsidRPr="00BF6D71">
        <w:rPr>
          <w:sz w:val="18"/>
          <w:szCs w:val="20"/>
        </w:rPr>
        <w:t>10. La Corte constata, con base en actas firmadas por las víctimas y por el Presidente y el Director Ejecutivo de COPREDEH, que el 19 de diciembre de 2017, dentro del plazo dispuesto en la Sentencia, se hizo efectivo el pago por concepto de indemnización por daño inmaterial a favor de Ángela María del Carmen Argüello Gutiérrez, Nilda Ileana Gutiérrez Hernández y Armando Eduardo Gutiérrez Hernández14 . Los representantes no presentaron objeciones a la referida afirmación.</w:t>
      </w:r>
    </w:p>
    <w:p w:rsidR="00A4580A" w:rsidRPr="00BF6D71" w:rsidRDefault="00A4580A" w:rsidP="00A4580A">
      <w:pPr>
        <w:pStyle w:val="Prrafodelista"/>
        <w:rPr>
          <w:sz w:val="18"/>
          <w:szCs w:val="20"/>
        </w:rPr>
      </w:pPr>
    </w:p>
    <w:p w:rsidR="00A4580A" w:rsidRPr="00BF6D71" w:rsidRDefault="00A4580A" w:rsidP="00A4580A">
      <w:pPr>
        <w:pStyle w:val="Prrafodelista"/>
        <w:rPr>
          <w:sz w:val="18"/>
          <w:szCs w:val="20"/>
        </w:rPr>
      </w:pPr>
      <w:r w:rsidRPr="00BF6D71">
        <w:rPr>
          <w:sz w:val="18"/>
          <w:szCs w:val="20"/>
        </w:rPr>
        <w:t xml:space="preserve">11. Asimismo, este Tribunal constata, con base en el acta firmada por Mario Alcides Polanco Pérez, Presidente y representante legal de la entidad Grupo Apoyo Mutuo (GAM), y por el Presidente y el Director Ejecutivo de COPREDEH, que el 19 de diciembre de 2017, dentro del plazo dispuesto en la Sentencia, se hizo efectivo el pago por concepto de reintegro de costas y gastos a favor de la entidad GAM16 . Los representantes tampoco presentaron objeción alguna a lo señalado por el Estado. </w:t>
      </w:r>
    </w:p>
    <w:p w:rsidR="00A4580A" w:rsidRPr="00BF6D71" w:rsidRDefault="00A4580A" w:rsidP="00A4580A">
      <w:pPr>
        <w:pStyle w:val="Prrafodelista"/>
        <w:rPr>
          <w:sz w:val="18"/>
          <w:szCs w:val="20"/>
        </w:rPr>
      </w:pPr>
    </w:p>
    <w:p w:rsidR="00A4580A" w:rsidRPr="00BF6D71" w:rsidRDefault="00A4580A" w:rsidP="00A4580A">
      <w:pPr>
        <w:pStyle w:val="Prrafodelista"/>
        <w:rPr>
          <w:sz w:val="18"/>
          <w:szCs w:val="20"/>
          <w:lang w:val="es-CR"/>
        </w:rPr>
      </w:pPr>
      <w:r w:rsidRPr="00BF6D71">
        <w:rPr>
          <w:sz w:val="18"/>
          <w:szCs w:val="20"/>
        </w:rPr>
        <w:t>12. Por lo anterior, la Corte considera que el Estado dio cumplimiento, dentro del plazo dispuesto para ello, a las medidas de reparación relativas al pago de las indemnizaciones por concepto de daño in</w:t>
      </w:r>
      <w:bookmarkStart w:id="0" w:name="_GoBack"/>
      <w:bookmarkEnd w:id="0"/>
      <w:r w:rsidRPr="00BF6D71">
        <w:rPr>
          <w:sz w:val="18"/>
          <w:szCs w:val="20"/>
        </w:rPr>
        <w:t>material a favor de las víctimas Ángela María del Carmen Argüello Gutiérrez, Nilda Ileana Gutiérrez Hernández y Armando Eduardo Gutiérrez Hernández, y del reintegro de costas y gastos a favor del Grupo Apoyo Mutuo, representante de las víctimas, quedando pendiente el pago del monto dispuesto por concepto de indemnización por el daño inmaterial sufrido por Mayra Angelina Gutiérrez Hernández.</w:t>
      </w:r>
    </w:p>
    <w:p w:rsidR="00D033EC" w:rsidRPr="00A4580A" w:rsidRDefault="00D033EC">
      <w:pPr>
        <w:rPr>
          <w:lang w:val="es-CR"/>
        </w:rPr>
      </w:pPr>
    </w:p>
    <w:sectPr w:rsidR="00D033EC" w:rsidRPr="00A458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B6B" w:rsidRDefault="00853B6B" w:rsidP="00BF6D71">
      <w:r>
        <w:separator/>
      </w:r>
    </w:p>
  </w:endnote>
  <w:endnote w:type="continuationSeparator" w:id="0">
    <w:p w:rsidR="00853B6B" w:rsidRDefault="00853B6B" w:rsidP="00BF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Malgun Gothic"/>
    <w:panose1 w:val="02030600000101010101"/>
    <w:charset w:val="81"/>
    <w:family w:val="auto"/>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D71" w:rsidRDefault="00BF6D71" w:rsidP="00BF6D71">
    <w:pPr>
      <w:rPr>
        <w:bCs/>
        <w:sz w:val="16"/>
        <w:szCs w:val="16"/>
        <w:lang w:val="es-MX"/>
      </w:rPr>
    </w:pPr>
    <w:r>
      <w:rPr>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BF6D71" w:rsidRDefault="00BF6D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B6B" w:rsidRDefault="00853B6B" w:rsidP="00BF6D71">
      <w:r>
        <w:separator/>
      </w:r>
    </w:p>
  </w:footnote>
  <w:footnote w:type="continuationSeparator" w:id="0">
    <w:p w:rsidR="00853B6B" w:rsidRDefault="00853B6B" w:rsidP="00BF6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5E9E"/>
    <w:multiLevelType w:val="hybridMultilevel"/>
    <w:tmpl w:val="F0ACA26C"/>
    <w:lvl w:ilvl="0" w:tplc="8368CDDA">
      <w:start w:val="1"/>
      <w:numFmt w:val="decimal"/>
      <w:lvlText w:val="%1."/>
      <w:lvlJc w:val="left"/>
      <w:pPr>
        <w:ind w:left="720" w:hanging="360"/>
      </w:pPr>
      <w:rPr>
        <w:sz w:val="20"/>
        <w:szCs w:val="20"/>
        <w:lang w:val="es-E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8F"/>
    <w:rsid w:val="002D503C"/>
    <w:rsid w:val="00853B6B"/>
    <w:rsid w:val="00871E5A"/>
    <w:rsid w:val="00A4580A"/>
    <w:rsid w:val="00BF6D71"/>
    <w:rsid w:val="00CB3F8F"/>
    <w:rsid w:val="00D033E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63A2"/>
  <w15:docId w15:val="{D01F4A85-85C7-40D0-9061-7BA9947E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F8F"/>
    <w:pPr>
      <w:spacing w:after="0" w:line="240" w:lineRule="auto"/>
      <w:jc w:val="both"/>
    </w:pPr>
    <w:rPr>
      <w:rFonts w:ascii="Verdana" w:eastAsia="Batang" w:hAnsi="Verdana" w:cs="Times"/>
      <w:noProof/>
      <w:sz w:val="2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B3F8F"/>
    <w:pPr>
      <w:jc w:val="center"/>
    </w:pPr>
    <w:rPr>
      <w:rFonts w:eastAsia="Times New Roman" w:cs="Times New Roman"/>
      <w:b/>
      <w:szCs w:val="20"/>
    </w:rPr>
  </w:style>
  <w:style w:type="character" w:customStyle="1" w:styleId="TtuloCar">
    <w:name w:val="Título Car"/>
    <w:basedOn w:val="Fuentedeprrafopredeter"/>
    <w:link w:val="Ttulo"/>
    <w:rsid w:val="00CB3F8F"/>
    <w:rPr>
      <w:rFonts w:ascii="Verdana" w:eastAsia="Times New Roman" w:hAnsi="Verdana" w:cs="Times New Roman"/>
      <w:b/>
      <w:noProof/>
      <w:sz w:val="20"/>
      <w:szCs w:val="20"/>
      <w:lang w:val="es-ES_tradnl"/>
    </w:rPr>
  </w:style>
  <w:style w:type="paragraph" w:customStyle="1" w:styleId="Default">
    <w:name w:val="Default"/>
    <w:rsid w:val="00CB3F8F"/>
    <w:pPr>
      <w:autoSpaceDE w:val="0"/>
      <w:autoSpaceDN w:val="0"/>
      <w:adjustRightInd w:val="0"/>
      <w:spacing w:after="0" w:line="240" w:lineRule="auto"/>
    </w:pPr>
    <w:rPr>
      <w:rFonts w:ascii="Verdana" w:eastAsia="Calibri" w:hAnsi="Verdana" w:cs="Verdana"/>
      <w:color w:val="000000"/>
      <w:sz w:val="24"/>
      <w:szCs w:val="24"/>
      <w:lang w:val="en-US"/>
    </w:rPr>
  </w:style>
  <w:style w:type="paragraph" w:styleId="Prrafodelista">
    <w:name w:val="List Paragraph"/>
    <w:basedOn w:val="Normal"/>
    <w:uiPriority w:val="34"/>
    <w:qFormat/>
    <w:rsid w:val="00A4580A"/>
    <w:pPr>
      <w:ind w:left="720"/>
      <w:contextualSpacing/>
    </w:pPr>
  </w:style>
  <w:style w:type="paragraph" w:styleId="Encabezado">
    <w:name w:val="header"/>
    <w:basedOn w:val="Normal"/>
    <w:link w:val="EncabezadoCar"/>
    <w:uiPriority w:val="99"/>
    <w:unhideWhenUsed/>
    <w:rsid w:val="00BF6D71"/>
    <w:pPr>
      <w:tabs>
        <w:tab w:val="center" w:pos="4419"/>
        <w:tab w:val="right" w:pos="8838"/>
      </w:tabs>
    </w:pPr>
  </w:style>
  <w:style w:type="character" w:customStyle="1" w:styleId="EncabezadoCar">
    <w:name w:val="Encabezado Car"/>
    <w:basedOn w:val="Fuentedeprrafopredeter"/>
    <w:link w:val="Encabezado"/>
    <w:uiPriority w:val="99"/>
    <w:rsid w:val="00BF6D71"/>
    <w:rPr>
      <w:rFonts w:ascii="Verdana" w:eastAsia="Batang" w:hAnsi="Verdana" w:cs="Times"/>
      <w:noProof/>
      <w:sz w:val="20"/>
      <w:szCs w:val="24"/>
      <w:lang w:val="es-ES_tradnl"/>
    </w:rPr>
  </w:style>
  <w:style w:type="paragraph" w:styleId="Piedepgina">
    <w:name w:val="footer"/>
    <w:basedOn w:val="Normal"/>
    <w:link w:val="PiedepginaCar"/>
    <w:uiPriority w:val="99"/>
    <w:unhideWhenUsed/>
    <w:rsid w:val="00BF6D71"/>
    <w:pPr>
      <w:tabs>
        <w:tab w:val="center" w:pos="4419"/>
        <w:tab w:val="right" w:pos="8838"/>
      </w:tabs>
    </w:pPr>
  </w:style>
  <w:style w:type="character" w:customStyle="1" w:styleId="PiedepginaCar">
    <w:name w:val="Pie de página Car"/>
    <w:basedOn w:val="Fuentedeprrafopredeter"/>
    <w:link w:val="Piedepgina"/>
    <w:uiPriority w:val="99"/>
    <w:rsid w:val="00BF6D71"/>
    <w:rPr>
      <w:rFonts w:ascii="Verdana" w:eastAsia="Batang" w:hAnsi="Verdana" w:cs="Times"/>
      <w:noProof/>
      <w:sz w:val="2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2168</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Shashira Douglas</cp:lastModifiedBy>
  <cp:revision>2</cp:revision>
  <dcterms:created xsi:type="dcterms:W3CDTF">2022-01-05T03:24:00Z</dcterms:created>
  <dcterms:modified xsi:type="dcterms:W3CDTF">2022-01-05T03:24:00Z</dcterms:modified>
</cp:coreProperties>
</file>