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C4BD" w14:textId="294A8984" w:rsidR="007C0960" w:rsidRDefault="007C0960" w:rsidP="007C0960">
      <w:pPr>
        <w:jc w:val="center"/>
        <w:rPr>
          <w:rFonts w:ascii="Verdana" w:hAnsi="Verdana"/>
          <w:b/>
          <w:sz w:val="20"/>
          <w:szCs w:val="20"/>
          <w:u w:val="single"/>
        </w:rPr>
      </w:pPr>
      <w:r w:rsidRPr="005650F5">
        <w:rPr>
          <w:rFonts w:ascii="Verdana" w:hAnsi="Verdana"/>
          <w:b/>
          <w:sz w:val="20"/>
          <w:szCs w:val="20"/>
          <w:u w:val="single"/>
        </w:rPr>
        <w:t xml:space="preserve">Caso Pueblos Indígenas Maya Kaqchikel de Sumpango y </w:t>
      </w:r>
      <w:r>
        <w:rPr>
          <w:rFonts w:ascii="Verdana" w:hAnsi="Verdana"/>
          <w:b/>
          <w:sz w:val="20"/>
          <w:szCs w:val="20"/>
          <w:u w:val="single"/>
        </w:rPr>
        <w:t>otros Vs. Guatemala: reparaciones declaradas cumplidas</w:t>
      </w:r>
    </w:p>
    <w:p w14:paraId="638B4C1E" w14:textId="77777777" w:rsidR="007C0960" w:rsidRPr="005650F5" w:rsidRDefault="007C0960" w:rsidP="007C0960">
      <w:pPr>
        <w:spacing w:after="0"/>
        <w:jc w:val="center"/>
        <w:rPr>
          <w:rFonts w:ascii="Verdana" w:hAnsi="Verdana"/>
          <w:b/>
          <w:sz w:val="20"/>
          <w:szCs w:val="20"/>
          <w:u w:val="single"/>
        </w:rPr>
      </w:pPr>
    </w:p>
    <w:p w14:paraId="71F40359" w14:textId="7AC38ABD" w:rsidR="007C0960" w:rsidRDefault="007C0960" w:rsidP="007C0960">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 xml:space="preserve">Realizar las publicaciones indicadas en el párrafo 185 de esta Sentencia, en el plazo de seis meses contados a partir de la notificación de </w:t>
      </w:r>
      <w:proofErr w:type="gramStart"/>
      <w:r w:rsidRPr="005650F5">
        <w:rPr>
          <w:rFonts w:ascii="Verdana" w:hAnsi="Verdana"/>
          <w:sz w:val="20"/>
          <w:szCs w:val="20"/>
        </w:rPr>
        <w:t>la misma</w:t>
      </w:r>
      <w:proofErr w:type="gramEnd"/>
      <w:r w:rsidRPr="005650F5">
        <w:rPr>
          <w:rFonts w:ascii="Verdana" w:hAnsi="Verdana"/>
          <w:sz w:val="20"/>
          <w:szCs w:val="20"/>
        </w:rPr>
        <w:t>.</w:t>
      </w:r>
    </w:p>
    <w:p w14:paraId="61D0CA5F" w14:textId="77777777" w:rsidR="007C0960" w:rsidRDefault="007C0960" w:rsidP="007C0960">
      <w:pPr>
        <w:autoSpaceDE w:val="0"/>
        <w:autoSpaceDN w:val="0"/>
        <w:adjustRightInd w:val="0"/>
        <w:spacing w:after="0" w:line="240" w:lineRule="auto"/>
        <w:jc w:val="both"/>
        <w:rPr>
          <w:rFonts w:ascii="Verdana" w:hAnsi="Verdana"/>
          <w:sz w:val="20"/>
          <w:szCs w:val="20"/>
        </w:rPr>
      </w:pPr>
    </w:p>
    <w:p w14:paraId="03B5BA8A" w14:textId="77777777" w:rsidR="007C0960" w:rsidRDefault="007C0960" w:rsidP="007C0960">
      <w:pPr>
        <w:autoSpaceDE w:val="0"/>
        <w:autoSpaceDN w:val="0"/>
        <w:adjustRightInd w:val="0"/>
        <w:spacing w:after="0" w:line="240" w:lineRule="auto"/>
        <w:jc w:val="both"/>
        <w:rPr>
          <w:rFonts w:ascii="Verdana" w:hAnsi="Verdana"/>
          <w:sz w:val="20"/>
          <w:szCs w:val="20"/>
        </w:rPr>
      </w:pPr>
    </w:p>
    <w:p w14:paraId="5070FF6A" w14:textId="1384B474" w:rsidR="007C0960" w:rsidRPr="007C0960" w:rsidRDefault="007C0960" w:rsidP="007C0960">
      <w:pPr>
        <w:autoSpaceDE w:val="0"/>
        <w:autoSpaceDN w:val="0"/>
        <w:adjustRightInd w:val="0"/>
        <w:spacing w:after="0" w:line="240" w:lineRule="auto"/>
        <w:jc w:val="both"/>
        <w:rPr>
          <w:rFonts w:ascii="Verdana" w:hAnsi="Verdana"/>
          <w:b/>
          <w:bCs/>
          <w:sz w:val="20"/>
          <w:szCs w:val="20"/>
          <w:u w:val="single"/>
        </w:rPr>
      </w:pPr>
      <w:r w:rsidRPr="007C0960">
        <w:rPr>
          <w:rFonts w:ascii="Verdana" w:hAnsi="Verdana"/>
          <w:b/>
          <w:bCs/>
          <w:sz w:val="20"/>
          <w:szCs w:val="20"/>
          <w:u w:val="single"/>
        </w:rPr>
        <w:t>Cumplimiento parcial:</w:t>
      </w:r>
    </w:p>
    <w:p w14:paraId="46BC618C" w14:textId="77777777" w:rsidR="007C0960" w:rsidRPr="007C0960" w:rsidRDefault="007C0960" w:rsidP="007C0960">
      <w:pPr>
        <w:autoSpaceDE w:val="0"/>
        <w:autoSpaceDN w:val="0"/>
        <w:adjustRightInd w:val="0"/>
        <w:spacing w:after="0" w:line="240" w:lineRule="auto"/>
        <w:jc w:val="both"/>
        <w:rPr>
          <w:rFonts w:ascii="Verdana" w:hAnsi="Verdana"/>
          <w:sz w:val="20"/>
          <w:szCs w:val="20"/>
        </w:rPr>
      </w:pPr>
    </w:p>
    <w:p w14:paraId="57905638" w14:textId="1B44BD3D" w:rsidR="007C0960" w:rsidRDefault="007C0960" w:rsidP="007C0960">
      <w:pPr>
        <w:pStyle w:val="Prrafodelista"/>
        <w:numPr>
          <w:ilvl w:val="0"/>
          <w:numId w:val="1"/>
        </w:numPr>
        <w:autoSpaceDE w:val="0"/>
        <w:autoSpaceDN w:val="0"/>
        <w:adjustRightInd w:val="0"/>
        <w:spacing w:after="0" w:line="240" w:lineRule="auto"/>
        <w:ind w:left="0" w:firstLine="0"/>
        <w:jc w:val="both"/>
        <w:rPr>
          <w:rFonts w:ascii="Verdana" w:hAnsi="Verdana"/>
          <w:sz w:val="20"/>
          <w:szCs w:val="20"/>
        </w:rPr>
      </w:pPr>
      <w:r w:rsidRPr="005650F5">
        <w:rPr>
          <w:rFonts w:ascii="Verdana" w:hAnsi="Verdana"/>
          <w:sz w:val="20"/>
          <w:szCs w:val="20"/>
        </w:rPr>
        <w:t>Pagar las cantidades fijadas en los párrafos 210, 211 y 221 de la presente Sentencia, por concepto de compensación por los equipos de transmisión aprehendidos, de indemnización por daño material e inmaterial, y por el reintegro de costas y gastos, en los términos de los párrafos 223 a 226 de la presente Sentencia</w:t>
      </w:r>
      <w:r>
        <w:rPr>
          <w:rFonts w:ascii="Verdana" w:hAnsi="Verdana"/>
          <w:sz w:val="20"/>
          <w:szCs w:val="20"/>
        </w:rPr>
        <w:t>.</w:t>
      </w:r>
    </w:p>
    <w:p w14:paraId="11FDF253" w14:textId="77777777" w:rsidR="007C0960" w:rsidRDefault="007C0960" w:rsidP="007C0960">
      <w:pPr>
        <w:autoSpaceDE w:val="0"/>
        <w:autoSpaceDN w:val="0"/>
        <w:adjustRightInd w:val="0"/>
        <w:spacing w:after="0" w:line="240" w:lineRule="auto"/>
        <w:jc w:val="both"/>
        <w:rPr>
          <w:rFonts w:ascii="Verdana" w:hAnsi="Verdana"/>
          <w:sz w:val="20"/>
          <w:szCs w:val="20"/>
        </w:rPr>
      </w:pPr>
    </w:p>
    <w:p w14:paraId="5F6BEAA6" w14:textId="2FBC58B9" w:rsidR="007C0960" w:rsidRDefault="007C0960" w:rsidP="007C0960">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En el Considerando 9 de la Resolución de 27 de marzo de 2025 se explica lo que continúa pendiente de cumplimiento respecto a la presente medida de reparación: </w:t>
      </w:r>
    </w:p>
    <w:p w14:paraId="2E577E75" w14:textId="77777777" w:rsidR="007C0960" w:rsidRDefault="007C0960" w:rsidP="007C0960">
      <w:pPr>
        <w:autoSpaceDE w:val="0"/>
        <w:autoSpaceDN w:val="0"/>
        <w:adjustRightInd w:val="0"/>
        <w:spacing w:after="0" w:line="240" w:lineRule="auto"/>
        <w:jc w:val="both"/>
        <w:rPr>
          <w:rFonts w:ascii="Verdana" w:hAnsi="Verdana"/>
          <w:sz w:val="20"/>
          <w:szCs w:val="20"/>
        </w:rPr>
      </w:pPr>
    </w:p>
    <w:p w14:paraId="6FA1E09A" w14:textId="24EB4257" w:rsidR="007C0960" w:rsidRPr="00C616DC" w:rsidRDefault="00C616DC" w:rsidP="00C616DC">
      <w:pPr>
        <w:autoSpaceDE w:val="0"/>
        <w:autoSpaceDN w:val="0"/>
        <w:adjustRightInd w:val="0"/>
        <w:spacing w:after="0" w:line="240" w:lineRule="auto"/>
        <w:ind w:left="708"/>
        <w:jc w:val="both"/>
        <w:rPr>
          <w:rFonts w:ascii="Verdana" w:hAnsi="Verdana"/>
          <w:sz w:val="16"/>
          <w:szCs w:val="16"/>
        </w:rPr>
      </w:pPr>
      <w:r w:rsidRPr="00C616DC">
        <w:rPr>
          <w:rFonts w:ascii="Verdana" w:hAnsi="Verdana"/>
          <w:sz w:val="16"/>
          <w:szCs w:val="16"/>
        </w:rPr>
        <w:t xml:space="preserve">En razón de todo lo anterior, la Corte concluye que el Estado ha dado cumplimiento parcial a la medida ordenada en el punto resolutivo noveno y los párrafos 210 y 211 de la Sentencia, ya que pagó las cantidades fijadas en la misma por concepto de indemnización por los daños materiales e inmateriales a los pueblos indígenas Maya Kaqchikel de Sumpango y Maya Achí de San Miguel Chicaj, así como la cantidad fijada por concepto de indemnización por el daño inmaterial al pueblo indígena Maya </w:t>
      </w:r>
      <w:proofErr w:type="spellStart"/>
      <w:r w:rsidRPr="00C616DC">
        <w:rPr>
          <w:rFonts w:ascii="Verdana" w:hAnsi="Verdana"/>
          <w:sz w:val="16"/>
          <w:szCs w:val="16"/>
        </w:rPr>
        <w:t>Mam</w:t>
      </w:r>
      <w:proofErr w:type="spellEnd"/>
      <w:r w:rsidRPr="00C616DC">
        <w:rPr>
          <w:rFonts w:ascii="Verdana" w:hAnsi="Verdana"/>
          <w:sz w:val="16"/>
          <w:szCs w:val="16"/>
        </w:rPr>
        <w:t xml:space="preserve"> de Todos Santos </w:t>
      </w:r>
      <w:proofErr w:type="spellStart"/>
      <w:r w:rsidRPr="00C616DC">
        <w:rPr>
          <w:rFonts w:ascii="Verdana" w:hAnsi="Verdana"/>
          <w:sz w:val="16"/>
          <w:szCs w:val="16"/>
        </w:rPr>
        <w:t>Cuchumatán</w:t>
      </w:r>
      <w:proofErr w:type="spellEnd"/>
      <w:r w:rsidRPr="00C616DC">
        <w:rPr>
          <w:rFonts w:ascii="Verdana" w:hAnsi="Verdana"/>
          <w:sz w:val="16"/>
          <w:szCs w:val="16"/>
        </w:rPr>
        <w:t xml:space="preserve"> (supra Considerando 4). Se encuentra pendiente: (i) el pago de la cantidad fijada por concepto de la indemnización por el daño inmaterial al pueblo indígena Maya </w:t>
      </w:r>
      <w:proofErr w:type="spellStart"/>
      <w:r w:rsidRPr="00C616DC">
        <w:rPr>
          <w:rFonts w:ascii="Verdana" w:hAnsi="Verdana"/>
          <w:sz w:val="16"/>
          <w:szCs w:val="16"/>
        </w:rPr>
        <w:t>Mam</w:t>
      </w:r>
      <w:proofErr w:type="spellEnd"/>
      <w:r w:rsidRPr="00C616DC">
        <w:rPr>
          <w:rFonts w:ascii="Verdana" w:hAnsi="Verdana"/>
          <w:sz w:val="16"/>
          <w:szCs w:val="16"/>
        </w:rPr>
        <w:t xml:space="preserve"> de </w:t>
      </w:r>
      <w:proofErr w:type="spellStart"/>
      <w:r w:rsidRPr="00C616DC">
        <w:rPr>
          <w:rFonts w:ascii="Verdana" w:hAnsi="Verdana"/>
          <w:sz w:val="16"/>
          <w:szCs w:val="16"/>
        </w:rPr>
        <w:t>Cajolá</w:t>
      </w:r>
      <w:proofErr w:type="spellEnd"/>
      <w:r w:rsidRPr="00C616DC">
        <w:rPr>
          <w:rFonts w:ascii="Verdana" w:hAnsi="Verdana"/>
          <w:sz w:val="16"/>
          <w:szCs w:val="16"/>
        </w:rPr>
        <w:t xml:space="preserve"> (supra Considerandos 4 y 7), y (</w:t>
      </w:r>
      <w:proofErr w:type="spellStart"/>
      <w:r w:rsidRPr="00C616DC">
        <w:rPr>
          <w:rFonts w:ascii="Verdana" w:hAnsi="Verdana"/>
          <w:sz w:val="16"/>
          <w:szCs w:val="16"/>
        </w:rPr>
        <w:t>ii</w:t>
      </w:r>
      <w:proofErr w:type="spellEnd"/>
      <w:r w:rsidRPr="00C616DC">
        <w:rPr>
          <w:rFonts w:ascii="Verdana" w:hAnsi="Verdana"/>
          <w:sz w:val="16"/>
          <w:szCs w:val="16"/>
        </w:rPr>
        <w:t xml:space="preserve">) el pago de los intereses moratorios que correspondan a favor de los pueblos indígenas Maya Kaqchikel de Sumpango, Maya Achí de San Miguel Chicaj y Maya </w:t>
      </w:r>
      <w:proofErr w:type="spellStart"/>
      <w:r w:rsidRPr="00C616DC">
        <w:rPr>
          <w:rFonts w:ascii="Verdana" w:hAnsi="Verdana"/>
          <w:sz w:val="16"/>
          <w:szCs w:val="16"/>
        </w:rPr>
        <w:t>Mam</w:t>
      </w:r>
      <w:proofErr w:type="spellEnd"/>
      <w:r w:rsidRPr="00C616DC">
        <w:rPr>
          <w:rFonts w:ascii="Verdana" w:hAnsi="Verdana"/>
          <w:sz w:val="16"/>
          <w:szCs w:val="16"/>
        </w:rPr>
        <w:t xml:space="preserve"> de Todos Santos </w:t>
      </w:r>
      <w:proofErr w:type="spellStart"/>
      <w:r w:rsidRPr="00C616DC">
        <w:rPr>
          <w:rFonts w:ascii="Verdana" w:hAnsi="Verdana"/>
          <w:sz w:val="16"/>
          <w:szCs w:val="16"/>
        </w:rPr>
        <w:t>Cuchumatán</w:t>
      </w:r>
      <w:proofErr w:type="spellEnd"/>
      <w:r w:rsidRPr="00C616DC">
        <w:rPr>
          <w:rFonts w:ascii="Verdana" w:hAnsi="Verdana"/>
          <w:sz w:val="16"/>
          <w:szCs w:val="16"/>
        </w:rPr>
        <w:t xml:space="preserve"> (supra Considerando 6).</w:t>
      </w:r>
    </w:p>
    <w:p w14:paraId="1C25081F" w14:textId="77777777" w:rsidR="002C0B9B" w:rsidRPr="00C616DC" w:rsidRDefault="002C0B9B" w:rsidP="00C616DC">
      <w:pPr>
        <w:ind w:left="708"/>
        <w:rPr>
          <w:sz w:val="16"/>
          <w:szCs w:val="16"/>
        </w:rPr>
      </w:pPr>
    </w:p>
    <w:sectPr w:rsidR="002C0B9B" w:rsidRPr="00C616D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C486E" w14:textId="77777777" w:rsidR="00630C44" w:rsidRDefault="00630C44" w:rsidP="007C0960">
      <w:pPr>
        <w:spacing w:after="0" w:line="240" w:lineRule="auto"/>
      </w:pPr>
      <w:r>
        <w:separator/>
      </w:r>
    </w:p>
  </w:endnote>
  <w:endnote w:type="continuationSeparator" w:id="0">
    <w:p w14:paraId="3FCC2D24" w14:textId="77777777" w:rsidR="00630C44" w:rsidRDefault="00630C44" w:rsidP="007C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1440" w14:textId="1C44123F" w:rsidR="007C0960" w:rsidRPr="007C0960" w:rsidRDefault="007C0960" w:rsidP="007C0960">
    <w:pPr>
      <w:pStyle w:val="Piedepgina"/>
      <w:jc w:val="both"/>
      <w:rPr>
        <w:rFonts w:ascii="Verdana" w:hAnsi="Verdana"/>
        <w:sz w:val="16"/>
        <w:szCs w:val="20"/>
      </w:rPr>
    </w:pPr>
    <w:r w:rsidRPr="005A69BB">
      <w:rPr>
        <w:rFonts w:ascii="Verdana" w:hAnsi="Verdana"/>
        <w:sz w:val="16"/>
        <w:szCs w:val="20"/>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DD41" w14:textId="77777777" w:rsidR="00630C44" w:rsidRDefault="00630C44" w:rsidP="007C0960">
      <w:pPr>
        <w:spacing w:after="0" w:line="240" w:lineRule="auto"/>
      </w:pPr>
      <w:r>
        <w:separator/>
      </w:r>
    </w:p>
  </w:footnote>
  <w:footnote w:type="continuationSeparator" w:id="0">
    <w:p w14:paraId="489722DF" w14:textId="77777777" w:rsidR="00630C44" w:rsidRDefault="00630C44" w:rsidP="007C0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07A81"/>
    <w:multiLevelType w:val="hybridMultilevel"/>
    <w:tmpl w:val="E56AC8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8389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60"/>
    <w:rsid w:val="000820A6"/>
    <w:rsid w:val="002C0B9B"/>
    <w:rsid w:val="00430CC8"/>
    <w:rsid w:val="005E38EB"/>
    <w:rsid w:val="00630C44"/>
    <w:rsid w:val="007C0960"/>
    <w:rsid w:val="00AF4881"/>
    <w:rsid w:val="00C4542F"/>
    <w:rsid w:val="00C616DC"/>
    <w:rsid w:val="00C9452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A84E"/>
  <w15:chartTrackingRefBased/>
  <w15:docId w15:val="{F2F670AA-21DE-4529-BCE0-E04402B1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60"/>
    <w:pPr>
      <w:spacing w:line="259" w:lineRule="auto"/>
    </w:pPr>
    <w:rPr>
      <w:kern w:val="0"/>
      <w:sz w:val="22"/>
      <w:szCs w:val="22"/>
      <w14:ligatures w14:val="none"/>
    </w:rPr>
  </w:style>
  <w:style w:type="paragraph" w:styleId="Ttulo1">
    <w:name w:val="heading 1"/>
    <w:basedOn w:val="Normal"/>
    <w:next w:val="Normal"/>
    <w:link w:val="Ttulo1Car"/>
    <w:uiPriority w:val="9"/>
    <w:qFormat/>
    <w:rsid w:val="007C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09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09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09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09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09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09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09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09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09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09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09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09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09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09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09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0960"/>
    <w:rPr>
      <w:rFonts w:eastAsiaTheme="majorEastAsia" w:cstheme="majorBidi"/>
      <w:color w:val="272727" w:themeColor="text1" w:themeTint="D8"/>
    </w:rPr>
  </w:style>
  <w:style w:type="paragraph" w:styleId="Ttulo">
    <w:name w:val="Title"/>
    <w:basedOn w:val="Normal"/>
    <w:next w:val="Normal"/>
    <w:link w:val="TtuloCar"/>
    <w:uiPriority w:val="10"/>
    <w:qFormat/>
    <w:rsid w:val="007C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09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09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09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0960"/>
    <w:pPr>
      <w:spacing w:before="160"/>
      <w:jc w:val="center"/>
    </w:pPr>
    <w:rPr>
      <w:i/>
      <w:iCs/>
      <w:color w:val="404040" w:themeColor="text1" w:themeTint="BF"/>
    </w:rPr>
  </w:style>
  <w:style w:type="character" w:customStyle="1" w:styleId="CitaCar">
    <w:name w:val="Cita Car"/>
    <w:basedOn w:val="Fuentedeprrafopredeter"/>
    <w:link w:val="Cita"/>
    <w:uiPriority w:val="29"/>
    <w:rsid w:val="007C0960"/>
    <w:rPr>
      <w:i/>
      <w:iCs/>
      <w:color w:val="404040" w:themeColor="text1" w:themeTint="BF"/>
    </w:rPr>
  </w:style>
  <w:style w:type="paragraph" w:styleId="Prrafodelista">
    <w:name w:val="List Paragraph"/>
    <w:aliases w:val="List Paragraph2,Lista vistosa - Énfasis 11,Párrafo de lista1,List Paragraph1,Colorful List - Accent 11,Footnote"/>
    <w:basedOn w:val="Normal"/>
    <w:link w:val="PrrafodelistaCar"/>
    <w:uiPriority w:val="34"/>
    <w:qFormat/>
    <w:rsid w:val="007C0960"/>
    <w:pPr>
      <w:ind w:left="720"/>
      <w:contextualSpacing/>
    </w:pPr>
  </w:style>
  <w:style w:type="character" w:styleId="nfasisintenso">
    <w:name w:val="Intense Emphasis"/>
    <w:basedOn w:val="Fuentedeprrafopredeter"/>
    <w:uiPriority w:val="21"/>
    <w:qFormat/>
    <w:rsid w:val="007C0960"/>
    <w:rPr>
      <w:i/>
      <w:iCs/>
      <w:color w:val="0F4761" w:themeColor="accent1" w:themeShade="BF"/>
    </w:rPr>
  </w:style>
  <w:style w:type="paragraph" w:styleId="Citadestacada">
    <w:name w:val="Intense Quote"/>
    <w:basedOn w:val="Normal"/>
    <w:next w:val="Normal"/>
    <w:link w:val="CitadestacadaCar"/>
    <w:uiPriority w:val="30"/>
    <w:qFormat/>
    <w:rsid w:val="007C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0960"/>
    <w:rPr>
      <w:i/>
      <w:iCs/>
      <w:color w:val="0F4761" w:themeColor="accent1" w:themeShade="BF"/>
    </w:rPr>
  </w:style>
  <w:style w:type="character" w:styleId="Referenciaintensa">
    <w:name w:val="Intense Reference"/>
    <w:basedOn w:val="Fuentedeprrafopredeter"/>
    <w:uiPriority w:val="32"/>
    <w:qFormat/>
    <w:rsid w:val="007C0960"/>
    <w:rPr>
      <w:b/>
      <w:bCs/>
      <w:smallCaps/>
      <w:color w:val="0F4761" w:themeColor="accent1" w:themeShade="BF"/>
      <w:spacing w:val="5"/>
    </w:rPr>
  </w:style>
  <w:style w:type="character" w:customStyle="1" w:styleId="PrrafodelistaCar">
    <w:name w:val="Párrafo de lista Car"/>
    <w:aliases w:val="List Paragraph2 Car,Lista vistosa - Énfasis 11 Car,Párrafo de lista1 Car,List Paragraph1 Car,Colorful List - Accent 11 Car,Footnote Car"/>
    <w:link w:val="Prrafodelista"/>
    <w:uiPriority w:val="34"/>
    <w:locked/>
    <w:rsid w:val="007C0960"/>
  </w:style>
  <w:style w:type="paragraph" w:styleId="Encabezado">
    <w:name w:val="header"/>
    <w:basedOn w:val="Normal"/>
    <w:link w:val="EncabezadoCar"/>
    <w:uiPriority w:val="99"/>
    <w:unhideWhenUsed/>
    <w:rsid w:val="007C09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960"/>
    <w:rPr>
      <w:kern w:val="0"/>
      <w:sz w:val="22"/>
      <w:szCs w:val="22"/>
      <w14:ligatures w14:val="none"/>
    </w:rPr>
  </w:style>
  <w:style w:type="paragraph" w:styleId="Piedepgina">
    <w:name w:val="footer"/>
    <w:basedOn w:val="Normal"/>
    <w:link w:val="PiedepginaCar"/>
    <w:uiPriority w:val="99"/>
    <w:unhideWhenUsed/>
    <w:rsid w:val="007C09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96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2025-06-09T22:24:00Z</dcterms:created>
  <dcterms:modified xsi:type="dcterms:W3CDTF">2025-06-09T22:24:00Z</dcterms:modified>
</cp:coreProperties>
</file>