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F48" w:rsidRDefault="00CC7DBD" w:rsidP="004C6EA9">
      <w:pPr>
        <w:spacing w:after="0" w:line="240" w:lineRule="auto"/>
        <w:ind w:right="99"/>
        <w:jc w:val="center"/>
        <w:rPr>
          <w:rFonts w:ascii="Verdana" w:eastAsia="Times New Roman" w:hAnsi="Verdana" w:cs="Verdana"/>
          <w:b/>
          <w:bCs/>
          <w:snapToGrid w:val="0"/>
          <w:sz w:val="20"/>
          <w:szCs w:val="20"/>
          <w:u w:val="single"/>
          <w:lang w:val="es-MX" w:eastAsia="es-ES"/>
        </w:rPr>
      </w:pPr>
      <w:r w:rsidRPr="00CC7DBD">
        <w:rPr>
          <w:rFonts w:ascii="Verdana" w:eastAsia="Times New Roman" w:hAnsi="Verdana" w:cs="Verdana"/>
          <w:b/>
          <w:bCs/>
          <w:snapToGrid w:val="0"/>
          <w:sz w:val="20"/>
          <w:szCs w:val="20"/>
          <w:u w:val="single"/>
          <w:lang w:val="es-MX" w:eastAsia="es-ES"/>
        </w:rPr>
        <w:t xml:space="preserve">Caso de la Masacre de las Dos Erres </w:t>
      </w:r>
      <w:r w:rsidRPr="00CC7DBD">
        <w:rPr>
          <w:rFonts w:ascii="Verdana" w:eastAsia="Times New Roman" w:hAnsi="Verdana" w:cs="Verdana"/>
          <w:b/>
          <w:bCs/>
          <w:i/>
          <w:snapToGrid w:val="0"/>
          <w:sz w:val="20"/>
          <w:szCs w:val="20"/>
          <w:u w:val="single"/>
          <w:lang w:val="es-MX" w:eastAsia="es-ES"/>
        </w:rPr>
        <w:t>Vs</w:t>
      </w:r>
      <w:r w:rsidRPr="00CC7DBD">
        <w:rPr>
          <w:rFonts w:ascii="Verdana" w:eastAsia="Times New Roman" w:hAnsi="Verdana" w:cs="Verdana"/>
          <w:b/>
          <w:bCs/>
          <w:snapToGrid w:val="0"/>
          <w:sz w:val="20"/>
          <w:szCs w:val="20"/>
          <w:u w:val="single"/>
          <w:lang w:val="es-MX" w:eastAsia="es-ES"/>
        </w:rPr>
        <w:t xml:space="preserve">. </w:t>
      </w:r>
      <w:r w:rsidRPr="004C6EA9">
        <w:rPr>
          <w:rFonts w:ascii="Verdana" w:eastAsia="Times New Roman" w:hAnsi="Verdana" w:cs="Verdana"/>
          <w:b/>
          <w:bCs/>
          <w:snapToGrid w:val="0"/>
          <w:sz w:val="20"/>
          <w:szCs w:val="20"/>
          <w:u w:val="single"/>
          <w:lang w:val="es-MX" w:eastAsia="es-ES"/>
        </w:rPr>
        <w:t xml:space="preserve">Guatemala: reparaciones </w:t>
      </w:r>
      <w:r w:rsidR="0045050A">
        <w:rPr>
          <w:rFonts w:ascii="Verdana" w:eastAsia="Times New Roman" w:hAnsi="Verdana" w:cs="Verdana"/>
          <w:b/>
          <w:bCs/>
          <w:snapToGrid w:val="0"/>
          <w:sz w:val="20"/>
          <w:szCs w:val="20"/>
          <w:u w:val="single"/>
          <w:lang w:val="es-MX" w:eastAsia="es-ES"/>
        </w:rPr>
        <w:t>pendientes de cumplimiento</w:t>
      </w:r>
    </w:p>
    <w:p w:rsidR="004C6EA9" w:rsidRPr="004C6EA9" w:rsidRDefault="004C6EA9" w:rsidP="004C6EA9">
      <w:pPr>
        <w:spacing w:after="0" w:line="240" w:lineRule="auto"/>
        <w:ind w:right="99"/>
        <w:jc w:val="center"/>
        <w:rPr>
          <w:rFonts w:ascii="Verdana" w:hAnsi="Verdana"/>
          <w:color w:val="00B050"/>
          <w:sz w:val="20"/>
          <w:szCs w:val="20"/>
          <w:u w:val="single"/>
          <w:lang w:val="es-MX"/>
        </w:rPr>
      </w:pPr>
    </w:p>
    <w:p w:rsidR="00CC7DBD" w:rsidRDefault="004C6EA9" w:rsidP="004C6EA9">
      <w:pPr>
        <w:pStyle w:val="Prrafodelista"/>
        <w:numPr>
          <w:ilvl w:val="0"/>
          <w:numId w:val="1"/>
        </w:numPr>
        <w:spacing w:after="0" w:line="240" w:lineRule="auto"/>
        <w:ind w:left="360" w:right="99"/>
        <w:jc w:val="both"/>
        <w:rPr>
          <w:rFonts w:ascii="Verdana" w:hAnsi="Verdana"/>
          <w:sz w:val="20"/>
          <w:szCs w:val="20"/>
          <w:lang w:val="es-MX"/>
        </w:rPr>
      </w:pPr>
      <w:r w:rsidRPr="004C6EA9">
        <w:rPr>
          <w:rFonts w:ascii="Verdana" w:hAnsi="Verdana"/>
          <w:sz w:val="20"/>
          <w:szCs w:val="20"/>
          <w:lang w:val="es-MX"/>
        </w:rPr>
        <w:t>I</w:t>
      </w:r>
      <w:r w:rsidR="00CC7DBD" w:rsidRPr="004C6EA9">
        <w:rPr>
          <w:rFonts w:ascii="Verdana" w:hAnsi="Verdana"/>
          <w:sz w:val="20"/>
          <w:szCs w:val="20"/>
          <w:lang w:val="es-MX"/>
        </w:rPr>
        <w:t>nvestigar, sin mayor dilación, de forma seria y efectiva los hechos que originaron las violaciones declaradas en la presente Sentencia, con el propósito de juzgar y, eventualmente, sancionar a los presuntos responsables, en los términos de los párrafos 231 a 236 de este Fallo.</w:t>
      </w:r>
    </w:p>
    <w:p w:rsidR="004C6EA9" w:rsidRPr="004C6EA9" w:rsidRDefault="004C6EA9" w:rsidP="004C6EA9">
      <w:pPr>
        <w:pStyle w:val="Prrafodelista"/>
        <w:spacing w:after="0" w:line="240" w:lineRule="auto"/>
        <w:ind w:left="360" w:right="99" w:hanging="360"/>
        <w:jc w:val="both"/>
        <w:rPr>
          <w:rFonts w:ascii="Verdana" w:hAnsi="Verdana"/>
          <w:sz w:val="20"/>
          <w:szCs w:val="20"/>
          <w:lang w:val="es-MX"/>
        </w:rPr>
      </w:pPr>
    </w:p>
    <w:p w:rsidR="004C6EA9" w:rsidRPr="004E0AF8" w:rsidRDefault="004C6EA9" w:rsidP="004C6EA9">
      <w:pPr>
        <w:pStyle w:val="Prrafodelista"/>
        <w:numPr>
          <w:ilvl w:val="0"/>
          <w:numId w:val="1"/>
        </w:numPr>
        <w:spacing w:after="0" w:line="240" w:lineRule="auto"/>
        <w:ind w:left="360" w:right="99"/>
        <w:jc w:val="both"/>
        <w:rPr>
          <w:rFonts w:ascii="Verdana" w:hAnsi="Verdana"/>
          <w:sz w:val="20"/>
          <w:szCs w:val="20"/>
          <w:lang w:val="es-MX"/>
        </w:rPr>
      </w:pPr>
      <w:r w:rsidRPr="004C6EA9">
        <w:rPr>
          <w:rFonts w:ascii="Verdana" w:eastAsia="Times New Roman" w:hAnsi="Verdana"/>
          <w:sz w:val="20"/>
          <w:szCs w:val="20"/>
          <w:lang w:val="es-MX"/>
        </w:rPr>
        <w:t>I</w:t>
      </w:r>
      <w:r w:rsidR="00CC7DBD" w:rsidRPr="004C6EA9">
        <w:rPr>
          <w:rFonts w:ascii="Verdana" w:eastAsia="Times New Roman" w:hAnsi="Verdana"/>
          <w:sz w:val="20"/>
          <w:szCs w:val="20"/>
          <w:lang w:val="es-MX"/>
        </w:rPr>
        <w:t>niciar las acciones disciplinarias, administrativas o penales que sean pertinentes, de acuerdo con su legislación interna, contra las autoridades del Estado que puedan haber cometido y obstaculizado la investigación de los hechos, en los términos del párrafo 233.d) de la presente Sentencia.</w:t>
      </w:r>
    </w:p>
    <w:p w:rsidR="004E0AF8" w:rsidRPr="004E0AF8" w:rsidRDefault="004E0AF8" w:rsidP="004E0AF8">
      <w:pPr>
        <w:spacing w:after="0" w:line="240" w:lineRule="auto"/>
        <w:ind w:right="99"/>
        <w:jc w:val="both"/>
        <w:rPr>
          <w:rFonts w:ascii="Verdana" w:hAnsi="Verdana"/>
          <w:sz w:val="20"/>
          <w:szCs w:val="20"/>
          <w:lang w:val="es-MX"/>
        </w:rPr>
      </w:pPr>
    </w:p>
    <w:p w:rsidR="004C6EA9" w:rsidRDefault="004C6EA9" w:rsidP="004C6EA9">
      <w:pPr>
        <w:pStyle w:val="Prrafodelista"/>
        <w:numPr>
          <w:ilvl w:val="0"/>
          <w:numId w:val="1"/>
        </w:numPr>
        <w:spacing w:after="0" w:line="240" w:lineRule="auto"/>
        <w:ind w:left="360" w:right="99"/>
        <w:jc w:val="both"/>
        <w:rPr>
          <w:rFonts w:ascii="Verdana" w:hAnsi="Verdana"/>
          <w:sz w:val="20"/>
          <w:szCs w:val="20"/>
          <w:lang w:val="es-MX"/>
        </w:rPr>
      </w:pPr>
      <w:r w:rsidRPr="004C6EA9">
        <w:rPr>
          <w:rFonts w:ascii="Verdana" w:hAnsi="Verdana"/>
          <w:sz w:val="20"/>
          <w:szCs w:val="20"/>
          <w:lang w:val="es-MX"/>
        </w:rPr>
        <w:t>A</w:t>
      </w:r>
      <w:r w:rsidR="00CC7DBD" w:rsidRPr="004C6EA9">
        <w:rPr>
          <w:rFonts w:ascii="Verdana" w:hAnsi="Verdana"/>
          <w:sz w:val="20"/>
          <w:szCs w:val="20"/>
          <w:lang w:val="es-MX"/>
        </w:rPr>
        <w:t>doptar las medidas pertinentes para reformar la Ley de Amparo, Exhibición Personal y de Constitucionalidad en Guatemala, en los términos de los párrafos 238 a 242 de la presente Sentencia.</w:t>
      </w:r>
    </w:p>
    <w:p w:rsidR="004C6EA9" w:rsidRDefault="004C6EA9" w:rsidP="004C6EA9">
      <w:pPr>
        <w:pStyle w:val="Prrafodelista"/>
        <w:spacing w:after="0" w:line="240" w:lineRule="auto"/>
        <w:ind w:left="360" w:right="99" w:hanging="360"/>
        <w:jc w:val="both"/>
        <w:rPr>
          <w:rFonts w:ascii="Verdana" w:hAnsi="Verdana"/>
          <w:sz w:val="20"/>
          <w:szCs w:val="20"/>
          <w:lang w:val="es-MX"/>
        </w:rPr>
      </w:pPr>
    </w:p>
    <w:p w:rsidR="004C6EA9" w:rsidRDefault="004C6EA9" w:rsidP="004C6EA9">
      <w:pPr>
        <w:pStyle w:val="Prrafodelista"/>
        <w:numPr>
          <w:ilvl w:val="0"/>
          <w:numId w:val="1"/>
        </w:numPr>
        <w:spacing w:after="0" w:line="240" w:lineRule="auto"/>
        <w:ind w:left="360" w:right="99"/>
        <w:jc w:val="both"/>
        <w:rPr>
          <w:rFonts w:ascii="Verdana" w:hAnsi="Verdana"/>
          <w:sz w:val="20"/>
          <w:szCs w:val="20"/>
          <w:lang w:val="es-MX"/>
        </w:rPr>
      </w:pPr>
      <w:r w:rsidRPr="004C6EA9">
        <w:rPr>
          <w:rFonts w:ascii="Verdana" w:hAnsi="Verdana"/>
          <w:sz w:val="20"/>
          <w:szCs w:val="20"/>
          <w:lang w:val="es-MX"/>
        </w:rPr>
        <w:t>P</w:t>
      </w:r>
      <w:r w:rsidR="00CC7DBD" w:rsidRPr="004C6EA9">
        <w:rPr>
          <w:rFonts w:ascii="Verdana" w:hAnsi="Verdana"/>
          <w:sz w:val="20"/>
          <w:szCs w:val="20"/>
          <w:lang w:val="es-MX"/>
        </w:rPr>
        <w:t>roceder a la exhumación, identificación y entrega de los restos de las personas fallecidas en la masacre de Las Dos Erres a sus familiares, en los términos de los párrafos 244 a 249 de la presente Sentencia.</w:t>
      </w:r>
    </w:p>
    <w:p w:rsidR="004C6EA9" w:rsidRPr="004C6EA9" w:rsidRDefault="004C6EA9" w:rsidP="004C6EA9">
      <w:pPr>
        <w:pStyle w:val="Prrafodelista"/>
        <w:spacing w:after="0" w:line="240" w:lineRule="auto"/>
        <w:ind w:left="360" w:right="99" w:hanging="360"/>
        <w:jc w:val="both"/>
        <w:rPr>
          <w:rFonts w:ascii="Verdana" w:hAnsi="Verdana"/>
          <w:sz w:val="20"/>
          <w:szCs w:val="20"/>
          <w:lang w:val="es-MX"/>
        </w:rPr>
      </w:pPr>
    </w:p>
    <w:p w:rsidR="004C6EA9" w:rsidRDefault="004C6EA9" w:rsidP="004C6EA9">
      <w:pPr>
        <w:pStyle w:val="Prrafodelista"/>
        <w:numPr>
          <w:ilvl w:val="0"/>
          <w:numId w:val="1"/>
        </w:numPr>
        <w:spacing w:after="0" w:line="240" w:lineRule="auto"/>
        <w:ind w:left="360" w:right="99"/>
        <w:jc w:val="both"/>
        <w:rPr>
          <w:rFonts w:ascii="Verdana" w:hAnsi="Verdana"/>
          <w:sz w:val="20"/>
          <w:szCs w:val="20"/>
          <w:lang w:val="es-MX"/>
        </w:rPr>
      </w:pPr>
      <w:r w:rsidRPr="004C6EA9">
        <w:rPr>
          <w:rFonts w:ascii="Verdana" w:hAnsi="Verdana"/>
          <w:sz w:val="20"/>
          <w:szCs w:val="20"/>
          <w:lang w:val="es-MX"/>
        </w:rPr>
        <w:t>I</w:t>
      </w:r>
      <w:r w:rsidR="00CC7DBD" w:rsidRPr="004C6EA9">
        <w:rPr>
          <w:rFonts w:ascii="Verdana" w:hAnsi="Verdana"/>
          <w:sz w:val="20"/>
          <w:szCs w:val="20"/>
          <w:lang w:val="es-MX"/>
        </w:rPr>
        <w:t>mplementar cursos de capacitación en derechos humanos a diversas autoridades estatales, en los términos de los párrafos 251 a 254 de la presente Sentencia.</w:t>
      </w:r>
    </w:p>
    <w:p w:rsidR="004C6EA9" w:rsidRDefault="004C6EA9" w:rsidP="004C6EA9">
      <w:pPr>
        <w:pStyle w:val="Prrafodelista"/>
        <w:spacing w:after="0" w:line="240" w:lineRule="auto"/>
        <w:ind w:left="360" w:right="99" w:hanging="360"/>
        <w:jc w:val="both"/>
        <w:rPr>
          <w:rFonts w:ascii="Verdana" w:hAnsi="Verdana"/>
          <w:sz w:val="20"/>
          <w:szCs w:val="20"/>
          <w:lang w:val="es-MX"/>
        </w:rPr>
      </w:pPr>
    </w:p>
    <w:p w:rsidR="004C6EA9" w:rsidRDefault="004C6EA9" w:rsidP="004C6EA9">
      <w:pPr>
        <w:pStyle w:val="Prrafodelista"/>
        <w:numPr>
          <w:ilvl w:val="0"/>
          <w:numId w:val="1"/>
        </w:numPr>
        <w:spacing w:after="0" w:line="240" w:lineRule="auto"/>
        <w:ind w:left="360" w:right="99"/>
        <w:jc w:val="both"/>
        <w:rPr>
          <w:rFonts w:ascii="Verdana" w:hAnsi="Verdana"/>
          <w:sz w:val="20"/>
          <w:szCs w:val="20"/>
          <w:lang w:val="es-MX"/>
        </w:rPr>
      </w:pPr>
      <w:r w:rsidRPr="004C6EA9">
        <w:rPr>
          <w:rFonts w:ascii="Verdana" w:hAnsi="Verdana"/>
          <w:sz w:val="20"/>
          <w:szCs w:val="20"/>
          <w:lang w:val="es-MX"/>
        </w:rPr>
        <w:t>L</w:t>
      </w:r>
      <w:r w:rsidR="00CC7DBD" w:rsidRPr="004C6EA9">
        <w:rPr>
          <w:rFonts w:ascii="Verdana" w:hAnsi="Verdana"/>
          <w:sz w:val="20"/>
          <w:szCs w:val="20"/>
          <w:lang w:val="es-MX"/>
        </w:rPr>
        <w:t>evantar un monumento</w:t>
      </w:r>
      <w:r w:rsidR="00CC7DBD" w:rsidRPr="004C6EA9">
        <w:rPr>
          <w:rFonts w:ascii="Verdana" w:hAnsi="Verdana"/>
          <w:sz w:val="20"/>
          <w:szCs w:val="20"/>
          <w:lang w:val="es-ES"/>
        </w:rPr>
        <w:t xml:space="preserve">, </w:t>
      </w:r>
      <w:r w:rsidR="00CC7DBD" w:rsidRPr="004C6EA9">
        <w:rPr>
          <w:rFonts w:ascii="Verdana" w:hAnsi="Verdana"/>
          <w:sz w:val="20"/>
          <w:szCs w:val="20"/>
          <w:lang w:val="es-MX"/>
        </w:rPr>
        <w:t>en los términos del párrafo 265 de la presente Sentencia.</w:t>
      </w:r>
    </w:p>
    <w:p w:rsidR="004C6EA9" w:rsidRPr="004C6EA9" w:rsidRDefault="004C6EA9" w:rsidP="004C6EA9">
      <w:pPr>
        <w:pStyle w:val="Prrafodelista"/>
        <w:spacing w:after="0" w:line="240" w:lineRule="auto"/>
        <w:ind w:left="360" w:right="99" w:hanging="360"/>
        <w:jc w:val="both"/>
        <w:rPr>
          <w:rFonts w:ascii="Verdana" w:hAnsi="Verdana"/>
          <w:sz w:val="20"/>
          <w:szCs w:val="20"/>
          <w:lang w:val="es-MX"/>
        </w:rPr>
      </w:pPr>
    </w:p>
    <w:p w:rsidR="004C6EA9" w:rsidRDefault="004C6EA9" w:rsidP="004C6EA9">
      <w:pPr>
        <w:pStyle w:val="Prrafodelista"/>
        <w:numPr>
          <w:ilvl w:val="0"/>
          <w:numId w:val="1"/>
        </w:numPr>
        <w:spacing w:after="0" w:line="240" w:lineRule="auto"/>
        <w:ind w:left="360" w:right="99"/>
        <w:jc w:val="both"/>
        <w:rPr>
          <w:rFonts w:ascii="Verdana" w:hAnsi="Verdana"/>
          <w:sz w:val="20"/>
          <w:szCs w:val="20"/>
          <w:lang w:val="es-MX"/>
        </w:rPr>
      </w:pPr>
      <w:r w:rsidRPr="004C6EA9">
        <w:rPr>
          <w:rFonts w:ascii="Verdana" w:hAnsi="Verdana"/>
          <w:sz w:val="20"/>
          <w:szCs w:val="20"/>
          <w:lang w:val="es-MX"/>
        </w:rPr>
        <w:t>B</w:t>
      </w:r>
      <w:r w:rsidR="00CC7DBD" w:rsidRPr="004C6EA9">
        <w:rPr>
          <w:rFonts w:ascii="Verdana" w:hAnsi="Verdana"/>
          <w:sz w:val="20"/>
          <w:szCs w:val="20"/>
          <w:lang w:val="es-MX"/>
        </w:rPr>
        <w:t>rindar el tratamiento médico y psicológico que requieran las 155 víctimas, en los términos de los párrafos 268 a 270 de la presente Sentencia.</w:t>
      </w:r>
    </w:p>
    <w:p w:rsidR="004C6EA9" w:rsidRDefault="004C6EA9" w:rsidP="004C6EA9">
      <w:pPr>
        <w:pStyle w:val="Prrafodelista"/>
        <w:spacing w:after="0" w:line="240" w:lineRule="auto"/>
        <w:ind w:left="360" w:right="99" w:hanging="360"/>
        <w:jc w:val="both"/>
        <w:rPr>
          <w:rFonts w:ascii="Verdana" w:hAnsi="Verdana"/>
          <w:sz w:val="20"/>
          <w:szCs w:val="20"/>
          <w:lang w:val="es-MX"/>
        </w:rPr>
      </w:pPr>
    </w:p>
    <w:p w:rsidR="00CC7DBD" w:rsidRPr="00B160F6" w:rsidRDefault="004C6EA9" w:rsidP="004C6EA9">
      <w:pPr>
        <w:pStyle w:val="Prrafodelista"/>
        <w:numPr>
          <w:ilvl w:val="0"/>
          <w:numId w:val="1"/>
        </w:numPr>
        <w:spacing w:after="0" w:line="240" w:lineRule="auto"/>
        <w:ind w:left="360" w:right="99"/>
        <w:jc w:val="both"/>
        <w:rPr>
          <w:rFonts w:ascii="Verdana" w:hAnsi="Verdana"/>
          <w:sz w:val="20"/>
          <w:szCs w:val="20"/>
          <w:lang w:val="es-MX"/>
        </w:rPr>
      </w:pPr>
      <w:r w:rsidRPr="004C6EA9">
        <w:rPr>
          <w:rFonts w:ascii="Verdana" w:hAnsi="Verdana"/>
          <w:sz w:val="20"/>
          <w:szCs w:val="20"/>
          <w:lang w:val="es-MX"/>
        </w:rPr>
        <w:t>C</w:t>
      </w:r>
      <w:r w:rsidR="00CC7DBD" w:rsidRPr="004C6EA9">
        <w:rPr>
          <w:rFonts w:ascii="Verdana" w:hAnsi="Verdana"/>
          <w:sz w:val="20"/>
          <w:szCs w:val="20"/>
          <w:lang w:val="es-MX"/>
        </w:rPr>
        <w:t xml:space="preserve">rear una página web de búsqueda de niños sustraídos y retenidos ilegalmente, en los </w:t>
      </w:r>
      <w:r w:rsidR="00CC7DBD" w:rsidRPr="00B160F6">
        <w:rPr>
          <w:rFonts w:ascii="Verdana" w:hAnsi="Verdana"/>
          <w:sz w:val="20"/>
          <w:szCs w:val="20"/>
          <w:lang w:val="es-MX"/>
        </w:rPr>
        <w:t>términos de los párrafos 271 a 274 del Fallo.</w:t>
      </w:r>
    </w:p>
    <w:p w:rsidR="004C6EA9" w:rsidRPr="00B160F6" w:rsidRDefault="004C6EA9" w:rsidP="004C6EA9">
      <w:pPr>
        <w:spacing w:after="0" w:line="240" w:lineRule="auto"/>
        <w:ind w:right="99"/>
        <w:jc w:val="both"/>
        <w:rPr>
          <w:rFonts w:ascii="Verdana" w:hAnsi="Verdana"/>
          <w:sz w:val="20"/>
          <w:szCs w:val="20"/>
          <w:lang w:val="es-MX"/>
        </w:rPr>
      </w:pPr>
    </w:p>
    <w:p w:rsidR="00B160F6" w:rsidRPr="00B160F6" w:rsidRDefault="00CC7DBD" w:rsidP="00B160F6">
      <w:pPr>
        <w:rPr>
          <w:rFonts w:ascii="Verdana" w:hAnsi="Verdana"/>
          <w:b/>
          <w:sz w:val="20"/>
          <w:szCs w:val="20"/>
          <w:lang w:val="es-MX"/>
        </w:rPr>
      </w:pPr>
      <w:r w:rsidRPr="00B160F6">
        <w:rPr>
          <w:rFonts w:ascii="Verdana" w:hAnsi="Verdana"/>
          <w:b/>
          <w:sz w:val="20"/>
          <w:szCs w:val="20"/>
          <w:lang w:val="es-MX"/>
        </w:rPr>
        <w:t>Cumplimiento parcial:</w:t>
      </w:r>
    </w:p>
    <w:p w:rsidR="00B160F6" w:rsidRPr="00B160F6" w:rsidRDefault="00B160F6" w:rsidP="00B160F6">
      <w:pPr>
        <w:pStyle w:val="Prrafodelista"/>
        <w:numPr>
          <w:ilvl w:val="0"/>
          <w:numId w:val="1"/>
        </w:numPr>
        <w:spacing w:after="0" w:line="240" w:lineRule="auto"/>
        <w:ind w:left="360" w:right="99"/>
        <w:jc w:val="both"/>
        <w:rPr>
          <w:rFonts w:ascii="Verdana" w:hAnsi="Verdana"/>
          <w:sz w:val="20"/>
          <w:szCs w:val="20"/>
          <w:lang w:val="es-MX"/>
        </w:rPr>
      </w:pPr>
      <w:r w:rsidRPr="00B160F6">
        <w:rPr>
          <w:rFonts w:ascii="Verdana" w:hAnsi="Verdana"/>
          <w:sz w:val="20"/>
          <w:szCs w:val="20"/>
          <w:lang w:val="es-MX"/>
        </w:rPr>
        <w:t xml:space="preserve">Realizar </w:t>
      </w:r>
      <w:r w:rsidRPr="00B160F6">
        <w:rPr>
          <w:rFonts w:ascii="Verdana" w:hAnsi="Verdana"/>
          <w:sz w:val="20"/>
          <w:szCs w:val="20"/>
          <w:lang w:val="es-ES"/>
        </w:rPr>
        <w:t xml:space="preserve">los actos públicos ordenados, </w:t>
      </w:r>
      <w:r w:rsidRPr="00B160F6">
        <w:rPr>
          <w:rFonts w:ascii="Verdana" w:hAnsi="Verdana"/>
          <w:sz w:val="20"/>
          <w:szCs w:val="20"/>
          <w:lang w:val="es-MX"/>
        </w:rPr>
        <w:t>en los términos de los párrafos 259 a 264 de la presente Sentencia.</w:t>
      </w:r>
    </w:p>
    <w:p w:rsidR="00B160F6" w:rsidRPr="00B160F6" w:rsidRDefault="00B160F6" w:rsidP="00B160F6">
      <w:pPr>
        <w:spacing w:after="0" w:line="240" w:lineRule="auto"/>
        <w:ind w:right="99"/>
        <w:jc w:val="both"/>
        <w:rPr>
          <w:rFonts w:ascii="Verdana" w:hAnsi="Verdana"/>
          <w:sz w:val="20"/>
          <w:szCs w:val="20"/>
          <w:lang w:val="es-MX"/>
        </w:rPr>
      </w:pPr>
    </w:p>
    <w:p w:rsidR="00B160F6" w:rsidRPr="00B160F6" w:rsidDel="00CC4A53" w:rsidRDefault="00B160F6" w:rsidP="00B160F6">
      <w:pPr>
        <w:jc w:val="both"/>
        <w:rPr>
          <w:rFonts w:ascii="Verdana" w:hAnsi="Verdana"/>
          <w:sz w:val="20"/>
          <w:szCs w:val="20"/>
          <w:lang w:val="es-MX"/>
        </w:rPr>
      </w:pPr>
      <w:r w:rsidRPr="00B160F6">
        <w:rPr>
          <w:rFonts w:ascii="Verdana" w:hAnsi="Verdana"/>
          <w:sz w:val="20"/>
          <w:szCs w:val="20"/>
          <w:lang w:val="es-MX"/>
        </w:rPr>
        <w:t>En los Considerandos 16 y 17 de la resolución de la Corte de 4 de septiembre de 2012 se explica lo que continúa pendiente de cumplimiento respecto a la presente medida de reparación:</w:t>
      </w:r>
    </w:p>
    <w:p w:rsidR="00B160F6" w:rsidRPr="00B160F6" w:rsidRDefault="00B160F6" w:rsidP="00B160F6">
      <w:pPr>
        <w:tabs>
          <w:tab w:val="left" w:pos="360"/>
        </w:tabs>
        <w:ind w:left="360" w:right="720"/>
        <w:jc w:val="both"/>
        <w:rPr>
          <w:rFonts w:ascii="Verdana" w:eastAsia="Calibri" w:hAnsi="Verdana"/>
          <w:sz w:val="16"/>
          <w:szCs w:val="16"/>
        </w:rPr>
      </w:pPr>
      <w:r w:rsidRPr="00B160F6">
        <w:rPr>
          <w:rFonts w:ascii="Verdana" w:eastAsia="Calibri" w:hAnsi="Verdana"/>
          <w:sz w:val="16"/>
          <w:szCs w:val="16"/>
        </w:rPr>
        <w:t>16.</w:t>
      </w:r>
      <w:r w:rsidRPr="00B160F6">
        <w:rPr>
          <w:rFonts w:ascii="Verdana" w:eastAsia="Calibri" w:hAnsi="Verdana"/>
          <w:sz w:val="16"/>
          <w:szCs w:val="16"/>
        </w:rPr>
        <w:tab/>
        <w:t>La Corte toma nota de los dos actos públicos realizados, en las localidades de Ciudad de Guatemala y de Santa Elena, y de la presentación del video documental en el acto celebrado en Santa Elena. Al respecto, teniendo en consideración lo manifestado por los representantes y la Comisión (</w:t>
      </w:r>
      <w:r w:rsidRPr="00B160F6">
        <w:rPr>
          <w:rFonts w:ascii="Verdana" w:eastAsia="Calibri" w:hAnsi="Verdana"/>
          <w:i/>
          <w:sz w:val="16"/>
          <w:szCs w:val="16"/>
        </w:rPr>
        <w:t>supra</w:t>
      </w:r>
      <w:r w:rsidRPr="00B160F6">
        <w:rPr>
          <w:rFonts w:ascii="Verdana" w:eastAsia="Calibri" w:hAnsi="Verdana"/>
          <w:sz w:val="16"/>
          <w:szCs w:val="16"/>
        </w:rPr>
        <w:t xml:space="preserve"> Considerandos decimocuarto y decimoquinto), siendo que los primeros expresamente manifestaron su conformidad con el modo en que fueron efectuadas las ceremonias públicas, esta Corte considera que el Estado ha cumplido con lo ordenado en el punto resolutivo decimocuarto de la Sentencia, en lo que se refiere a la celebración de los dos actos públicos y la transmisión del video documental sobre los hechos ocurridos en la Masacre del Parcelamiento de Las Dos Erres en uno de los actos.</w:t>
      </w:r>
    </w:p>
    <w:p w:rsidR="00B160F6" w:rsidRPr="00B160F6" w:rsidRDefault="00B160F6" w:rsidP="00B160F6">
      <w:pPr>
        <w:tabs>
          <w:tab w:val="left" w:pos="360"/>
        </w:tabs>
        <w:ind w:left="360" w:right="720"/>
        <w:jc w:val="both"/>
        <w:rPr>
          <w:rFonts w:ascii="Verdana" w:eastAsia="Calibri" w:hAnsi="Verdana"/>
          <w:sz w:val="16"/>
          <w:szCs w:val="16"/>
        </w:rPr>
      </w:pPr>
    </w:p>
    <w:p w:rsidR="00B160F6" w:rsidRPr="00B160F6" w:rsidRDefault="00B160F6" w:rsidP="00B160F6">
      <w:pPr>
        <w:tabs>
          <w:tab w:val="left" w:pos="360"/>
        </w:tabs>
        <w:ind w:left="360" w:right="720"/>
        <w:jc w:val="both"/>
        <w:rPr>
          <w:rFonts w:ascii="Verdana" w:eastAsia="Calibri" w:hAnsi="Verdana"/>
          <w:sz w:val="16"/>
          <w:szCs w:val="16"/>
        </w:rPr>
      </w:pPr>
      <w:r w:rsidRPr="00B160F6">
        <w:rPr>
          <w:rFonts w:ascii="Verdana" w:eastAsia="Calibri" w:hAnsi="Verdana"/>
          <w:sz w:val="16"/>
          <w:szCs w:val="16"/>
        </w:rPr>
        <w:lastRenderedPageBreak/>
        <w:t>17.</w:t>
      </w:r>
      <w:r w:rsidRPr="00B160F6">
        <w:rPr>
          <w:rFonts w:ascii="Verdana" w:eastAsia="Calibri" w:hAnsi="Verdana"/>
          <w:sz w:val="16"/>
          <w:szCs w:val="16"/>
        </w:rPr>
        <w:tab/>
        <w:t>Asimismo, el Tribunal nota que está pendiente que se proyecte el video antes referido “en un departamento de la zona occidental en el que se hayan producido graves violaciones de los derechos humanos durante el conflicto armado interno”. Por otra parte, el Estado no ha presentado información sobre el cumplimiento de su deber, de conformidad con el párrafo 263 de la Sentencia, de distribuir el video lo más ampliamente posible. Estas medidas debían realizarse dentro de un plazo de un año, contado a partir de la notificación de la Sentencia. Debido a lo anterior, el Tribunal estima que el Estado debe realizar con prontitud, y en coordinación con las víctimas y sus representantes,</w:t>
      </w:r>
      <w:r w:rsidRPr="00B160F6">
        <w:rPr>
          <w:rFonts w:ascii="Verdana" w:eastAsia="Calibri" w:hAnsi="Verdana"/>
          <w:b/>
          <w:sz w:val="16"/>
          <w:szCs w:val="16"/>
        </w:rPr>
        <w:t xml:space="preserve"> </w:t>
      </w:r>
      <w:r w:rsidRPr="00B160F6">
        <w:rPr>
          <w:rFonts w:ascii="Verdana" w:eastAsia="Calibri" w:hAnsi="Verdana"/>
          <w:sz w:val="16"/>
          <w:szCs w:val="16"/>
        </w:rPr>
        <w:t>todas las diligencias necesarias y conducentes para llevar a cabo, a la brevedad, las medidas pendientes de acatamiento anteriormente mencionadas.</w:t>
      </w:r>
    </w:p>
    <w:p w:rsidR="00B160F6" w:rsidRDefault="00B160F6" w:rsidP="00B160F6">
      <w:pPr>
        <w:pStyle w:val="Prrafodelista"/>
        <w:numPr>
          <w:ilvl w:val="0"/>
          <w:numId w:val="1"/>
        </w:numPr>
        <w:spacing w:after="0" w:line="240" w:lineRule="auto"/>
        <w:ind w:left="360" w:right="99"/>
        <w:jc w:val="both"/>
        <w:rPr>
          <w:rFonts w:ascii="Verdana" w:hAnsi="Verdana" w:cs="Verdana"/>
          <w:sz w:val="20"/>
          <w:szCs w:val="16"/>
          <w:lang w:val="es-ES"/>
        </w:rPr>
      </w:pPr>
      <w:r w:rsidRPr="00B160F6">
        <w:rPr>
          <w:rFonts w:ascii="Verdana" w:hAnsi="Verdana" w:cs="Verdana"/>
          <w:sz w:val="20"/>
          <w:szCs w:val="16"/>
          <w:lang w:val="es-ES"/>
        </w:rPr>
        <w:t xml:space="preserve"> </w:t>
      </w:r>
      <w:r w:rsidRPr="00B160F6">
        <w:rPr>
          <w:rFonts w:ascii="Verdana" w:hAnsi="Verdana"/>
          <w:sz w:val="20"/>
          <w:szCs w:val="20"/>
          <w:lang w:val="es-MX"/>
        </w:rPr>
        <w:t>Pagar</w:t>
      </w:r>
      <w:r w:rsidRPr="00B160F6">
        <w:rPr>
          <w:rFonts w:ascii="Verdana" w:hAnsi="Verdana" w:cs="Verdana"/>
          <w:sz w:val="20"/>
          <w:szCs w:val="16"/>
          <w:lang w:val="es-ES"/>
        </w:rPr>
        <w:t xml:space="preserve"> las cantidades fijadas en los párrafos 292 a 295 y 303 y 304 de la misma, por concepto de indemnización por daño inmaterial y reintegro de costas y gastos, en los términos de los párrafos 278 a 295, 300 a 304 y 305 de la presente Sentencia.</w:t>
      </w:r>
    </w:p>
    <w:p w:rsidR="00B160F6" w:rsidRPr="00B160F6" w:rsidRDefault="00B160F6" w:rsidP="00B160F6">
      <w:pPr>
        <w:pStyle w:val="Prrafodelista"/>
        <w:spacing w:after="0" w:line="240" w:lineRule="auto"/>
        <w:ind w:left="360" w:right="99"/>
        <w:jc w:val="both"/>
        <w:rPr>
          <w:rFonts w:ascii="Verdana" w:hAnsi="Verdana" w:cs="Verdana"/>
          <w:sz w:val="20"/>
          <w:szCs w:val="16"/>
          <w:lang w:val="es-ES"/>
        </w:rPr>
      </w:pPr>
      <w:bookmarkStart w:id="0" w:name="_GoBack"/>
      <w:bookmarkEnd w:id="0"/>
    </w:p>
    <w:p w:rsidR="00B160F6" w:rsidRPr="00B160F6" w:rsidRDefault="00B160F6" w:rsidP="00B160F6">
      <w:pPr>
        <w:jc w:val="both"/>
        <w:rPr>
          <w:rFonts w:ascii="Verdana" w:hAnsi="Verdana"/>
          <w:sz w:val="20"/>
          <w:szCs w:val="16"/>
          <w:lang w:val="es-MX"/>
        </w:rPr>
      </w:pPr>
      <w:r w:rsidRPr="00B160F6">
        <w:rPr>
          <w:rFonts w:ascii="Verdana" w:hAnsi="Verdana"/>
          <w:sz w:val="20"/>
          <w:szCs w:val="16"/>
          <w:lang w:val="es-MX"/>
        </w:rPr>
        <w:t>En los Considerandos 23 a 25 de la resolución de la Corte de 4 de septiembre de 2012 se explica lo que continúa pendiente de cumplimiento respecto a la presente medida de reparación:</w:t>
      </w:r>
    </w:p>
    <w:p w:rsidR="00B160F6" w:rsidRPr="00B160F6" w:rsidRDefault="00B160F6" w:rsidP="00B160F6">
      <w:pPr>
        <w:tabs>
          <w:tab w:val="left" w:pos="360"/>
        </w:tabs>
        <w:ind w:left="360" w:right="720"/>
        <w:jc w:val="both"/>
        <w:rPr>
          <w:rFonts w:ascii="Verdana" w:eastAsia="Calibri" w:hAnsi="Verdana"/>
          <w:sz w:val="16"/>
          <w:szCs w:val="16"/>
          <w:lang w:val="es-ES"/>
        </w:rPr>
      </w:pPr>
      <w:r w:rsidRPr="00B160F6">
        <w:rPr>
          <w:rFonts w:ascii="Verdana" w:eastAsia="Calibri" w:hAnsi="Verdana"/>
          <w:sz w:val="16"/>
          <w:szCs w:val="16"/>
          <w:lang w:val="es-CR"/>
        </w:rPr>
        <w:t>23.</w:t>
      </w:r>
      <w:r w:rsidRPr="00B160F6">
        <w:rPr>
          <w:rFonts w:ascii="Verdana" w:eastAsia="Calibri" w:hAnsi="Verdana"/>
          <w:sz w:val="16"/>
          <w:szCs w:val="16"/>
          <w:lang w:val="es-CR"/>
        </w:rPr>
        <w:tab/>
        <w:t xml:space="preserve">Este </w:t>
      </w:r>
      <w:r w:rsidRPr="00B160F6">
        <w:rPr>
          <w:rFonts w:ascii="Verdana" w:eastAsia="Calibri" w:hAnsi="Verdana"/>
          <w:sz w:val="16"/>
          <w:szCs w:val="16"/>
        </w:rPr>
        <w:t xml:space="preserve">Tribunal valora </w:t>
      </w:r>
      <w:r w:rsidRPr="00B160F6">
        <w:rPr>
          <w:rFonts w:ascii="Verdana" w:eastAsia="Calibri" w:hAnsi="Verdana"/>
          <w:sz w:val="16"/>
          <w:szCs w:val="16"/>
          <w:lang w:val="es-ES"/>
        </w:rPr>
        <w:t xml:space="preserve">los esfuerzos realizados por el Estado para pagar las indemnizaciones por daño inmaterial dispuestas a favor de 13 víctimas más y da por cumplidos dichos pago. Asimismo, la Corte nota que del total de 155 víctimas respecto de quienes ordenó el pago de indemnizaciones, a la fecha, el Estado ha cumplido con el pago a favor de 134 de ellas. </w:t>
      </w:r>
    </w:p>
    <w:p w:rsidR="00B160F6" w:rsidRPr="00B160F6" w:rsidRDefault="00B160F6" w:rsidP="00B160F6">
      <w:pPr>
        <w:tabs>
          <w:tab w:val="left" w:pos="360"/>
        </w:tabs>
        <w:ind w:left="360" w:right="720"/>
        <w:jc w:val="both"/>
        <w:rPr>
          <w:rFonts w:ascii="Verdana" w:eastAsia="Calibri" w:hAnsi="Verdana"/>
          <w:sz w:val="16"/>
          <w:szCs w:val="16"/>
          <w:lang w:val="es-ES"/>
        </w:rPr>
      </w:pPr>
      <w:r w:rsidRPr="00B160F6">
        <w:rPr>
          <w:rFonts w:ascii="Verdana" w:eastAsia="Calibri" w:hAnsi="Verdana"/>
          <w:sz w:val="16"/>
          <w:szCs w:val="16"/>
          <w:lang w:val="es-ES"/>
        </w:rPr>
        <w:t>24.</w:t>
      </w:r>
      <w:r w:rsidRPr="00B160F6">
        <w:rPr>
          <w:rFonts w:ascii="Verdana" w:eastAsia="Calibri" w:hAnsi="Verdana"/>
          <w:sz w:val="16"/>
          <w:szCs w:val="16"/>
          <w:lang w:val="es-ES"/>
        </w:rPr>
        <w:tab/>
        <w:t>Por otra parte, de la información aportada por las partes y la Comisión (</w:t>
      </w:r>
      <w:r w:rsidRPr="00B160F6">
        <w:rPr>
          <w:rFonts w:ascii="Verdana" w:eastAsia="Calibri" w:hAnsi="Verdana"/>
          <w:i/>
          <w:sz w:val="16"/>
          <w:szCs w:val="16"/>
          <w:lang w:val="es-ES"/>
        </w:rPr>
        <w:t>supra</w:t>
      </w:r>
      <w:r w:rsidRPr="00B160F6">
        <w:rPr>
          <w:rFonts w:ascii="Verdana" w:eastAsia="Calibri" w:hAnsi="Verdana"/>
          <w:sz w:val="16"/>
          <w:szCs w:val="16"/>
          <w:lang w:val="es-ES"/>
        </w:rPr>
        <w:t xml:space="preserve"> Considerandos decimoctavo a vigésimo primero), esta Corte nota que aún el Estado no ha hecho el pago correspondiente a las indemnizaciones fijadas a favor de 21 víctimas, a saber: </w:t>
      </w:r>
      <w:r w:rsidRPr="00B160F6">
        <w:rPr>
          <w:rFonts w:ascii="Verdana" w:eastAsia="Calibri" w:hAnsi="Verdana"/>
          <w:sz w:val="16"/>
          <w:szCs w:val="16"/>
          <w:lang w:val="es-CR"/>
        </w:rPr>
        <w:t xml:space="preserve">Luciana Cabrera Galeano, María Menegilda Marroquín Miranda, María Vicenta Moral Solís, </w:t>
      </w:r>
      <w:r w:rsidRPr="00B160F6">
        <w:rPr>
          <w:rFonts w:ascii="Verdana" w:eastAsia="Calibri" w:hAnsi="Verdana"/>
          <w:sz w:val="16"/>
          <w:szCs w:val="16"/>
          <w:lang w:val="es-ES"/>
        </w:rPr>
        <w:t>Enriqueta González G. de Martínez,</w:t>
      </w:r>
      <w:r w:rsidRPr="00B160F6">
        <w:rPr>
          <w:rFonts w:ascii="Verdana" w:eastAsia="Calibri" w:hAnsi="Verdana"/>
          <w:sz w:val="16"/>
          <w:szCs w:val="16"/>
          <w:lang w:val="es-CR"/>
        </w:rPr>
        <w:t xml:space="preserve"> Eugenia Jiménez Pineda, Felicita Lima Ayala, Sara Pérez López, Telma Guadalupe Aldana Canan, Tomasa Galicia González y Nicolasa Pérez Méndez, Ever Ismael Antonio Coto, Héctor Coto, Santos Osorio Ligue, Jorge Granados Cardona, Rafael Barrientos Mazariegos, Ángel Cermeño Pineda, Augusto Mayen Ramírez, Marcelino Deras Tejada, Olegario Rodríguez Tepec, Teodoro Jiménez Pernillo, y Edwin Saúl Romero García. </w:t>
      </w:r>
      <w:r w:rsidRPr="00B160F6">
        <w:rPr>
          <w:rFonts w:ascii="Verdana" w:eastAsia="Calibri" w:hAnsi="Verdana"/>
          <w:sz w:val="16"/>
          <w:szCs w:val="16"/>
          <w:lang w:val="es-ES"/>
        </w:rPr>
        <w:t xml:space="preserve">Al respecto, el Tribunal resalta la conveniencia que tanto el Estado como los representantes coordinen las acciones necesarias para ubicar a las personas que aún no han recibido el pago y, en el caso de las víctimas fallecidas, coadyuvar a fin de facilitar que sus familiares puedan llevar adelante las diligencias o procesos judiciales pertinentes para posibilitar la recepción de las indemnizaciones correspondientes. </w:t>
      </w:r>
    </w:p>
    <w:p w:rsidR="00B160F6" w:rsidRPr="00B160F6" w:rsidRDefault="00B160F6" w:rsidP="00B160F6">
      <w:pPr>
        <w:tabs>
          <w:tab w:val="left" w:pos="360"/>
        </w:tabs>
        <w:ind w:left="360" w:right="720" w:hanging="360"/>
        <w:jc w:val="both"/>
        <w:rPr>
          <w:rFonts w:ascii="Verdana" w:eastAsia="Calibri" w:hAnsi="Verdana"/>
          <w:sz w:val="16"/>
          <w:szCs w:val="16"/>
          <w:lang w:val="es-CR"/>
        </w:rPr>
      </w:pPr>
      <w:r w:rsidRPr="00B160F6">
        <w:rPr>
          <w:rFonts w:ascii="Verdana" w:eastAsia="Calibri" w:hAnsi="Verdana"/>
          <w:b/>
          <w:sz w:val="16"/>
          <w:szCs w:val="16"/>
          <w:lang w:val="es-CR"/>
        </w:rPr>
        <w:tab/>
      </w:r>
      <w:r w:rsidRPr="00B160F6">
        <w:rPr>
          <w:rFonts w:ascii="Verdana" w:eastAsia="Calibri" w:hAnsi="Verdana"/>
          <w:sz w:val="16"/>
          <w:szCs w:val="16"/>
          <w:lang w:val="es-ES"/>
        </w:rPr>
        <w:t>25.</w:t>
      </w:r>
      <w:r w:rsidRPr="00B160F6">
        <w:rPr>
          <w:rFonts w:ascii="Verdana" w:eastAsia="Calibri" w:hAnsi="Verdana"/>
          <w:sz w:val="16"/>
          <w:szCs w:val="16"/>
          <w:lang w:val="es-ES"/>
        </w:rPr>
        <w:tab/>
        <w:t>Por último, en lo que se refiere al pago del reintegro de costas y gastos a favor del Centro por la Justicia y el Derecho Internacional (en adelante “CEJIL”), el Estado informó que “hizo efectivo a [CEJIL] por costas y gastos [la suma de US$]27,500.00 [(veintisiete mil quinientos] dólares de los Estados Unidos de América[)]”. Los representantes confirmaron que “el Estado […] efectivamente entregó la suma ordenada por la Corte Interamericana a CEJIL”. En consecuencia, la Corte da por cumplido totalmente el pago de las costas y gastos dispuesto en la Sentencia.</w:t>
      </w:r>
    </w:p>
    <w:p w:rsidR="00CC7DBD" w:rsidRPr="00B160F6" w:rsidRDefault="00CC7DBD">
      <w:pPr>
        <w:rPr>
          <w:rFonts w:ascii="Verdana" w:hAnsi="Verdana"/>
          <w:sz w:val="16"/>
          <w:szCs w:val="16"/>
          <w:lang w:val="es-CR"/>
        </w:rPr>
      </w:pPr>
    </w:p>
    <w:sectPr w:rsidR="00CC7DBD" w:rsidRPr="00B160F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4D5" w:rsidRDefault="008B54D5" w:rsidP="00CC7DBD">
      <w:pPr>
        <w:spacing w:after="0" w:line="240" w:lineRule="auto"/>
      </w:pPr>
      <w:r>
        <w:separator/>
      </w:r>
    </w:p>
  </w:endnote>
  <w:endnote w:type="continuationSeparator" w:id="0">
    <w:p w:rsidR="008B54D5" w:rsidRDefault="008B54D5" w:rsidP="00CC7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DBD" w:rsidRPr="00A950A1" w:rsidRDefault="00CC7DBD" w:rsidP="00CC7DBD">
    <w:pPr>
      <w:jc w:val="both"/>
      <w:rPr>
        <w:rFonts w:ascii="Verdana" w:hAnsi="Verdana"/>
        <w:bCs/>
        <w:sz w:val="16"/>
        <w:szCs w:val="16"/>
        <w:lang w:val="es-MX"/>
      </w:rPr>
    </w:pPr>
    <w:r w:rsidRPr="00A950A1">
      <w:rPr>
        <w:rFonts w:ascii="Verdana" w:hAnsi="Verdana"/>
        <w:bCs/>
        <w:sz w:val="16"/>
        <w:szCs w:val="16"/>
        <w:lang w:val="es-MX"/>
      </w:rPr>
      <w:t xml:space="preserve">La presente sistematización de información fue </w:t>
    </w:r>
    <w:r>
      <w:rPr>
        <w:rFonts w:ascii="Verdana" w:hAnsi="Verdana"/>
        <w:bCs/>
        <w:sz w:val="16"/>
        <w:szCs w:val="16"/>
        <w:lang w:val="es-MX"/>
      </w:rPr>
      <w:t xml:space="preserve">realizada </w:t>
    </w:r>
    <w:r w:rsidRPr="00A950A1">
      <w:rPr>
        <w:rFonts w:ascii="Verdana" w:hAnsi="Verdana"/>
        <w:bCs/>
        <w:sz w:val="16"/>
        <w:szCs w:val="16"/>
        <w:lang w:val="es-MX"/>
      </w:rPr>
      <w:t>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CC7DBD" w:rsidRPr="00CC7DBD" w:rsidRDefault="00CC7DBD">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4D5" w:rsidRDefault="008B54D5" w:rsidP="00CC7DBD">
      <w:pPr>
        <w:spacing w:after="0" w:line="240" w:lineRule="auto"/>
      </w:pPr>
      <w:r>
        <w:separator/>
      </w:r>
    </w:p>
  </w:footnote>
  <w:footnote w:type="continuationSeparator" w:id="0">
    <w:p w:rsidR="008B54D5" w:rsidRDefault="008B54D5" w:rsidP="00CC7D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0974661"/>
      <w:docPartObj>
        <w:docPartGallery w:val="Page Numbers (Top of Page)"/>
        <w:docPartUnique/>
      </w:docPartObj>
    </w:sdtPr>
    <w:sdtEndPr>
      <w:rPr>
        <w:noProof/>
      </w:rPr>
    </w:sdtEndPr>
    <w:sdtContent>
      <w:p w:rsidR="00CC7DBD" w:rsidRDefault="00CC7DBD">
        <w:pPr>
          <w:pStyle w:val="Encabezado"/>
          <w:jc w:val="right"/>
        </w:pPr>
        <w:r w:rsidRPr="00CC7DBD">
          <w:rPr>
            <w:rFonts w:ascii="Verdana" w:hAnsi="Verdana"/>
            <w:sz w:val="20"/>
            <w:szCs w:val="20"/>
          </w:rPr>
          <w:fldChar w:fldCharType="begin"/>
        </w:r>
        <w:r w:rsidRPr="00CC7DBD">
          <w:rPr>
            <w:rFonts w:ascii="Verdana" w:hAnsi="Verdana"/>
            <w:sz w:val="20"/>
            <w:szCs w:val="20"/>
          </w:rPr>
          <w:instrText xml:space="preserve"> PAGE   \* MERGEFORMAT </w:instrText>
        </w:r>
        <w:r w:rsidRPr="00CC7DBD">
          <w:rPr>
            <w:rFonts w:ascii="Verdana" w:hAnsi="Verdana"/>
            <w:sz w:val="20"/>
            <w:szCs w:val="20"/>
          </w:rPr>
          <w:fldChar w:fldCharType="separate"/>
        </w:r>
        <w:r w:rsidR="00B160F6">
          <w:rPr>
            <w:rFonts w:ascii="Verdana" w:hAnsi="Verdana"/>
            <w:noProof/>
            <w:sz w:val="20"/>
            <w:szCs w:val="20"/>
          </w:rPr>
          <w:t>1</w:t>
        </w:r>
        <w:r w:rsidRPr="00CC7DBD">
          <w:rPr>
            <w:rFonts w:ascii="Verdana" w:hAnsi="Verdana"/>
            <w:noProof/>
            <w:sz w:val="20"/>
            <w:szCs w:val="20"/>
          </w:rPr>
          <w:fldChar w:fldCharType="end"/>
        </w:r>
      </w:p>
    </w:sdtContent>
  </w:sdt>
  <w:p w:rsidR="00CC7DBD" w:rsidRDefault="00CC7DB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90C3B"/>
    <w:multiLevelType w:val="hybridMultilevel"/>
    <w:tmpl w:val="5150C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5D27B6"/>
    <w:multiLevelType w:val="hybridMultilevel"/>
    <w:tmpl w:val="5F34D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DBD"/>
    <w:rsid w:val="00012FBC"/>
    <w:rsid w:val="00032359"/>
    <w:rsid w:val="003A7E5E"/>
    <w:rsid w:val="0045050A"/>
    <w:rsid w:val="004C6EA9"/>
    <w:rsid w:val="004E0AF8"/>
    <w:rsid w:val="007E17FD"/>
    <w:rsid w:val="008B54D5"/>
    <w:rsid w:val="009832C0"/>
    <w:rsid w:val="00B160F6"/>
    <w:rsid w:val="00CC7DBD"/>
    <w:rsid w:val="00E57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78118"/>
  <w15:docId w15:val="{BCE2ABD9-4A91-4969-99EE-CAACDFEE8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CC7DB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C7DBD"/>
    <w:rPr>
      <w:sz w:val="20"/>
      <w:szCs w:val="20"/>
    </w:rPr>
  </w:style>
  <w:style w:type="character" w:styleId="Refdenotaalpie">
    <w:name w:val="footnote reference"/>
    <w:aliases w:val="Texto de nota al pie,Appel note de bas de page,Footnotes refss,Footnote number,referencia nota al pie,BVI fnr,f"/>
    <w:basedOn w:val="Fuentedeprrafopredeter"/>
    <w:uiPriority w:val="99"/>
    <w:semiHidden/>
    <w:rsid w:val="00CC7DBD"/>
    <w:rPr>
      <w:rFonts w:cs="Times New Roman"/>
      <w:vertAlign w:val="superscript"/>
    </w:rPr>
  </w:style>
  <w:style w:type="character" w:customStyle="1" w:styleId="apple-style-span">
    <w:name w:val="apple-style-span"/>
    <w:basedOn w:val="Fuentedeprrafopredeter"/>
    <w:rsid w:val="00CC7DBD"/>
  </w:style>
  <w:style w:type="paragraph" w:styleId="Encabezado">
    <w:name w:val="header"/>
    <w:basedOn w:val="Normal"/>
    <w:link w:val="EncabezadoCar"/>
    <w:uiPriority w:val="99"/>
    <w:unhideWhenUsed/>
    <w:rsid w:val="00CC7DBD"/>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CC7DBD"/>
  </w:style>
  <w:style w:type="paragraph" w:styleId="Piedepgina">
    <w:name w:val="footer"/>
    <w:basedOn w:val="Normal"/>
    <w:link w:val="PiedepginaCar"/>
    <w:uiPriority w:val="99"/>
    <w:unhideWhenUsed/>
    <w:rsid w:val="00CC7DB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CC7DBD"/>
  </w:style>
  <w:style w:type="paragraph" w:styleId="Prrafodelista">
    <w:name w:val="List Paragraph"/>
    <w:basedOn w:val="Normal"/>
    <w:uiPriority w:val="34"/>
    <w:qFormat/>
    <w:rsid w:val="004C6E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291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938</Words>
  <Characters>5162</Characters>
  <Application>Microsoft Office Word</Application>
  <DocSecurity>0</DocSecurity>
  <Lines>43</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Castro</dc:creator>
  <cp:lastModifiedBy>Shashira Douglas</cp:lastModifiedBy>
  <cp:revision>2</cp:revision>
  <dcterms:created xsi:type="dcterms:W3CDTF">2022-01-06T20:52:00Z</dcterms:created>
  <dcterms:modified xsi:type="dcterms:W3CDTF">2022-01-06T20:52:00Z</dcterms:modified>
</cp:coreProperties>
</file>